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9A09A15" w14:textId="3A46D1AE" w:rsidR="001D58ED" w:rsidRPr="00ED4D49" w:rsidRDefault="009030B6" w:rsidP="002F00A1">
      <w:pPr>
        <w:pStyle w:val="Title"/>
        <w:pBdr>
          <w:bottom w:val="dashSmallGap" w:sz="4" w:space="15" w:color="BFBFBF"/>
        </w:pBdr>
        <w:tabs>
          <w:tab w:val="left" w:pos="4820"/>
        </w:tabs>
        <w:ind w:left="864" w:right="864"/>
        <w:rPr>
          <w:rFonts w:ascii="Calibri" w:eastAsia="Calibri" w:hAnsi="Calibri" w:cs="Calibri"/>
          <w:b w:val="0"/>
          <w:color w:val="auto"/>
          <w:sz w:val="32"/>
          <w:szCs w:val="32"/>
          <w:lang w:val="en-US"/>
        </w:rPr>
      </w:pPr>
      <w:r w:rsidRPr="00ED4D49">
        <w:rPr>
          <w:rFonts w:ascii="Calibri" w:eastAsia="Calibri" w:hAnsi="Calibri" w:cs="Calibri"/>
          <w:b w:val="0"/>
          <w:color w:val="auto"/>
          <w:sz w:val="32"/>
          <w:szCs w:val="32"/>
          <w:lang w:val="en-US"/>
        </w:rPr>
        <w:t xml:space="preserve">SAVA </w:t>
      </w:r>
      <w:r w:rsidR="00A05261" w:rsidRPr="00ED4D49">
        <w:rPr>
          <w:rFonts w:ascii="Calibri" w:eastAsia="Calibri" w:hAnsi="Calibri" w:cs="Calibri"/>
          <w:b w:val="0"/>
          <w:color w:val="auto"/>
          <w:sz w:val="32"/>
          <w:szCs w:val="32"/>
          <w:lang w:val="en-US"/>
        </w:rPr>
        <w:t xml:space="preserve">AND </w:t>
      </w:r>
      <w:r w:rsidRPr="00ED4D49">
        <w:rPr>
          <w:rFonts w:ascii="Calibri" w:eastAsia="Calibri" w:hAnsi="Calibri" w:cs="Calibri"/>
          <w:b w:val="0"/>
          <w:color w:val="auto"/>
          <w:sz w:val="32"/>
          <w:szCs w:val="32"/>
          <w:lang w:val="en-US"/>
        </w:rPr>
        <w:t>DRINA RIVER</w:t>
      </w:r>
      <w:r w:rsidR="00F2535E" w:rsidRPr="00ED4D49">
        <w:rPr>
          <w:rFonts w:ascii="Calibri" w:eastAsia="Calibri" w:hAnsi="Calibri" w:cs="Calibri"/>
          <w:b w:val="0"/>
          <w:color w:val="auto"/>
          <w:sz w:val="32"/>
          <w:szCs w:val="32"/>
          <w:lang w:val="en-US"/>
        </w:rPr>
        <w:t>S</w:t>
      </w:r>
      <w:r w:rsidRPr="00ED4D49">
        <w:rPr>
          <w:rFonts w:ascii="Calibri" w:eastAsia="Calibri" w:hAnsi="Calibri" w:cs="Calibri"/>
          <w:b w:val="0"/>
          <w:color w:val="auto"/>
          <w:sz w:val="32"/>
          <w:szCs w:val="32"/>
          <w:lang w:val="en-US"/>
        </w:rPr>
        <w:t xml:space="preserve"> CORRIDORS INTEGRATED DEVELOPMENT PROJECT</w:t>
      </w:r>
      <w:r w:rsidRPr="00ED4D49">
        <w:rPr>
          <w:rFonts w:ascii="Calibri" w:hAnsi="Calibri"/>
          <w:color w:val="0D0D0D"/>
          <w:sz w:val="22"/>
          <w:szCs w:val="22"/>
          <w:lang w:val="en-US"/>
        </w:rPr>
        <w:t xml:space="preserve"> </w:t>
      </w:r>
    </w:p>
    <w:p w14:paraId="4143CFC0" w14:textId="77777777" w:rsidR="009A1F68" w:rsidRPr="00ED4D49" w:rsidRDefault="009A1F68" w:rsidP="00331942">
      <w:pPr>
        <w:pStyle w:val="Title"/>
        <w:spacing w:after="120"/>
        <w:rPr>
          <w:rFonts w:ascii="Calibri" w:hAnsi="Calibri" w:cs="Calibri"/>
          <w:smallCaps/>
          <w:sz w:val="36"/>
          <w:lang w:val="en-US"/>
        </w:rPr>
      </w:pPr>
    </w:p>
    <w:p w14:paraId="6185D476" w14:textId="77777777" w:rsidR="009A1F68" w:rsidRPr="00ED4D49" w:rsidRDefault="009A1F68" w:rsidP="00331942">
      <w:pPr>
        <w:pStyle w:val="Title"/>
        <w:spacing w:after="120"/>
        <w:rPr>
          <w:rFonts w:ascii="Calibri" w:hAnsi="Calibri" w:cs="Calibri"/>
          <w:smallCaps/>
          <w:sz w:val="36"/>
          <w:lang w:val="en-US"/>
        </w:rPr>
      </w:pPr>
    </w:p>
    <w:p w14:paraId="6634994B" w14:textId="77777777" w:rsidR="00F43082" w:rsidRPr="00ED4D49" w:rsidRDefault="006F3904" w:rsidP="00331942">
      <w:pPr>
        <w:pStyle w:val="Title"/>
        <w:spacing w:after="120"/>
        <w:rPr>
          <w:rFonts w:ascii="Calibri" w:hAnsi="Calibri" w:cs="Calibri"/>
          <w:b w:val="0"/>
          <w:color w:val="1F497D"/>
          <w:sz w:val="44"/>
          <w:lang w:val="en-US"/>
        </w:rPr>
      </w:pPr>
      <w:r w:rsidRPr="00ED4D49">
        <w:rPr>
          <w:rFonts w:ascii="Calibri" w:hAnsi="Calibri" w:cs="Calibri"/>
          <w:b w:val="0"/>
          <w:color w:val="1F497D"/>
          <w:sz w:val="44"/>
          <w:lang w:val="en-US"/>
        </w:rPr>
        <w:t xml:space="preserve">ENVIRONMENTAL AND SOCIAL </w:t>
      </w:r>
    </w:p>
    <w:p w14:paraId="0AE9B7B4" w14:textId="48D64DD1" w:rsidR="009A1F68" w:rsidRPr="00ED4D49" w:rsidRDefault="006F3904" w:rsidP="00331942">
      <w:pPr>
        <w:pStyle w:val="Title"/>
        <w:spacing w:after="120"/>
        <w:rPr>
          <w:rFonts w:ascii="Calibri" w:hAnsi="Calibri" w:cs="Calibri"/>
          <w:b w:val="0"/>
          <w:color w:val="1F497D"/>
          <w:sz w:val="44"/>
          <w:lang w:val="en-US"/>
        </w:rPr>
      </w:pPr>
      <w:r w:rsidRPr="00ED4D49">
        <w:rPr>
          <w:rFonts w:ascii="Calibri" w:hAnsi="Calibri" w:cs="Calibri"/>
          <w:b w:val="0"/>
          <w:color w:val="1F497D"/>
          <w:sz w:val="44"/>
          <w:lang w:val="en-US"/>
        </w:rPr>
        <w:t xml:space="preserve">MANAGEMENT FRAMEWORK </w:t>
      </w:r>
      <w:r w:rsidR="00857724" w:rsidRPr="00ED4D49">
        <w:rPr>
          <w:rFonts w:ascii="Calibri" w:hAnsi="Calibri" w:cs="Calibri"/>
          <w:b w:val="0"/>
          <w:color w:val="1F497D"/>
          <w:sz w:val="44"/>
          <w:lang w:val="en-US"/>
        </w:rPr>
        <w:t>FOR BOSNIA AND HERZEGOVINA</w:t>
      </w:r>
    </w:p>
    <w:p w14:paraId="4339259E" w14:textId="77777777" w:rsidR="00F43082" w:rsidRPr="00ED4D49" w:rsidRDefault="00F43082" w:rsidP="00331942">
      <w:pPr>
        <w:pStyle w:val="Title"/>
        <w:spacing w:after="120"/>
        <w:rPr>
          <w:rFonts w:ascii="Calibri" w:hAnsi="Calibri" w:cs="Calibri"/>
          <w:b w:val="0"/>
          <w:color w:val="1F497D"/>
          <w:sz w:val="44"/>
          <w:lang w:val="en-US"/>
        </w:rPr>
      </w:pPr>
    </w:p>
    <w:p w14:paraId="78855775" w14:textId="5FA9500D" w:rsidR="009A1F68" w:rsidRPr="00ED4D49" w:rsidRDefault="00F2535E" w:rsidP="00331942">
      <w:pPr>
        <w:pStyle w:val="Title"/>
        <w:pBdr>
          <w:bottom w:val="dashSmallGap" w:sz="4" w:space="31" w:color="BFBFBF"/>
        </w:pBdr>
        <w:spacing w:before="160" w:after="360"/>
        <w:ind w:left="864" w:right="864"/>
        <w:rPr>
          <w:rFonts w:ascii="Calibri" w:hAnsi="Calibri" w:cs="Calibri"/>
          <w:b w:val="0"/>
          <w:color w:val="auto"/>
          <w:szCs w:val="32"/>
          <w:lang w:val="en-US"/>
        </w:rPr>
      </w:pPr>
      <w:r w:rsidRPr="00ED4D49">
        <w:rPr>
          <w:rFonts w:ascii="Calibri" w:hAnsi="Calibri" w:cs="Calibri"/>
          <w:b w:val="0"/>
          <w:color w:val="auto"/>
          <w:szCs w:val="32"/>
          <w:lang w:val="en-US"/>
        </w:rPr>
        <w:t>February</w:t>
      </w:r>
      <w:r w:rsidR="00F121FD" w:rsidRPr="00ED4D49">
        <w:rPr>
          <w:rFonts w:ascii="Calibri" w:hAnsi="Calibri" w:cs="Calibri"/>
          <w:b w:val="0"/>
          <w:color w:val="auto"/>
          <w:szCs w:val="32"/>
          <w:lang w:val="en-US"/>
        </w:rPr>
        <w:t xml:space="preserve"> </w:t>
      </w:r>
      <w:r w:rsidR="006F3904" w:rsidRPr="00ED4D49">
        <w:rPr>
          <w:rFonts w:ascii="Calibri" w:hAnsi="Calibri" w:cs="Calibri"/>
          <w:b w:val="0"/>
          <w:color w:val="auto"/>
          <w:szCs w:val="32"/>
          <w:lang w:val="en-US"/>
        </w:rPr>
        <w:t>20</w:t>
      </w:r>
      <w:r w:rsidRPr="00ED4D49">
        <w:rPr>
          <w:rFonts w:ascii="Calibri" w:hAnsi="Calibri" w:cs="Calibri"/>
          <w:b w:val="0"/>
          <w:color w:val="auto"/>
          <w:szCs w:val="32"/>
          <w:lang w:val="en-US"/>
        </w:rPr>
        <w:t>20</w:t>
      </w:r>
      <w:r w:rsidR="00B23592" w:rsidRPr="00ED4D49">
        <w:rPr>
          <w:rFonts w:ascii="Calibri" w:hAnsi="Calibri" w:cs="Calibri"/>
          <w:b w:val="0"/>
          <w:color w:val="auto"/>
          <w:szCs w:val="32"/>
          <w:lang w:val="en-US"/>
        </w:rPr>
        <w:t xml:space="preserve"> revised July 2022</w:t>
      </w:r>
    </w:p>
    <w:p w14:paraId="18059691" w14:textId="6FEA4ECB" w:rsidR="000B2E9A" w:rsidRPr="00ED4D49" w:rsidRDefault="000B2E9A" w:rsidP="00331942">
      <w:pPr>
        <w:rPr>
          <w:rFonts w:cs="Calibri"/>
          <w:lang w:val="en-US"/>
        </w:rPr>
        <w:sectPr w:rsidR="000B2E9A" w:rsidRPr="00ED4D49" w:rsidSect="000B2E9A">
          <w:headerReference w:type="even" r:id="rId11"/>
          <w:headerReference w:type="default" r:id="rId12"/>
          <w:footerReference w:type="even" r:id="rId13"/>
          <w:footerReference w:type="default" r:id="rId14"/>
          <w:headerReference w:type="first" r:id="rId15"/>
          <w:footerReference w:type="first" r:id="rId16"/>
          <w:pgSz w:w="11900" w:h="16840"/>
          <w:pgMar w:top="1440" w:right="1440" w:bottom="1440" w:left="1440" w:header="720" w:footer="720" w:gutter="0"/>
          <w:cols w:space="720"/>
          <w:docGrid w:linePitch="360"/>
        </w:sectPr>
      </w:pPr>
    </w:p>
    <w:p w14:paraId="74EF06F2" w14:textId="77777777" w:rsidR="0067413C" w:rsidRPr="00ED4D49" w:rsidRDefault="006F3904" w:rsidP="005873DB">
      <w:pPr>
        <w:tabs>
          <w:tab w:val="left" w:pos="720"/>
          <w:tab w:val="left" w:pos="810"/>
        </w:tabs>
        <w:rPr>
          <w:rFonts w:cs="Calibri"/>
          <w:bCs/>
          <w:color w:val="1F497D"/>
          <w:sz w:val="24"/>
          <w:szCs w:val="28"/>
          <w:lang w:val="en-US"/>
        </w:rPr>
      </w:pPr>
      <w:r w:rsidRPr="00ED4D49">
        <w:rPr>
          <w:rFonts w:cs="Calibri"/>
          <w:bCs/>
          <w:color w:val="1F497D"/>
          <w:sz w:val="24"/>
          <w:szCs w:val="28"/>
          <w:lang w:val="en-US"/>
        </w:rPr>
        <w:lastRenderedPageBreak/>
        <w:t>Table of Contents</w:t>
      </w:r>
    </w:p>
    <w:p w14:paraId="25D2EB8A" w14:textId="78C37C83" w:rsidR="005F312B" w:rsidRPr="00ED4D49" w:rsidRDefault="00857724">
      <w:pPr>
        <w:pStyle w:val="TOC1"/>
        <w:tabs>
          <w:tab w:val="left" w:pos="442"/>
          <w:tab w:val="right" w:leader="dot" w:pos="9010"/>
        </w:tabs>
        <w:rPr>
          <w:rFonts w:asciiTheme="minorHAnsi" w:eastAsiaTheme="minorEastAsia" w:hAnsiTheme="minorHAnsi" w:cstheme="minorBidi"/>
          <w:b w:val="0"/>
          <w:noProof/>
          <w:sz w:val="24"/>
          <w:szCs w:val="24"/>
          <w:lang w:val="en-US" w:eastAsia="en-GB"/>
        </w:rPr>
      </w:pPr>
      <w:r w:rsidRPr="00ED4D49">
        <w:rPr>
          <w:rFonts w:cs="Calibri"/>
          <w:sz w:val="18"/>
          <w:szCs w:val="18"/>
          <w:lang w:val="en-US"/>
        </w:rPr>
        <w:fldChar w:fldCharType="begin"/>
      </w:r>
      <w:r w:rsidRPr="00ED4D49">
        <w:rPr>
          <w:rFonts w:cs="Calibri"/>
          <w:sz w:val="18"/>
          <w:szCs w:val="18"/>
          <w:lang w:val="en-US"/>
        </w:rPr>
        <w:instrText xml:space="preserve"> TOC \o "1-3" \h \z \u </w:instrText>
      </w:r>
      <w:r w:rsidRPr="00ED4D49">
        <w:rPr>
          <w:rFonts w:cs="Calibri"/>
          <w:sz w:val="18"/>
          <w:szCs w:val="18"/>
          <w:lang w:val="en-US"/>
        </w:rPr>
        <w:fldChar w:fldCharType="separate"/>
      </w:r>
      <w:hyperlink w:anchor="_Toc31811042" w:history="1">
        <w:r w:rsidR="005F312B" w:rsidRPr="00ED4D49">
          <w:rPr>
            <w:rStyle w:val="Hyperlink"/>
            <w:rFonts w:cs="Calibri"/>
            <w:noProof/>
            <w:lang w:val="en-US"/>
          </w:rPr>
          <w:t>1</w:t>
        </w:r>
        <w:r w:rsidR="005F312B" w:rsidRPr="00ED4D49">
          <w:rPr>
            <w:rFonts w:asciiTheme="minorHAnsi" w:eastAsiaTheme="minorEastAsia" w:hAnsiTheme="minorHAnsi" w:cstheme="minorBidi"/>
            <w:b w:val="0"/>
            <w:noProof/>
            <w:sz w:val="24"/>
            <w:szCs w:val="24"/>
            <w:lang w:val="en-US" w:eastAsia="en-GB"/>
          </w:rPr>
          <w:tab/>
        </w:r>
        <w:r w:rsidR="005F312B" w:rsidRPr="00ED4D49">
          <w:rPr>
            <w:rStyle w:val="Hyperlink"/>
            <w:rFonts w:cs="Calibri"/>
            <w:noProof/>
            <w:lang w:val="en-US"/>
          </w:rPr>
          <w:t>EXECUTIVE SUMMARY</w:t>
        </w:r>
        <w:r w:rsidR="005F312B" w:rsidRPr="00ED4D49">
          <w:rPr>
            <w:noProof/>
            <w:webHidden/>
            <w:lang w:val="en-US"/>
          </w:rPr>
          <w:tab/>
        </w:r>
        <w:r w:rsidR="005F312B" w:rsidRPr="00ED4D49">
          <w:rPr>
            <w:noProof/>
            <w:webHidden/>
            <w:lang w:val="en-US"/>
          </w:rPr>
          <w:fldChar w:fldCharType="begin"/>
        </w:r>
        <w:r w:rsidR="005F312B" w:rsidRPr="00ED4D49">
          <w:rPr>
            <w:noProof/>
            <w:webHidden/>
            <w:lang w:val="en-US"/>
          </w:rPr>
          <w:instrText xml:space="preserve"> PAGEREF _Toc31811042 \h </w:instrText>
        </w:r>
        <w:r w:rsidR="005F312B" w:rsidRPr="00ED4D49">
          <w:rPr>
            <w:noProof/>
            <w:webHidden/>
            <w:lang w:val="en-US"/>
          </w:rPr>
        </w:r>
        <w:r w:rsidR="005F312B" w:rsidRPr="00ED4D49">
          <w:rPr>
            <w:noProof/>
            <w:webHidden/>
            <w:lang w:val="en-US"/>
          </w:rPr>
          <w:fldChar w:fldCharType="separate"/>
        </w:r>
        <w:r w:rsidR="001755CE" w:rsidRPr="00ED4D49">
          <w:rPr>
            <w:noProof/>
            <w:webHidden/>
            <w:lang w:val="en-US"/>
          </w:rPr>
          <w:t>1</w:t>
        </w:r>
        <w:r w:rsidR="005F312B" w:rsidRPr="00ED4D49">
          <w:rPr>
            <w:noProof/>
            <w:webHidden/>
            <w:lang w:val="en-US"/>
          </w:rPr>
          <w:fldChar w:fldCharType="end"/>
        </w:r>
      </w:hyperlink>
    </w:p>
    <w:p w14:paraId="27A2E1A7" w14:textId="7BCB6C2D" w:rsidR="005F312B" w:rsidRPr="00ED4D49" w:rsidRDefault="00000000">
      <w:pPr>
        <w:pStyle w:val="TOC1"/>
        <w:tabs>
          <w:tab w:val="left" w:pos="442"/>
          <w:tab w:val="right" w:leader="dot" w:pos="9010"/>
        </w:tabs>
        <w:rPr>
          <w:rFonts w:asciiTheme="minorHAnsi" w:eastAsiaTheme="minorEastAsia" w:hAnsiTheme="minorHAnsi" w:cstheme="minorBidi"/>
          <w:b w:val="0"/>
          <w:noProof/>
          <w:sz w:val="24"/>
          <w:szCs w:val="24"/>
          <w:lang w:val="en-US" w:eastAsia="en-GB"/>
        </w:rPr>
      </w:pPr>
      <w:hyperlink w:anchor="_Toc31811043" w:history="1">
        <w:r w:rsidR="005F312B" w:rsidRPr="00ED4D49">
          <w:rPr>
            <w:rStyle w:val="Hyperlink"/>
            <w:rFonts w:cs="Calibri"/>
            <w:noProof/>
            <w:lang w:val="en-US"/>
          </w:rPr>
          <w:t>2</w:t>
        </w:r>
        <w:r w:rsidR="005F312B" w:rsidRPr="00ED4D49">
          <w:rPr>
            <w:rFonts w:asciiTheme="minorHAnsi" w:eastAsiaTheme="minorEastAsia" w:hAnsiTheme="minorHAnsi" w:cstheme="minorBidi"/>
            <w:b w:val="0"/>
            <w:noProof/>
            <w:sz w:val="24"/>
            <w:szCs w:val="24"/>
            <w:lang w:val="en-US" w:eastAsia="en-GB"/>
          </w:rPr>
          <w:tab/>
        </w:r>
        <w:r w:rsidR="005F312B" w:rsidRPr="00ED4D49">
          <w:rPr>
            <w:rStyle w:val="Hyperlink"/>
            <w:rFonts w:cs="Calibri"/>
            <w:noProof/>
            <w:lang w:val="en-US"/>
          </w:rPr>
          <w:t>INTRODUCTION</w:t>
        </w:r>
        <w:r w:rsidR="005F312B" w:rsidRPr="00ED4D49">
          <w:rPr>
            <w:noProof/>
            <w:webHidden/>
            <w:lang w:val="en-US"/>
          </w:rPr>
          <w:tab/>
        </w:r>
        <w:r w:rsidR="005F312B" w:rsidRPr="00ED4D49">
          <w:rPr>
            <w:noProof/>
            <w:webHidden/>
            <w:lang w:val="en-US"/>
          </w:rPr>
          <w:fldChar w:fldCharType="begin"/>
        </w:r>
        <w:r w:rsidR="005F312B" w:rsidRPr="00ED4D49">
          <w:rPr>
            <w:noProof/>
            <w:webHidden/>
            <w:lang w:val="en-US"/>
          </w:rPr>
          <w:instrText xml:space="preserve"> PAGEREF _Toc31811043 \h </w:instrText>
        </w:r>
        <w:r w:rsidR="005F312B" w:rsidRPr="00ED4D49">
          <w:rPr>
            <w:noProof/>
            <w:webHidden/>
            <w:lang w:val="en-US"/>
          </w:rPr>
        </w:r>
        <w:r w:rsidR="005F312B" w:rsidRPr="00ED4D49">
          <w:rPr>
            <w:noProof/>
            <w:webHidden/>
            <w:lang w:val="en-US"/>
          </w:rPr>
          <w:fldChar w:fldCharType="separate"/>
        </w:r>
        <w:r w:rsidR="001755CE" w:rsidRPr="00ED4D49">
          <w:rPr>
            <w:noProof/>
            <w:webHidden/>
            <w:lang w:val="en-US"/>
          </w:rPr>
          <w:t>7</w:t>
        </w:r>
        <w:r w:rsidR="005F312B" w:rsidRPr="00ED4D49">
          <w:rPr>
            <w:noProof/>
            <w:webHidden/>
            <w:lang w:val="en-US"/>
          </w:rPr>
          <w:fldChar w:fldCharType="end"/>
        </w:r>
      </w:hyperlink>
    </w:p>
    <w:p w14:paraId="2EB79950" w14:textId="0D9F9107" w:rsidR="005F312B" w:rsidRPr="00ED4D49" w:rsidRDefault="00000000">
      <w:pPr>
        <w:pStyle w:val="TOC2"/>
        <w:rPr>
          <w:rFonts w:asciiTheme="minorHAnsi" w:eastAsiaTheme="minorEastAsia" w:hAnsiTheme="minorHAnsi" w:cstheme="minorBidi"/>
          <w:noProof/>
          <w:sz w:val="24"/>
          <w:szCs w:val="24"/>
          <w:lang w:val="en-US" w:eastAsia="en-GB"/>
        </w:rPr>
      </w:pPr>
      <w:hyperlink w:anchor="_Toc31811044" w:history="1">
        <w:r w:rsidR="005F312B" w:rsidRPr="00ED4D49">
          <w:rPr>
            <w:rStyle w:val="Hyperlink"/>
            <w:noProof/>
            <w:lang w:val="en-US"/>
          </w:rPr>
          <w:t>2.1</w:t>
        </w:r>
        <w:r w:rsidR="005F312B" w:rsidRPr="00ED4D49">
          <w:rPr>
            <w:rFonts w:asciiTheme="minorHAnsi" w:eastAsiaTheme="minorEastAsia" w:hAnsiTheme="minorHAnsi" w:cstheme="minorBidi"/>
            <w:noProof/>
            <w:sz w:val="24"/>
            <w:szCs w:val="24"/>
            <w:lang w:val="en-US" w:eastAsia="en-GB"/>
          </w:rPr>
          <w:tab/>
        </w:r>
        <w:r w:rsidR="005F312B" w:rsidRPr="00ED4D49">
          <w:rPr>
            <w:rStyle w:val="Hyperlink"/>
            <w:noProof/>
            <w:lang w:val="en-US"/>
          </w:rPr>
          <w:t>Brief Project Description</w:t>
        </w:r>
        <w:r w:rsidR="005F312B" w:rsidRPr="00ED4D49">
          <w:rPr>
            <w:noProof/>
            <w:webHidden/>
            <w:lang w:val="en-US"/>
          </w:rPr>
          <w:tab/>
        </w:r>
        <w:r w:rsidR="005F312B" w:rsidRPr="00ED4D49">
          <w:rPr>
            <w:noProof/>
            <w:webHidden/>
            <w:lang w:val="en-US"/>
          </w:rPr>
          <w:fldChar w:fldCharType="begin"/>
        </w:r>
        <w:r w:rsidR="005F312B" w:rsidRPr="00ED4D49">
          <w:rPr>
            <w:noProof/>
            <w:webHidden/>
            <w:lang w:val="en-US"/>
          </w:rPr>
          <w:instrText xml:space="preserve"> PAGEREF _Toc31811044 \h </w:instrText>
        </w:r>
        <w:r w:rsidR="005F312B" w:rsidRPr="00ED4D49">
          <w:rPr>
            <w:noProof/>
            <w:webHidden/>
            <w:lang w:val="en-US"/>
          </w:rPr>
        </w:r>
        <w:r w:rsidR="005F312B" w:rsidRPr="00ED4D49">
          <w:rPr>
            <w:noProof/>
            <w:webHidden/>
            <w:lang w:val="en-US"/>
          </w:rPr>
          <w:fldChar w:fldCharType="separate"/>
        </w:r>
        <w:r w:rsidR="001755CE" w:rsidRPr="00ED4D49">
          <w:rPr>
            <w:noProof/>
            <w:webHidden/>
            <w:lang w:val="en-US"/>
          </w:rPr>
          <w:t>7</w:t>
        </w:r>
        <w:r w:rsidR="005F312B" w:rsidRPr="00ED4D49">
          <w:rPr>
            <w:noProof/>
            <w:webHidden/>
            <w:lang w:val="en-US"/>
          </w:rPr>
          <w:fldChar w:fldCharType="end"/>
        </w:r>
      </w:hyperlink>
    </w:p>
    <w:p w14:paraId="54815D24" w14:textId="2CC71974" w:rsidR="005F312B" w:rsidRPr="00ED4D49" w:rsidRDefault="00000000">
      <w:pPr>
        <w:pStyle w:val="TOC3"/>
        <w:rPr>
          <w:rFonts w:asciiTheme="minorHAnsi" w:eastAsiaTheme="minorEastAsia" w:hAnsiTheme="minorHAnsi" w:cstheme="minorBidi"/>
          <w:noProof/>
          <w:sz w:val="24"/>
          <w:szCs w:val="24"/>
          <w:lang w:val="en-US" w:eastAsia="en-GB"/>
        </w:rPr>
      </w:pPr>
      <w:hyperlink w:anchor="_Toc31811045" w:history="1">
        <w:r w:rsidR="005F312B" w:rsidRPr="00ED4D49">
          <w:rPr>
            <w:rStyle w:val="Hyperlink"/>
            <w:noProof/>
            <w:lang w:val="en-US"/>
          </w:rPr>
          <w:t>2.1.1</w:t>
        </w:r>
        <w:r w:rsidR="005F312B" w:rsidRPr="00ED4D49">
          <w:rPr>
            <w:rFonts w:asciiTheme="minorHAnsi" w:eastAsiaTheme="minorEastAsia" w:hAnsiTheme="minorHAnsi" w:cstheme="minorBidi"/>
            <w:noProof/>
            <w:sz w:val="24"/>
            <w:szCs w:val="24"/>
            <w:lang w:val="en-US" w:eastAsia="en-GB"/>
          </w:rPr>
          <w:tab/>
        </w:r>
        <w:r w:rsidR="005F312B" w:rsidRPr="00ED4D49">
          <w:rPr>
            <w:rStyle w:val="Hyperlink"/>
            <w:noProof/>
            <w:lang w:val="en-US"/>
          </w:rPr>
          <w:t>Objectives</w:t>
        </w:r>
        <w:r w:rsidR="005F312B" w:rsidRPr="00ED4D49">
          <w:rPr>
            <w:noProof/>
            <w:webHidden/>
            <w:lang w:val="en-US"/>
          </w:rPr>
          <w:tab/>
        </w:r>
        <w:r w:rsidR="005F312B" w:rsidRPr="00ED4D49">
          <w:rPr>
            <w:noProof/>
            <w:webHidden/>
            <w:lang w:val="en-US"/>
          </w:rPr>
          <w:fldChar w:fldCharType="begin"/>
        </w:r>
        <w:r w:rsidR="005F312B" w:rsidRPr="00ED4D49">
          <w:rPr>
            <w:noProof/>
            <w:webHidden/>
            <w:lang w:val="en-US"/>
          </w:rPr>
          <w:instrText xml:space="preserve"> PAGEREF _Toc31811045 \h </w:instrText>
        </w:r>
        <w:r w:rsidR="005F312B" w:rsidRPr="00ED4D49">
          <w:rPr>
            <w:noProof/>
            <w:webHidden/>
            <w:lang w:val="en-US"/>
          </w:rPr>
        </w:r>
        <w:r w:rsidR="005F312B" w:rsidRPr="00ED4D49">
          <w:rPr>
            <w:noProof/>
            <w:webHidden/>
            <w:lang w:val="en-US"/>
          </w:rPr>
          <w:fldChar w:fldCharType="separate"/>
        </w:r>
        <w:r w:rsidR="001755CE" w:rsidRPr="00ED4D49">
          <w:rPr>
            <w:noProof/>
            <w:webHidden/>
            <w:lang w:val="en-US"/>
          </w:rPr>
          <w:t>7</w:t>
        </w:r>
        <w:r w:rsidR="005F312B" w:rsidRPr="00ED4D49">
          <w:rPr>
            <w:noProof/>
            <w:webHidden/>
            <w:lang w:val="en-US"/>
          </w:rPr>
          <w:fldChar w:fldCharType="end"/>
        </w:r>
      </w:hyperlink>
    </w:p>
    <w:p w14:paraId="01DF0812" w14:textId="52017CC3" w:rsidR="005F312B" w:rsidRPr="00ED4D49" w:rsidRDefault="00000000">
      <w:pPr>
        <w:pStyle w:val="TOC3"/>
        <w:rPr>
          <w:rFonts w:asciiTheme="minorHAnsi" w:eastAsiaTheme="minorEastAsia" w:hAnsiTheme="minorHAnsi" w:cstheme="minorBidi"/>
          <w:noProof/>
          <w:sz w:val="24"/>
          <w:szCs w:val="24"/>
          <w:lang w:val="en-US" w:eastAsia="en-GB"/>
        </w:rPr>
      </w:pPr>
      <w:hyperlink w:anchor="_Toc31811046" w:history="1">
        <w:r w:rsidR="005F312B" w:rsidRPr="00ED4D49">
          <w:rPr>
            <w:rStyle w:val="Hyperlink"/>
            <w:noProof/>
            <w:lang w:val="en-US"/>
          </w:rPr>
          <w:t>2.1.2</w:t>
        </w:r>
        <w:r w:rsidR="005F312B" w:rsidRPr="00ED4D49">
          <w:rPr>
            <w:rFonts w:asciiTheme="minorHAnsi" w:eastAsiaTheme="minorEastAsia" w:hAnsiTheme="minorHAnsi" w:cstheme="minorBidi"/>
            <w:noProof/>
            <w:sz w:val="24"/>
            <w:szCs w:val="24"/>
            <w:lang w:val="en-US" w:eastAsia="en-GB"/>
          </w:rPr>
          <w:tab/>
        </w:r>
        <w:r w:rsidR="005F312B" w:rsidRPr="00ED4D49">
          <w:rPr>
            <w:rStyle w:val="Hyperlink"/>
            <w:noProof/>
            <w:lang w:val="en-US"/>
          </w:rPr>
          <w:t>Components</w:t>
        </w:r>
        <w:r w:rsidR="005F312B" w:rsidRPr="00ED4D49">
          <w:rPr>
            <w:noProof/>
            <w:webHidden/>
            <w:lang w:val="en-US"/>
          </w:rPr>
          <w:tab/>
        </w:r>
        <w:r w:rsidR="005F312B" w:rsidRPr="00ED4D49">
          <w:rPr>
            <w:noProof/>
            <w:webHidden/>
            <w:lang w:val="en-US"/>
          </w:rPr>
          <w:fldChar w:fldCharType="begin"/>
        </w:r>
        <w:r w:rsidR="005F312B" w:rsidRPr="00ED4D49">
          <w:rPr>
            <w:noProof/>
            <w:webHidden/>
            <w:lang w:val="en-US"/>
          </w:rPr>
          <w:instrText xml:space="preserve"> PAGEREF _Toc31811046 \h </w:instrText>
        </w:r>
        <w:r w:rsidR="005F312B" w:rsidRPr="00ED4D49">
          <w:rPr>
            <w:noProof/>
            <w:webHidden/>
            <w:lang w:val="en-US"/>
          </w:rPr>
        </w:r>
        <w:r w:rsidR="005F312B" w:rsidRPr="00ED4D49">
          <w:rPr>
            <w:noProof/>
            <w:webHidden/>
            <w:lang w:val="en-US"/>
          </w:rPr>
          <w:fldChar w:fldCharType="separate"/>
        </w:r>
        <w:r w:rsidR="001755CE" w:rsidRPr="00ED4D49">
          <w:rPr>
            <w:noProof/>
            <w:webHidden/>
            <w:lang w:val="en-US"/>
          </w:rPr>
          <w:t>7</w:t>
        </w:r>
        <w:r w:rsidR="005F312B" w:rsidRPr="00ED4D49">
          <w:rPr>
            <w:noProof/>
            <w:webHidden/>
            <w:lang w:val="en-US"/>
          </w:rPr>
          <w:fldChar w:fldCharType="end"/>
        </w:r>
      </w:hyperlink>
    </w:p>
    <w:p w14:paraId="644553C8" w14:textId="1AD4B651" w:rsidR="005F312B" w:rsidRPr="00ED4D49" w:rsidRDefault="00000000">
      <w:pPr>
        <w:pStyle w:val="TOC3"/>
        <w:rPr>
          <w:rFonts w:asciiTheme="minorHAnsi" w:eastAsiaTheme="minorEastAsia" w:hAnsiTheme="minorHAnsi" w:cstheme="minorBidi"/>
          <w:noProof/>
          <w:sz w:val="24"/>
          <w:szCs w:val="24"/>
          <w:lang w:val="en-US" w:eastAsia="en-GB"/>
        </w:rPr>
      </w:pPr>
      <w:hyperlink w:anchor="_Toc31811047" w:history="1">
        <w:r w:rsidR="005F312B" w:rsidRPr="00ED4D49">
          <w:rPr>
            <w:rStyle w:val="Hyperlink"/>
            <w:noProof/>
            <w:lang w:val="en-US"/>
          </w:rPr>
          <w:t>2.1.3</w:t>
        </w:r>
        <w:r w:rsidR="005F312B" w:rsidRPr="00ED4D49">
          <w:rPr>
            <w:rFonts w:asciiTheme="minorHAnsi" w:eastAsiaTheme="minorEastAsia" w:hAnsiTheme="minorHAnsi" w:cstheme="minorBidi"/>
            <w:noProof/>
            <w:sz w:val="24"/>
            <w:szCs w:val="24"/>
            <w:lang w:val="en-US" w:eastAsia="en-GB"/>
          </w:rPr>
          <w:tab/>
        </w:r>
        <w:r w:rsidR="005F312B" w:rsidRPr="00ED4D49">
          <w:rPr>
            <w:rStyle w:val="Hyperlink"/>
            <w:noProof/>
            <w:lang w:val="en-US"/>
          </w:rPr>
          <w:t>Implementation Arrangements</w:t>
        </w:r>
        <w:r w:rsidR="005F312B" w:rsidRPr="00ED4D49">
          <w:rPr>
            <w:noProof/>
            <w:webHidden/>
            <w:lang w:val="en-US"/>
          </w:rPr>
          <w:tab/>
        </w:r>
        <w:r w:rsidR="005F312B" w:rsidRPr="00ED4D49">
          <w:rPr>
            <w:noProof/>
            <w:webHidden/>
            <w:lang w:val="en-US"/>
          </w:rPr>
          <w:fldChar w:fldCharType="begin"/>
        </w:r>
        <w:r w:rsidR="005F312B" w:rsidRPr="00ED4D49">
          <w:rPr>
            <w:noProof/>
            <w:webHidden/>
            <w:lang w:val="en-US"/>
          </w:rPr>
          <w:instrText xml:space="preserve"> PAGEREF _Toc31811047 \h </w:instrText>
        </w:r>
        <w:r w:rsidR="005F312B" w:rsidRPr="00ED4D49">
          <w:rPr>
            <w:noProof/>
            <w:webHidden/>
            <w:lang w:val="en-US"/>
          </w:rPr>
        </w:r>
        <w:r w:rsidR="005F312B" w:rsidRPr="00ED4D49">
          <w:rPr>
            <w:noProof/>
            <w:webHidden/>
            <w:lang w:val="en-US"/>
          </w:rPr>
          <w:fldChar w:fldCharType="separate"/>
        </w:r>
        <w:r w:rsidR="001755CE" w:rsidRPr="00ED4D49">
          <w:rPr>
            <w:noProof/>
            <w:webHidden/>
            <w:lang w:val="en-US"/>
          </w:rPr>
          <w:t>8</w:t>
        </w:r>
        <w:r w:rsidR="005F312B" w:rsidRPr="00ED4D49">
          <w:rPr>
            <w:noProof/>
            <w:webHidden/>
            <w:lang w:val="en-US"/>
          </w:rPr>
          <w:fldChar w:fldCharType="end"/>
        </w:r>
      </w:hyperlink>
    </w:p>
    <w:p w14:paraId="52AC172B" w14:textId="1576AB5F" w:rsidR="005F312B" w:rsidRPr="00ED4D49" w:rsidRDefault="00000000">
      <w:pPr>
        <w:pStyle w:val="TOC3"/>
        <w:rPr>
          <w:rFonts w:asciiTheme="minorHAnsi" w:eastAsiaTheme="minorEastAsia" w:hAnsiTheme="minorHAnsi" w:cstheme="minorBidi"/>
          <w:noProof/>
          <w:sz w:val="24"/>
          <w:szCs w:val="24"/>
          <w:lang w:val="en-US" w:eastAsia="en-GB"/>
        </w:rPr>
      </w:pPr>
      <w:hyperlink w:anchor="_Toc31811048" w:history="1">
        <w:r w:rsidR="005F312B" w:rsidRPr="00ED4D49">
          <w:rPr>
            <w:rStyle w:val="Hyperlink"/>
            <w:noProof/>
            <w:lang w:val="en-US"/>
          </w:rPr>
          <w:t>2.1.4</w:t>
        </w:r>
        <w:r w:rsidR="005F312B" w:rsidRPr="00ED4D49">
          <w:rPr>
            <w:rFonts w:asciiTheme="minorHAnsi" w:eastAsiaTheme="minorEastAsia" w:hAnsiTheme="minorHAnsi" w:cstheme="minorBidi"/>
            <w:noProof/>
            <w:sz w:val="24"/>
            <w:szCs w:val="24"/>
            <w:lang w:val="en-US" w:eastAsia="en-GB"/>
          </w:rPr>
          <w:tab/>
        </w:r>
        <w:r w:rsidR="005F312B" w:rsidRPr="00ED4D49">
          <w:rPr>
            <w:rStyle w:val="Hyperlink"/>
            <w:noProof/>
            <w:lang w:val="en-US"/>
          </w:rPr>
          <w:t>Timeline and Budget</w:t>
        </w:r>
        <w:r w:rsidR="005F312B" w:rsidRPr="00ED4D49">
          <w:rPr>
            <w:noProof/>
            <w:webHidden/>
            <w:lang w:val="en-US"/>
          </w:rPr>
          <w:tab/>
        </w:r>
        <w:r w:rsidR="005F312B" w:rsidRPr="00ED4D49">
          <w:rPr>
            <w:noProof/>
            <w:webHidden/>
            <w:lang w:val="en-US"/>
          </w:rPr>
          <w:fldChar w:fldCharType="begin"/>
        </w:r>
        <w:r w:rsidR="005F312B" w:rsidRPr="00ED4D49">
          <w:rPr>
            <w:noProof/>
            <w:webHidden/>
            <w:lang w:val="en-US"/>
          </w:rPr>
          <w:instrText xml:space="preserve"> PAGEREF _Toc31811048 \h </w:instrText>
        </w:r>
        <w:r w:rsidR="005F312B" w:rsidRPr="00ED4D49">
          <w:rPr>
            <w:noProof/>
            <w:webHidden/>
            <w:lang w:val="en-US"/>
          </w:rPr>
        </w:r>
        <w:r w:rsidR="005F312B" w:rsidRPr="00ED4D49">
          <w:rPr>
            <w:noProof/>
            <w:webHidden/>
            <w:lang w:val="en-US"/>
          </w:rPr>
          <w:fldChar w:fldCharType="separate"/>
        </w:r>
        <w:r w:rsidR="001755CE" w:rsidRPr="00ED4D49">
          <w:rPr>
            <w:noProof/>
            <w:webHidden/>
            <w:lang w:val="en-US"/>
          </w:rPr>
          <w:t>9</w:t>
        </w:r>
        <w:r w:rsidR="005F312B" w:rsidRPr="00ED4D49">
          <w:rPr>
            <w:noProof/>
            <w:webHidden/>
            <w:lang w:val="en-US"/>
          </w:rPr>
          <w:fldChar w:fldCharType="end"/>
        </w:r>
      </w:hyperlink>
    </w:p>
    <w:p w14:paraId="2F01B29A" w14:textId="4049AF84" w:rsidR="005F312B" w:rsidRPr="00ED4D49" w:rsidRDefault="00000000">
      <w:pPr>
        <w:pStyle w:val="TOC2"/>
        <w:rPr>
          <w:rFonts w:asciiTheme="minorHAnsi" w:eastAsiaTheme="minorEastAsia" w:hAnsiTheme="minorHAnsi" w:cstheme="minorBidi"/>
          <w:noProof/>
          <w:sz w:val="24"/>
          <w:szCs w:val="24"/>
          <w:lang w:val="en-US" w:eastAsia="en-GB"/>
        </w:rPr>
      </w:pPr>
      <w:hyperlink w:anchor="_Toc31811049" w:history="1">
        <w:r w:rsidR="005F312B" w:rsidRPr="00ED4D49">
          <w:rPr>
            <w:rStyle w:val="Hyperlink"/>
            <w:noProof/>
            <w:lang w:val="en-US"/>
          </w:rPr>
          <w:t>2.2</w:t>
        </w:r>
        <w:r w:rsidR="005F312B" w:rsidRPr="00ED4D49">
          <w:rPr>
            <w:rFonts w:asciiTheme="minorHAnsi" w:eastAsiaTheme="minorEastAsia" w:hAnsiTheme="minorHAnsi" w:cstheme="minorBidi"/>
            <w:noProof/>
            <w:sz w:val="24"/>
            <w:szCs w:val="24"/>
            <w:lang w:val="en-US" w:eastAsia="en-GB"/>
          </w:rPr>
          <w:tab/>
        </w:r>
        <w:r w:rsidR="005F312B" w:rsidRPr="00ED4D49">
          <w:rPr>
            <w:rStyle w:val="Hyperlink"/>
            <w:noProof/>
            <w:lang w:val="en-US"/>
          </w:rPr>
          <w:t>Objectives of this Environmental and Social Management Framework</w:t>
        </w:r>
        <w:r w:rsidR="005F312B" w:rsidRPr="00ED4D49">
          <w:rPr>
            <w:noProof/>
            <w:webHidden/>
            <w:lang w:val="en-US"/>
          </w:rPr>
          <w:tab/>
        </w:r>
        <w:r w:rsidR="005F312B" w:rsidRPr="00ED4D49">
          <w:rPr>
            <w:noProof/>
            <w:webHidden/>
            <w:lang w:val="en-US"/>
          </w:rPr>
          <w:fldChar w:fldCharType="begin"/>
        </w:r>
        <w:r w:rsidR="005F312B" w:rsidRPr="00ED4D49">
          <w:rPr>
            <w:noProof/>
            <w:webHidden/>
            <w:lang w:val="en-US"/>
          </w:rPr>
          <w:instrText xml:space="preserve"> PAGEREF _Toc31811049 \h </w:instrText>
        </w:r>
        <w:r w:rsidR="005F312B" w:rsidRPr="00ED4D49">
          <w:rPr>
            <w:noProof/>
            <w:webHidden/>
            <w:lang w:val="en-US"/>
          </w:rPr>
        </w:r>
        <w:r w:rsidR="005F312B" w:rsidRPr="00ED4D49">
          <w:rPr>
            <w:noProof/>
            <w:webHidden/>
            <w:lang w:val="en-US"/>
          </w:rPr>
          <w:fldChar w:fldCharType="separate"/>
        </w:r>
        <w:r w:rsidR="001755CE" w:rsidRPr="00ED4D49">
          <w:rPr>
            <w:noProof/>
            <w:webHidden/>
            <w:lang w:val="en-US"/>
          </w:rPr>
          <w:t>9</w:t>
        </w:r>
        <w:r w:rsidR="005F312B" w:rsidRPr="00ED4D49">
          <w:rPr>
            <w:noProof/>
            <w:webHidden/>
            <w:lang w:val="en-US"/>
          </w:rPr>
          <w:fldChar w:fldCharType="end"/>
        </w:r>
      </w:hyperlink>
    </w:p>
    <w:p w14:paraId="6F2D7996" w14:textId="381E5C6F" w:rsidR="005F312B" w:rsidRPr="00ED4D49" w:rsidRDefault="00000000">
      <w:pPr>
        <w:pStyle w:val="TOC2"/>
        <w:rPr>
          <w:rFonts w:asciiTheme="minorHAnsi" w:eastAsiaTheme="minorEastAsia" w:hAnsiTheme="minorHAnsi" w:cstheme="minorBidi"/>
          <w:noProof/>
          <w:sz w:val="24"/>
          <w:szCs w:val="24"/>
          <w:lang w:val="en-US" w:eastAsia="en-GB"/>
        </w:rPr>
      </w:pPr>
      <w:hyperlink w:anchor="_Toc31811050" w:history="1">
        <w:r w:rsidR="005F312B" w:rsidRPr="00ED4D49">
          <w:rPr>
            <w:rStyle w:val="Hyperlink"/>
            <w:noProof/>
            <w:lang w:val="en-US"/>
          </w:rPr>
          <w:t>2.3</w:t>
        </w:r>
        <w:r w:rsidR="005F312B" w:rsidRPr="00ED4D49">
          <w:rPr>
            <w:rFonts w:asciiTheme="minorHAnsi" w:eastAsiaTheme="minorEastAsia" w:hAnsiTheme="minorHAnsi" w:cstheme="minorBidi"/>
            <w:noProof/>
            <w:sz w:val="24"/>
            <w:szCs w:val="24"/>
            <w:lang w:val="en-US" w:eastAsia="en-GB"/>
          </w:rPr>
          <w:tab/>
        </w:r>
        <w:r w:rsidR="005F312B" w:rsidRPr="00ED4D49">
          <w:rPr>
            <w:rStyle w:val="Hyperlink"/>
            <w:noProof/>
            <w:lang w:val="en-US"/>
          </w:rPr>
          <w:t>Basic Information About the Country</w:t>
        </w:r>
        <w:r w:rsidR="005F312B" w:rsidRPr="00ED4D49">
          <w:rPr>
            <w:noProof/>
            <w:webHidden/>
            <w:lang w:val="en-US"/>
          </w:rPr>
          <w:tab/>
        </w:r>
        <w:r w:rsidR="005F312B" w:rsidRPr="00ED4D49">
          <w:rPr>
            <w:noProof/>
            <w:webHidden/>
            <w:lang w:val="en-US"/>
          </w:rPr>
          <w:fldChar w:fldCharType="begin"/>
        </w:r>
        <w:r w:rsidR="005F312B" w:rsidRPr="00ED4D49">
          <w:rPr>
            <w:noProof/>
            <w:webHidden/>
            <w:lang w:val="en-US"/>
          </w:rPr>
          <w:instrText xml:space="preserve"> PAGEREF _Toc31811050 \h </w:instrText>
        </w:r>
        <w:r w:rsidR="005F312B" w:rsidRPr="00ED4D49">
          <w:rPr>
            <w:noProof/>
            <w:webHidden/>
            <w:lang w:val="en-US"/>
          </w:rPr>
        </w:r>
        <w:r w:rsidR="005F312B" w:rsidRPr="00ED4D49">
          <w:rPr>
            <w:noProof/>
            <w:webHidden/>
            <w:lang w:val="en-US"/>
          </w:rPr>
          <w:fldChar w:fldCharType="separate"/>
        </w:r>
        <w:r w:rsidR="001755CE" w:rsidRPr="00ED4D49">
          <w:rPr>
            <w:noProof/>
            <w:webHidden/>
            <w:lang w:val="en-US"/>
          </w:rPr>
          <w:t>10</w:t>
        </w:r>
        <w:r w:rsidR="005F312B" w:rsidRPr="00ED4D49">
          <w:rPr>
            <w:noProof/>
            <w:webHidden/>
            <w:lang w:val="en-US"/>
          </w:rPr>
          <w:fldChar w:fldCharType="end"/>
        </w:r>
      </w:hyperlink>
    </w:p>
    <w:p w14:paraId="3E9E5FCF" w14:textId="14685685" w:rsidR="005F312B" w:rsidRPr="00ED4D49" w:rsidRDefault="00000000">
      <w:pPr>
        <w:pStyle w:val="TOC1"/>
        <w:tabs>
          <w:tab w:val="left" w:pos="442"/>
          <w:tab w:val="right" w:leader="dot" w:pos="9010"/>
        </w:tabs>
        <w:rPr>
          <w:rFonts w:asciiTheme="minorHAnsi" w:eastAsiaTheme="minorEastAsia" w:hAnsiTheme="minorHAnsi" w:cstheme="minorBidi"/>
          <w:b w:val="0"/>
          <w:noProof/>
          <w:sz w:val="24"/>
          <w:szCs w:val="24"/>
          <w:lang w:val="en-US" w:eastAsia="en-GB"/>
        </w:rPr>
      </w:pPr>
      <w:hyperlink w:anchor="_Toc31811051" w:history="1">
        <w:r w:rsidR="005F312B" w:rsidRPr="00ED4D49">
          <w:rPr>
            <w:rStyle w:val="Hyperlink"/>
            <w:noProof/>
            <w:lang w:val="en-US"/>
          </w:rPr>
          <w:t>3</w:t>
        </w:r>
        <w:r w:rsidR="005F312B" w:rsidRPr="00ED4D49">
          <w:rPr>
            <w:rFonts w:asciiTheme="minorHAnsi" w:eastAsiaTheme="minorEastAsia" w:hAnsiTheme="minorHAnsi" w:cstheme="minorBidi"/>
            <w:b w:val="0"/>
            <w:noProof/>
            <w:sz w:val="24"/>
            <w:szCs w:val="24"/>
            <w:lang w:val="en-US" w:eastAsia="en-GB"/>
          </w:rPr>
          <w:tab/>
        </w:r>
        <w:r w:rsidR="005F312B" w:rsidRPr="00ED4D49">
          <w:rPr>
            <w:rStyle w:val="Hyperlink"/>
            <w:rFonts w:cs="Calibri"/>
            <w:noProof/>
            <w:lang w:val="en-US"/>
          </w:rPr>
          <w:t>BASELINE ENVIRONMENTAL CHARACTERISTICS OF THE PROJECT AREA</w:t>
        </w:r>
        <w:r w:rsidR="005F312B" w:rsidRPr="00ED4D49">
          <w:rPr>
            <w:noProof/>
            <w:webHidden/>
            <w:lang w:val="en-US"/>
          </w:rPr>
          <w:tab/>
        </w:r>
        <w:r w:rsidR="005F312B" w:rsidRPr="00ED4D49">
          <w:rPr>
            <w:noProof/>
            <w:webHidden/>
            <w:lang w:val="en-US"/>
          </w:rPr>
          <w:fldChar w:fldCharType="begin"/>
        </w:r>
        <w:r w:rsidR="005F312B" w:rsidRPr="00ED4D49">
          <w:rPr>
            <w:noProof/>
            <w:webHidden/>
            <w:lang w:val="en-US"/>
          </w:rPr>
          <w:instrText xml:space="preserve"> PAGEREF _Toc31811051 \h </w:instrText>
        </w:r>
        <w:r w:rsidR="005F312B" w:rsidRPr="00ED4D49">
          <w:rPr>
            <w:noProof/>
            <w:webHidden/>
            <w:lang w:val="en-US"/>
          </w:rPr>
        </w:r>
        <w:r w:rsidR="005F312B" w:rsidRPr="00ED4D49">
          <w:rPr>
            <w:noProof/>
            <w:webHidden/>
            <w:lang w:val="en-US"/>
          </w:rPr>
          <w:fldChar w:fldCharType="separate"/>
        </w:r>
        <w:r w:rsidR="001755CE" w:rsidRPr="00ED4D49">
          <w:rPr>
            <w:noProof/>
            <w:webHidden/>
            <w:lang w:val="en-US"/>
          </w:rPr>
          <w:t>11</w:t>
        </w:r>
        <w:r w:rsidR="005F312B" w:rsidRPr="00ED4D49">
          <w:rPr>
            <w:noProof/>
            <w:webHidden/>
            <w:lang w:val="en-US"/>
          </w:rPr>
          <w:fldChar w:fldCharType="end"/>
        </w:r>
      </w:hyperlink>
    </w:p>
    <w:p w14:paraId="5CCE6CD4" w14:textId="03B06292" w:rsidR="005F312B" w:rsidRPr="00ED4D49" w:rsidRDefault="00000000">
      <w:pPr>
        <w:pStyle w:val="TOC2"/>
        <w:rPr>
          <w:rFonts w:asciiTheme="minorHAnsi" w:eastAsiaTheme="minorEastAsia" w:hAnsiTheme="minorHAnsi" w:cstheme="minorBidi"/>
          <w:noProof/>
          <w:sz w:val="24"/>
          <w:szCs w:val="24"/>
          <w:lang w:val="en-US" w:eastAsia="en-GB"/>
        </w:rPr>
      </w:pPr>
      <w:hyperlink w:anchor="_Toc31811052" w:history="1">
        <w:r w:rsidR="005F312B" w:rsidRPr="00ED4D49">
          <w:rPr>
            <w:rStyle w:val="Hyperlink"/>
            <w:noProof/>
            <w:lang w:val="en-US"/>
          </w:rPr>
          <w:t>3.1</w:t>
        </w:r>
        <w:r w:rsidR="005F312B" w:rsidRPr="00ED4D49">
          <w:rPr>
            <w:rFonts w:asciiTheme="minorHAnsi" w:eastAsiaTheme="minorEastAsia" w:hAnsiTheme="minorHAnsi" w:cstheme="minorBidi"/>
            <w:noProof/>
            <w:sz w:val="24"/>
            <w:szCs w:val="24"/>
            <w:lang w:val="en-US" w:eastAsia="en-GB"/>
          </w:rPr>
          <w:tab/>
        </w:r>
        <w:r w:rsidR="005F312B" w:rsidRPr="00ED4D49">
          <w:rPr>
            <w:rStyle w:val="Hyperlink"/>
            <w:noProof/>
            <w:lang w:val="en-US"/>
          </w:rPr>
          <w:t>Drina River Basin</w:t>
        </w:r>
        <w:r w:rsidR="005F312B" w:rsidRPr="00ED4D49">
          <w:rPr>
            <w:noProof/>
            <w:webHidden/>
            <w:lang w:val="en-US"/>
          </w:rPr>
          <w:tab/>
        </w:r>
        <w:r w:rsidR="005F312B" w:rsidRPr="00ED4D49">
          <w:rPr>
            <w:noProof/>
            <w:webHidden/>
            <w:lang w:val="en-US"/>
          </w:rPr>
          <w:fldChar w:fldCharType="begin"/>
        </w:r>
        <w:r w:rsidR="005F312B" w:rsidRPr="00ED4D49">
          <w:rPr>
            <w:noProof/>
            <w:webHidden/>
            <w:lang w:val="en-US"/>
          </w:rPr>
          <w:instrText xml:space="preserve"> PAGEREF _Toc31811052 \h </w:instrText>
        </w:r>
        <w:r w:rsidR="005F312B" w:rsidRPr="00ED4D49">
          <w:rPr>
            <w:noProof/>
            <w:webHidden/>
            <w:lang w:val="en-US"/>
          </w:rPr>
        </w:r>
        <w:r w:rsidR="005F312B" w:rsidRPr="00ED4D49">
          <w:rPr>
            <w:noProof/>
            <w:webHidden/>
            <w:lang w:val="en-US"/>
          </w:rPr>
          <w:fldChar w:fldCharType="separate"/>
        </w:r>
        <w:r w:rsidR="001755CE" w:rsidRPr="00ED4D49">
          <w:rPr>
            <w:noProof/>
            <w:webHidden/>
            <w:lang w:val="en-US"/>
          </w:rPr>
          <w:t>11</w:t>
        </w:r>
        <w:r w:rsidR="005F312B" w:rsidRPr="00ED4D49">
          <w:rPr>
            <w:noProof/>
            <w:webHidden/>
            <w:lang w:val="en-US"/>
          </w:rPr>
          <w:fldChar w:fldCharType="end"/>
        </w:r>
      </w:hyperlink>
    </w:p>
    <w:p w14:paraId="7631D8AE" w14:textId="2E9C8D97" w:rsidR="005F312B" w:rsidRPr="00ED4D49" w:rsidRDefault="00000000">
      <w:pPr>
        <w:pStyle w:val="TOC3"/>
        <w:rPr>
          <w:rFonts w:asciiTheme="minorHAnsi" w:eastAsiaTheme="minorEastAsia" w:hAnsiTheme="minorHAnsi" w:cstheme="minorBidi"/>
          <w:noProof/>
          <w:sz w:val="24"/>
          <w:szCs w:val="24"/>
          <w:lang w:val="en-US" w:eastAsia="en-GB"/>
        </w:rPr>
      </w:pPr>
      <w:hyperlink w:anchor="_Toc31811053" w:history="1">
        <w:r w:rsidR="005F312B" w:rsidRPr="00ED4D49">
          <w:rPr>
            <w:rStyle w:val="Hyperlink"/>
            <w:noProof/>
            <w:lang w:val="en-US"/>
          </w:rPr>
          <w:t>3.1.1</w:t>
        </w:r>
        <w:r w:rsidR="005F312B" w:rsidRPr="00ED4D49">
          <w:rPr>
            <w:rFonts w:asciiTheme="minorHAnsi" w:eastAsiaTheme="minorEastAsia" w:hAnsiTheme="minorHAnsi" w:cstheme="minorBidi"/>
            <w:noProof/>
            <w:sz w:val="24"/>
            <w:szCs w:val="24"/>
            <w:lang w:val="en-US" w:eastAsia="en-GB"/>
          </w:rPr>
          <w:tab/>
        </w:r>
        <w:r w:rsidR="005F312B" w:rsidRPr="00ED4D49">
          <w:rPr>
            <w:rStyle w:val="Hyperlink"/>
            <w:noProof/>
            <w:lang w:val="en-US"/>
          </w:rPr>
          <w:t>Geographic, Topographic and Geological Characterization</w:t>
        </w:r>
        <w:r w:rsidR="005F312B" w:rsidRPr="00ED4D49">
          <w:rPr>
            <w:noProof/>
            <w:webHidden/>
            <w:lang w:val="en-US"/>
          </w:rPr>
          <w:tab/>
        </w:r>
        <w:r w:rsidR="005F312B" w:rsidRPr="00ED4D49">
          <w:rPr>
            <w:noProof/>
            <w:webHidden/>
            <w:lang w:val="en-US"/>
          </w:rPr>
          <w:fldChar w:fldCharType="begin"/>
        </w:r>
        <w:r w:rsidR="005F312B" w:rsidRPr="00ED4D49">
          <w:rPr>
            <w:noProof/>
            <w:webHidden/>
            <w:lang w:val="en-US"/>
          </w:rPr>
          <w:instrText xml:space="preserve"> PAGEREF _Toc31811053 \h </w:instrText>
        </w:r>
        <w:r w:rsidR="005F312B" w:rsidRPr="00ED4D49">
          <w:rPr>
            <w:noProof/>
            <w:webHidden/>
            <w:lang w:val="en-US"/>
          </w:rPr>
        </w:r>
        <w:r w:rsidR="005F312B" w:rsidRPr="00ED4D49">
          <w:rPr>
            <w:noProof/>
            <w:webHidden/>
            <w:lang w:val="en-US"/>
          </w:rPr>
          <w:fldChar w:fldCharType="separate"/>
        </w:r>
        <w:r w:rsidR="001755CE" w:rsidRPr="00ED4D49">
          <w:rPr>
            <w:noProof/>
            <w:webHidden/>
            <w:lang w:val="en-US"/>
          </w:rPr>
          <w:t>11</w:t>
        </w:r>
        <w:r w:rsidR="005F312B" w:rsidRPr="00ED4D49">
          <w:rPr>
            <w:noProof/>
            <w:webHidden/>
            <w:lang w:val="en-US"/>
          </w:rPr>
          <w:fldChar w:fldCharType="end"/>
        </w:r>
      </w:hyperlink>
    </w:p>
    <w:p w14:paraId="715278FA" w14:textId="418C428F" w:rsidR="005F312B" w:rsidRPr="00ED4D49" w:rsidRDefault="00000000">
      <w:pPr>
        <w:pStyle w:val="TOC3"/>
        <w:rPr>
          <w:rFonts w:asciiTheme="minorHAnsi" w:eastAsiaTheme="minorEastAsia" w:hAnsiTheme="minorHAnsi" w:cstheme="minorBidi"/>
          <w:noProof/>
          <w:sz w:val="24"/>
          <w:szCs w:val="24"/>
          <w:lang w:val="en-US" w:eastAsia="en-GB"/>
        </w:rPr>
      </w:pPr>
      <w:hyperlink w:anchor="_Toc31811054" w:history="1">
        <w:r w:rsidR="005F312B" w:rsidRPr="00ED4D49">
          <w:rPr>
            <w:rStyle w:val="Hyperlink"/>
            <w:noProof/>
            <w:lang w:val="en-US"/>
          </w:rPr>
          <w:t>3.1.2</w:t>
        </w:r>
        <w:r w:rsidR="005F312B" w:rsidRPr="00ED4D49">
          <w:rPr>
            <w:rFonts w:asciiTheme="minorHAnsi" w:eastAsiaTheme="minorEastAsia" w:hAnsiTheme="minorHAnsi" w:cstheme="minorBidi"/>
            <w:noProof/>
            <w:sz w:val="24"/>
            <w:szCs w:val="24"/>
            <w:lang w:val="en-US" w:eastAsia="en-GB"/>
          </w:rPr>
          <w:tab/>
        </w:r>
        <w:r w:rsidR="005F312B" w:rsidRPr="00ED4D49">
          <w:rPr>
            <w:rStyle w:val="Hyperlink"/>
            <w:noProof/>
            <w:lang w:val="en-US"/>
          </w:rPr>
          <w:t>Climate</w:t>
        </w:r>
        <w:r w:rsidR="005F312B" w:rsidRPr="00ED4D49">
          <w:rPr>
            <w:noProof/>
            <w:webHidden/>
            <w:lang w:val="en-US"/>
          </w:rPr>
          <w:tab/>
        </w:r>
        <w:r w:rsidR="005F312B" w:rsidRPr="00ED4D49">
          <w:rPr>
            <w:noProof/>
            <w:webHidden/>
            <w:lang w:val="en-US"/>
          </w:rPr>
          <w:fldChar w:fldCharType="begin"/>
        </w:r>
        <w:r w:rsidR="005F312B" w:rsidRPr="00ED4D49">
          <w:rPr>
            <w:noProof/>
            <w:webHidden/>
            <w:lang w:val="en-US"/>
          </w:rPr>
          <w:instrText xml:space="preserve"> PAGEREF _Toc31811054 \h </w:instrText>
        </w:r>
        <w:r w:rsidR="005F312B" w:rsidRPr="00ED4D49">
          <w:rPr>
            <w:noProof/>
            <w:webHidden/>
            <w:lang w:val="en-US"/>
          </w:rPr>
        </w:r>
        <w:r w:rsidR="005F312B" w:rsidRPr="00ED4D49">
          <w:rPr>
            <w:noProof/>
            <w:webHidden/>
            <w:lang w:val="en-US"/>
          </w:rPr>
          <w:fldChar w:fldCharType="separate"/>
        </w:r>
        <w:r w:rsidR="001755CE" w:rsidRPr="00ED4D49">
          <w:rPr>
            <w:noProof/>
            <w:webHidden/>
            <w:lang w:val="en-US"/>
          </w:rPr>
          <w:t>12</w:t>
        </w:r>
        <w:r w:rsidR="005F312B" w:rsidRPr="00ED4D49">
          <w:rPr>
            <w:noProof/>
            <w:webHidden/>
            <w:lang w:val="en-US"/>
          </w:rPr>
          <w:fldChar w:fldCharType="end"/>
        </w:r>
      </w:hyperlink>
    </w:p>
    <w:p w14:paraId="03F81313" w14:textId="73938F50" w:rsidR="005F312B" w:rsidRPr="00ED4D49" w:rsidRDefault="00000000">
      <w:pPr>
        <w:pStyle w:val="TOC3"/>
        <w:rPr>
          <w:rFonts w:asciiTheme="minorHAnsi" w:eastAsiaTheme="minorEastAsia" w:hAnsiTheme="minorHAnsi" w:cstheme="minorBidi"/>
          <w:noProof/>
          <w:sz w:val="24"/>
          <w:szCs w:val="24"/>
          <w:lang w:val="en-US" w:eastAsia="en-GB"/>
        </w:rPr>
      </w:pPr>
      <w:hyperlink w:anchor="_Toc31811055" w:history="1">
        <w:r w:rsidR="005F312B" w:rsidRPr="00ED4D49">
          <w:rPr>
            <w:rStyle w:val="Hyperlink"/>
            <w:noProof/>
            <w:lang w:val="en-US"/>
          </w:rPr>
          <w:t>3.1.3</w:t>
        </w:r>
        <w:r w:rsidR="005F312B" w:rsidRPr="00ED4D49">
          <w:rPr>
            <w:rFonts w:asciiTheme="minorHAnsi" w:eastAsiaTheme="minorEastAsia" w:hAnsiTheme="minorHAnsi" w:cstheme="minorBidi"/>
            <w:noProof/>
            <w:sz w:val="24"/>
            <w:szCs w:val="24"/>
            <w:lang w:val="en-US" w:eastAsia="en-GB"/>
          </w:rPr>
          <w:tab/>
        </w:r>
        <w:r w:rsidR="005F312B" w:rsidRPr="00ED4D49">
          <w:rPr>
            <w:rStyle w:val="Hyperlink"/>
            <w:noProof/>
            <w:lang w:val="en-US"/>
          </w:rPr>
          <w:t>Climate Change</w:t>
        </w:r>
        <w:r w:rsidR="005F312B" w:rsidRPr="00ED4D49">
          <w:rPr>
            <w:noProof/>
            <w:webHidden/>
            <w:lang w:val="en-US"/>
          </w:rPr>
          <w:tab/>
        </w:r>
        <w:r w:rsidR="005F312B" w:rsidRPr="00ED4D49">
          <w:rPr>
            <w:noProof/>
            <w:webHidden/>
            <w:lang w:val="en-US"/>
          </w:rPr>
          <w:fldChar w:fldCharType="begin"/>
        </w:r>
        <w:r w:rsidR="005F312B" w:rsidRPr="00ED4D49">
          <w:rPr>
            <w:noProof/>
            <w:webHidden/>
            <w:lang w:val="en-US"/>
          </w:rPr>
          <w:instrText xml:space="preserve"> PAGEREF _Toc31811055 \h </w:instrText>
        </w:r>
        <w:r w:rsidR="005F312B" w:rsidRPr="00ED4D49">
          <w:rPr>
            <w:noProof/>
            <w:webHidden/>
            <w:lang w:val="en-US"/>
          </w:rPr>
        </w:r>
        <w:r w:rsidR="005F312B" w:rsidRPr="00ED4D49">
          <w:rPr>
            <w:noProof/>
            <w:webHidden/>
            <w:lang w:val="en-US"/>
          </w:rPr>
          <w:fldChar w:fldCharType="separate"/>
        </w:r>
        <w:r w:rsidR="001755CE" w:rsidRPr="00ED4D49">
          <w:rPr>
            <w:noProof/>
            <w:webHidden/>
            <w:lang w:val="en-US"/>
          </w:rPr>
          <w:t>13</w:t>
        </w:r>
        <w:r w:rsidR="005F312B" w:rsidRPr="00ED4D49">
          <w:rPr>
            <w:noProof/>
            <w:webHidden/>
            <w:lang w:val="en-US"/>
          </w:rPr>
          <w:fldChar w:fldCharType="end"/>
        </w:r>
      </w:hyperlink>
    </w:p>
    <w:p w14:paraId="5F0063F1" w14:textId="2574ECB7" w:rsidR="005F312B" w:rsidRPr="00ED4D49" w:rsidRDefault="00000000">
      <w:pPr>
        <w:pStyle w:val="TOC3"/>
        <w:rPr>
          <w:rFonts w:asciiTheme="minorHAnsi" w:eastAsiaTheme="minorEastAsia" w:hAnsiTheme="minorHAnsi" w:cstheme="minorBidi"/>
          <w:noProof/>
          <w:sz w:val="24"/>
          <w:szCs w:val="24"/>
          <w:lang w:val="en-US" w:eastAsia="en-GB"/>
        </w:rPr>
      </w:pPr>
      <w:hyperlink w:anchor="_Toc31811056" w:history="1">
        <w:r w:rsidR="005F312B" w:rsidRPr="00ED4D49">
          <w:rPr>
            <w:rStyle w:val="Hyperlink"/>
            <w:noProof/>
            <w:lang w:val="en-US"/>
          </w:rPr>
          <w:t>3.1.4</w:t>
        </w:r>
        <w:r w:rsidR="005F312B" w:rsidRPr="00ED4D49">
          <w:rPr>
            <w:rFonts w:asciiTheme="minorHAnsi" w:eastAsiaTheme="minorEastAsia" w:hAnsiTheme="minorHAnsi" w:cstheme="minorBidi"/>
            <w:noProof/>
            <w:sz w:val="24"/>
            <w:szCs w:val="24"/>
            <w:lang w:val="en-US" w:eastAsia="en-GB"/>
          </w:rPr>
          <w:tab/>
        </w:r>
        <w:r w:rsidR="005F312B" w:rsidRPr="00ED4D49">
          <w:rPr>
            <w:rStyle w:val="Hyperlink"/>
            <w:noProof/>
            <w:lang w:val="en-US"/>
          </w:rPr>
          <w:t>Water Quality</w:t>
        </w:r>
        <w:r w:rsidR="005F312B" w:rsidRPr="00ED4D49">
          <w:rPr>
            <w:noProof/>
            <w:webHidden/>
            <w:lang w:val="en-US"/>
          </w:rPr>
          <w:tab/>
        </w:r>
        <w:r w:rsidR="005F312B" w:rsidRPr="00ED4D49">
          <w:rPr>
            <w:noProof/>
            <w:webHidden/>
            <w:lang w:val="en-US"/>
          </w:rPr>
          <w:fldChar w:fldCharType="begin"/>
        </w:r>
        <w:r w:rsidR="005F312B" w:rsidRPr="00ED4D49">
          <w:rPr>
            <w:noProof/>
            <w:webHidden/>
            <w:lang w:val="en-US"/>
          </w:rPr>
          <w:instrText xml:space="preserve"> PAGEREF _Toc31811056 \h </w:instrText>
        </w:r>
        <w:r w:rsidR="005F312B" w:rsidRPr="00ED4D49">
          <w:rPr>
            <w:noProof/>
            <w:webHidden/>
            <w:lang w:val="en-US"/>
          </w:rPr>
        </w:r>
        <w:r w:rsidR="005F312B" w:rsidRPr="00ED4D49">
          <w:rPr>
            <w:noProof/>
            <w:webHidden/>
            <w:lang w:val="en-US"/>
          </w:rPr>
          <w:fldChar w:fldCharType="separate"/>
        </w:r>
        <w:r w:rsidR="001755CE" w:rsidRPr="00ED4D49">
          <w:rPr>
            <w:noProof/>
            <w:webHidden/>
            <w:lang w:val="en-US"/>
          </w:rPr>
          <w:t>14</w:t>
        </w:r>
        <w:r w:rsidR="005F312B" w:rsidRPr="00ED4D49">
          <w:rPr>
            <w:noProof/>
            <w:webHidden/>
            <w:lang w:val="en-US"/>
          </w:rPr>
          <w:fldChar w:fldCharType="end"/>
        </w:r>
      </w:hyperlink>
    </w:p>
    <w:p w14:paraId="2D06FC8D" w14:textId="42811C38" w:rsidR="005F312B" w:rsidRPr="00ED4D49" w:rsidRDefault="00000000">
      <w:pPr>
        <w:pStyle w:val="TOC3"/>
        <w:rPr>
          <w:rFonts w:asciiTheme="minorHAnsi" w:eastAsiaTheme="minorEastAsia" w:hAnsiTheme="minorHAnsi" w:cstheme="minorBidi"/>
          <w:noProof/>
          <w:sz w:val="24"/>
          <w:szCs w:val="24"/>
          <w:lang w:val="en-US" w:eastAsia="en-GB"/>
        </w:rPr>
      </w:pPr>
      <w:hyperlink w:anchor="_Toc31811057" w:history="1">
        <w:r w:rsidR="005F312B" w:rsidRPr="00ED4D49">
          <w:rPr>
            <w:rStyle w:val="Hyperlink"/>
            <w:noProof/>
            <w:lang w:val="en-US"/>
          </w:rPr>
          <w:t>3.1.5</w:t>
        </w:r>
        <w:r w:rsidR="005F312B" w:rsidRPr="00ED4D49">
          <w:rPr>
            <w:rFonts w:asciiTheme="minorHAnsi" w:eastAsiaTheme="minorEastAsia" w:hAnsiTheme="minorHAnsi" w:cstheme="minorBidi"/>
            <w:noProof/>
            <w:sz w:val="24"/>
            <w:szCs w:val="24"/>
            <w:lang w:val="en-US" w:eastAsia="en-GB"/>
          </w:rPr>
          <w:tab/>
        </w:r>
        <w:r w:rsidR="005F312B" w:rsidRPr="00ED4D49">
          <w:rPr>
            <w:rStyle w:val="Hyperlink"/>
            <w:noProof/>
            <w:lang w:val="en-US"/>
          </w:rPr>
          <w:t>Biodiversity and Protected Areas</w:t>
        </w:r>
        <w:r w:rsidR="005F312B" w:rsidRPr="00ED4D49">
          <w:rPr>
            <w:noProof/>
            <w:webHidden/>
            <w:lang w:val="en-US"/>
          </w:rPr>
          <w:tab/>
        </w:r>
        <w:r w:rsidR="005F312B" w:rsidRPr="00ED4D49">
          <w:rPr>
            <w:noProof/>
            <w:webHidden/>
            <w:lang w:val="en-US"/>
          </w:rPr>
          <w:fldChar w:fldCharType="begin"/>
        </w:r>
        <w:r w:rsidR="005F312B" w:rsidRPr="00ED4D49">
          <w:rPr>
            <w:noProof/>
            <w:webHidden/>
            <w:lang w:val="en-US"/>
          </w:rPr>
          <w:instrText xml:space="preserve"> PAGEREF _Toc31811057 \h </w:instrText>
        </w:r>
        <w:r w:rsidR="005F312B" w:rsidRPr="00ED4D49">
          <w:rPr>
            <w:noProof/>
            <w:webHidden/>
            <w:lang w:val="en-US"/>
          </w:rPr>
        </w:r>
        <w:r w:rsidR="005F312B" w:rsidRPr="00ED4D49">
          <w:rPr>
            <w:noProof/>
            <w:webHidden/>
            <w:lang w:val="en-US"/>
          </w:rPr>
          <w:fldChar w:fldCharType="separate"/>
        </w:r>
        <w:r w:rsidR="001755CE" w:rsidRPr="00ED4D49">
          <w:rPr>
            <w:noProof/>
            <w:webHidden/>
            <w:lang w:val="en-US"/>
          </w:rPr>
          <w:t>16</w:t>
        </w:r>
        <w:r w:rsidR="005F312B" w:rsidRPr="00ED4D49">
          <w:rPr>
            <w:noProof/>
            <w:webHidden/>
            <w:lang w:val="en-US"/>
          </w:rPr>
          <w:fldChar w:fldCharType="end"/>
        </w:r>
      </w:hyperlink>
    </w:p>
    <w:p w14:paraId="00138B90" w14:textId="1119EFF5" w:rsidR="005F312B" w:rsidRPr="00ED4D49" w:rsidRDefault="00000000">
      <w:pPr>
        <w:pStyle w:val="TOC3"/>
        <w:rPr>
          <w:rFonts w:asciiTheme="minorHAnsi" w:eastAsiaTheme="minorEastAsia" w:hAnsiTheme="minorHAnsi" w:cstheme="minorBidi"/>
          <w:noProof/>
          <w:sz w:val="24"/>
          <w:szCs w:val="24"/>
          <w:lang w:val="en-US" w:eastAsia="en-GB"/>
        </w:rPr>
      </w:pPr>
      <w:hyperlink w:anchor="_Toc31811058" w:history="1">
        <w:r w:rsidR="005F312B" w:rsidRPr="00ED4D49">
          <w:rPr>
            <w:rStyle w:val="Hyperlink"/>
            <w:noProof/>
            <w:lang w:val="en-US"/>
          </w:rPr>
          <w:t>3.1.6</w:t>
        </w:r>
        <w:r w:rsidR="005F312B" w:rsidRPr="00ED4D49">
          <w:rPr>
            <w:rFonts w:asciiTheme="minorHAnsi" w:eastAsiaTheme="minorEastAsia" w:hAnsiTheme="minorHAnsi" w:cstheme="minorBidi"/>
            <w:noProof/>
            <w:sz w:val="24"/>
            <w:szCs w:val="24"/>
            <w:lang w:val="en-US" w:eastAsia="en-GB"/>
          </w:rPr>
          <w:tab/>
        </w:r>
        <w:r w:rsidR="005F312B" w:rsidRPr="00ED4D49">
          <w:rPr>
            <w:rStyle w:val="Hyperlink"/>
            <w:noProof/>
            <w:shd w:val="clear" w:color="auto" w:fill="FFFFFF"/>
            <w:lang w:val="en-US"/>
          </w:rPr>
          <w:t>Cultural and Historical Heritage</w:t>
        </w:r>
        <w:r w:rsidR="005F312B" w:rsidRPr="00ED4D49">
          <w:rPr>
            <w:noProof/>
            <w:webHidden/>
            <w:lang w:val="en-US"/>
          </w:rPr>
          <w:tab/>
        </w:r>
        <w:r w:rsidR="005F312B" w:rsidRPr="00ED4D49">
          <w:rPr>
            <w:noProof/>
            <w:webHidden/>
            <w:lang w:val="en-US"/>
          </w:rPr>
          <w:fldChar w:fldCharType="begin"/>
        </w:r>
        <w:r w:rsidR="005F312B" w:rsidRPr="00ED4D49">
          <w:rPr>
            <w:noProof/>
            <w:webHidden/>
            <w:lang w:val="en-US"/>
          </w:rPr>
          <w:instrText xml:space="preserve"> PAGEREF _Toc31811058 \h </w:instrText>
        </w:r>
        <w:r w:rsidR="005F312B" w:rsidRPr="00ED4D49">
          <w:rPr>
            <w:noProof/>
            <w:webHidden/>
            <w:lang w:val="en-US"/>
          </w:rPr>
        </w:r>
        <w:r w:rsidR="005F312B" w:rsidRPr="00ED4D49">
          <w:rPr>
            <w:noProof/>
            <w:webHidden/>
            <w:lang w:val="en-US"/>
          </w:rPr>
          <w:fldChar w:fldCharType="separate"/>
        </w:r>
        <w:r w:rsidR="001755CE" w:rsidRPr="00ED4D49">
          <w:rPr>
            <w:noProof/>
            <w:webHidden/>
            <w:lang w:val="en-US"/>
          </w:rPr>
          <w:t>19</w:t>
        </w:r>
        <w:r w:rsidR="005F312B" w:rsidRPr="00ED4D49">
          <w:rPr>
            <w:noProof/>
            <w:webHidden/>
            <w:lang w:val="en-US"/>
          </w:rPr>
          <w:fldChar w:fldCharType="end"/>
        </w:r>
      </w:hyperlink>
    </w:p>
    <w:p w14:paraId="08DDBABA" w14:textId="0F5B7800" w:rsidR="005F312B" w:rsidRPr="00ED4D49" w:rsidRDefault="00000000">
      <w:pPr>
        <w:pStyle w:val="TOC2"/>
        <w:rPr>
          <w:rFonts w:asciiTheme="minorHAnsi" w:eastAsiaTheme="minorEastAsia" w:hAnsiTheme="minorHAnsi" w:cstheme="minorBidi"/>
          <w:noProof/>
          <w:sz w:val="24"/>
          <w:szCs w:val="24"/>
          <w:lang w:val="en-US" w:eastAsia="en-GB"/>
        </w:rPr>
      </w:pPr>
      <w:hyperlink w:anchor="_Toc31811059" w:history="1">
        <w:r w:rsidR="005F312B" w:rsidRPr="00ED4D49">
          <w:rPr>
            <w:rStyle w:val="Hyperlink"/>
            <w:noProof/>
            <w:lang w:val="en-US"/>
          </w:rPr>
          <w:t>3.2</w:t>
        </w:r>
        <w:r w:rsidR="005F312B" w:rsidRPr="00ED4D49">
          <w:rPr>
            <w:rFonts w:asciiTheme="minorHAnsi" w:eastAsiaTheme="minorEastAsia" w:hAnsiTheme="minorHAnsi" w:cstheme="minorBidi"/>
            <w:noProof/>
            <w:sz w:val="24"/>
            <w:szCs w:val="24"/>
            <w:lang w:val="en-US" w:eastAsia="en-GB"/>
          </w:rPr>
          <w:tab/>
        </w:r>
        <w:r w:rsidR="005F312B" w:rsidRPr="00ED4D49">
          <w:rPr>
            <w:rStyle w:val="Hyperlink"/>
            <w:noProof/>
            <w:lang w:val="en-US"/>
          </w:rPr>
          <w:t>Sava River Basin</w:t>
        </w:r>
        <w:r w:rsidR="005F312B" w:rsidRPr="00ED4D49">
          <w:rPr>
            <w:noProof/>
            <w:webHidden/>
            <w:lang w:val="en-US"/>
          </w:rPr>
          <w:tab/>
        </w:r>
        <w:r w:rsidR="005F312B" w:rsidRPr="00ED4D49">
          <w:rPr>
            <w:noProof/>
            <w:webHidden/>
            <w:lang w:val="en-US"/>
          </w:rPr>
          <w:fldChar w:fldCharType="begin"/>
        </w:r>
        <w:r w:rsidR="005F312B" w:rsidRPr="00ED4D49">
          <w:rPr>
            <w:noProof/>
            <w:webHidden/>
            <w:lang w:val="en-US"/>
          </w:rPr>
          <w:instrText xml:space="preserve"> PAGEREF _Toc31811059 \h </w:instrText>
        </w:r>
        <w:r w:rsidR="005F312B" w:rsidRPr="00ED4D49">
          <w:rPr>
            <w:noProof/>
            <w:webHidden/>
            <w:lang w:val="en-US"/>
          </w:rPr>
        </w:r>
        <w:r w:rsidR="005F312B" w:rsidRPr="00ED4D49">
          <w:rPr>
            <w:noProof/>
            <w:webHidden/>
            <w:lang w:val="en-US"/>
          </w:rPr>
          <w:fldChar w:fldCharType="separate"/>
        </w:r>
        <w:r w:rsidR="001755CE" w:rsidRPr="00ED4D49">
          <w:rPr>
            <w:noProof/>
            <w:webHidden/>
            <w:lang w:val="en-US"/>
          </w:rPr>
          <w:t>20</w:t>
        </w:r>
        <w:r w:rsidR="005F312B" w:rsidRPr="00ED4D49">
          <w:rPr>
            <w:noProof/>
            <w:webHidden/>
            <w:lang w:val="en-US"/>
          </w:rPr>
          <w:fldChar w:fldCharType="end"/>
        </w:r>
      </w:hyperlink>
    </w:p>
    <w:p w14:paraId="3D5139E1" w14:textId="094E23FD" w:rsidR="005F312B" w:rsidRPr="00ED4D49" w:rsidRDefault="00000000">
      <w:pPr>
        <w:pStyle w:val="TOC3"/>
        <w:rPr>
          <w:rFonts w:asciiTheme="minorHAnsi" w:eastAsiaTheme="minorEastAsia" w:hAnsiTheme="minorHAnsi" w:cstheme="minorBidi"/>
          <w:noProof/>
          <w:sz w:val="24"/>
          <w:szCs w:val="24"/>
          <w:lang w:val="en-US" w:eastAsia="en-GB"/>
        </w:rPr>
      </w:pPr>
      <w:hyperlink w:anchor="_Toc31811060" w:history="1">
        <w:r w:rsidR="005F312B" w:rsidRPr="00ED4D49">
          <w:rPr>
            <w:rStyle w:val="Hyperlink"/>
            <w:noProof/>
            <w:lang w:val="en-US"/>
          </w:rPr>
          <w:t>3.2.1</w:t>
        </w:r>
        <w:r w:rsidR="005F312B" w:rsidRPr="00ED4D49">
          <w:rPr>
            <w:rFonts w:asciiTheme="minorHAnsi" w:eastAsiaTheme="minorEastAsia" w:hAnsiTheme="minorHAnsi" w:cstheme="minorBidi"/>
            <w:noProof/>
            <w:sz w:val="24"/>
            <w:szCs w:val="24"/>
            <w:lang w:val="en-US" w:eastAsia="en-GB"/>
          </w:rPr>
          <w:tab/>
        </w:r>
        <w:r w:rsidR="005F312B" w:rsidRPr="00ED4D49">
          <w:rPr>
            <w:rStyle w:val="Hyperlink"/>
            <w:noProof/>
            <w:lang w:val="en-US"/>
          </w:rPr>
          <w:t>Geographic, Topographic and Geological Characterization</w:t>
        </w:r>
        <w:r w:rsidR="005F312B" w:rsidRPr="00ED4D49">
          <w:rPr>
            <w:noProof/>
            <w:webHidden/>
            <w:lang w:val="en-US"/>
          </w:rPr>
          <w:tab/>
        </w:r>
        <w:r w:rsidR="005F312B" w:rsidRPr="00ED4D49">
          <w:rPr>
            <w:noProof/>
            <w:webHidden/>
            <w:lang w:val="en-US"/>
          </w:rPr>
          <w:fldChar w:fldCharType="begin"/>
        </w:r>
        <w:r w:rsidR="005F312B" w:rsidRPr="00ED4D49">
          <w:rPr>
            <w:noProof/>
            <w:webHidden/>
            <w:lang w:val="en-US"/>
          </w:rPr>
          <w:instrText xml:space="preserve"> PAGEREF _Toc31811060 \h </w:instrText>
        </w:r>
        <w:r w:rsidR="005F312B" w:rsidRPr="00ED4D49">
          <w:rPr>
            <w:noProof/>
            <w:webHidden/>
            <w:lang w:val="en-US"/>
          </w:rPr>
        </w:r>
        <w:r w:rsidR="005F312B" w:rsidRPr="00ED4D49">
          <w:rPr>
            <w:noProof/>
            <w:webHidden/>
            <w:lang w:val="en-US"/>
          </w:rPr>
          <w:fldChar w:fldCharType="separate"/>
        </w:r>
        <w:r w:rsidR="001755CE" w:rsidRPr="00ED4D49">
          <w:rPr>
            <w:noProof/>
            <w:webHidden/>
            <w:lang w:val="en-US"/>
          </w:rPr>
          <w:t>20</w:t>
        </w:r>
        <w:r w:rsidR="005F312B" w:rsidRPr="00ED4D49">
          <w:rPr>
            <w:noProof/>
            <w:webHidden/>
            <w:lang w:val="en-US"/>
          </w:rPr>
          <w:fldChar w:fldCharType="end"/>
        </w:r>
      </w:hyperlink>
    </w:p>
    <w:p w14:paraId="702638BB" w14:textId="74ECF9C8" w:rsidR="005F312B" w:rsidRPr="00ED4D49" w:rsidRDefault="00000000">
      <w:pPr>
        <w:pStyle w:val="TOC3"/>
        <w:rPr>
          <w:rFonts w:asciiTheme="minorHAnsi" w:eastAsiaTheme="minorEastAsia" w:hAnsiTheme="minorHAnsi" w:cstheme="minorBidi"/>
          <w:noProof/>
          <w:sz w:val="24"/>
          <w:szCs w:val="24"/>
          <w:lang w:val="en-US" w:eastAsia="en-GB"/>
        </w:rPr>
      </w:pPr>
      <w:hyperlink w:anchor="_Toc31811061" w:history="1">
        <w:r w:rsidR="005F312B" w:rsidRPr="00ED4D49">
          <w:rPr>
            <w:rStyle w:val="Hyperlink"/>
            <w:noProof/>
            <w:lang w:val="en-US"/>
          </w:rPr>
          <w:t>3.2.2</w:t>
        </w:r>
        <w:r w:rsidR="005F312B" w:rsidRPr="00ED4D49">
          <w:rPr>
            <w:rFonts w:asciiTheme="minorHAnsi" w:eastAsiaTheme="minorEastAsia" w:hAnsiTheme="minorHAnsi" w:cstheme="minorBidi"/>
            <w:noProof/>
            <w:sz w:val="24"/>
            <w:szCs w:val="24"/>
            <w:lang w:val="en-US" w:eastAsia="en-GB"/>
          </w:rPr>
          <w:tab/>
        </w:r>
        <w:r w:rsidR="005F312B" w:rsidRPr="00ED4D49">
          <w:rPr>
            <w:rStyle w:val="Hyperlink"/>
            <w:noProof/>
            <w:lang w:val="en-US"/>
          </w:rPr>
          <w:t>Climate</w:t>
        </w:r>
        <w:r w:rsidR="005F312B" w:rsidRPr="00ED4D49">
          <w:rPr>
            <w:noProof/>
            <w:webHidden/>
            <w:lang w:val="en-US"/>
          </w:rPr>
          <w:tab/>
        </w:r>
        <w:r w:rsidR="005F312B" w:rsidRPr="00ED4D49">
          <w:rPr>
            <w:noProof/>
            <w:webHidden/>
            <w:lang w:val="en-US"/>
          </w:rPr>
          <w:fldChar w:fldCharType="begin"/>
        </w:r>
        <w:r w:rsidR="005F312B" w:rsidRPr="00ED4D49">
          <w:rPr>
            <w:noProof/>
            <w:webHidden/>
            <w:lang w:val="en-US"/>
          </w:rPr>
          <w:instrText xml:space="preserve"> PAGEREF _Toc31811061 \h </w:instrText>
        </w:r>
        <w:r w:rsidR="005F312B" w:rsidRPr="00ED4D49">
          <w:rPr>
            <w:noProof/>
            <w:webHidden/>
            <w:lang w:val="en-US"/>
          </w:rPr>
        </w:r>
        <w:r w:rsidR="005F312B" w:rsidRPr="00ED4D49">
          <w:rPr>
            <w:noProof/>
            <w:webHidden/>
            <w:lang w:val="en-US"/>
          </w:rPr>
          <w:fldChar w:fldCharType="separate"/>
        </w:r>
        <w:r w:rsidR="001755CE" w:rsidRPr="00ED4D49">
          <w:rPr>
            <w:noProof/>
            <w:webHidden/>
            <w:lang w:val="en-US"/>
          </w:rPr>
          <w:t>21</w:t>
        </w:r>
        <w:r w:rsidR="005F312B" w:rsidRPr="00ED4D49">
          <w:rPr>
            <w:noProof/>
            <w:webHidden/>
            <w:lang w:val="en-US"/>
          </w:rPr>
          <w:fldChar w:fldCharType="end"/>
        </w:r>
      </w:hyperlink>
    </w:p>
    <w:p w14:paraId="055B5D51" w14:textId="167A2788" w:rsidR="005F312B" w:rsidRPr="00ED4D49" w:rsidRDefault="00000000">
      <w:pPr>
        <w:pStyle w:val="TOC3"/>
        <w:rPr>
          <w:rFonts w:asciiTheme="minorHAnsi" w:eastAsiaTheme="minorEastAsia" w:hAnsiTheme="minorHAnsi" w:cstheme="minorBidi"/>
          <w:noProof/>
          <w:sz w:val="24"/>
          <w:szCs w:val="24"/>
          <w:lang w:val="en-US" w:eastAsia="en-GB"/>
        </w:rPr>
      </w:pPr>
      <w:hyperlink w:anchor="_Toc31811062" w:history="1">
        <w:r w:rsidR="005F312B" w:rsidRPr="00ED4D49">
          <w:rPr>
            <w:rStyle w:val="Hyperlink"/>
            <w:noProof/>
            <w:lang w:val="en-US"/>
          </w:rPr>
          <w:t>3.2.3</w:t>
        </w:r>
        <w:r w:rsidR="005F312B" w:rsidRPr="00ED4D49">
          <w:rPr>
            <w:rFonts w:asciiTheme="minorHAnsi" w:eastAsiaTheme="minorEastAsia" w:hAnsiTheme="minorHAnsi" w:cstheme="minorBidi"/>
            <w:noProof/>
            <w:sz w:val="24"/>
            <w:szCs w:val="24"/>
            <w:lang w:val="en-US" w:eastAsia="en-GB"/>
          </w:rPr>
          <w:tab/>
        </w:r>
        <w:r w:rsidR="005F312B" w:rsidRPr="00ED4D49">
          <w:rPr>
            <w:rStyle w:val="Hyperlink"/>
            <w:noProof/>
            <w:lang w:val="en-US"/>
          </w:rPr>
          <w:t>Climate Change</w:t>
        </w:r>
        <w:r w:rsidR="005F312B" w:rsidRPr="00ED4D49">
          <w:rPr>
            <w:noProof/>
            <w:webHidden/>
            <w:lang w:val="en-US"/>
          </w:rPr>
          <w:tab/>
        </w:r>
        <w:r w:rsidR="005F312B" w:rsidRPr="00ED4D49">
          <w:rPr>
            <w:noProof/>
            <w:webHidden/>
            <w:lang w:val="en-US"/>
          </w:rPr>
          <w:fldChar w:fldCharType="begin"/>
        </w:r>
        <w:r w:rsidR="005F312B" w:rsidRPr="00ED4D49">
          <w:rPr>
            <w:noProof/>
            <w:webHidden/>
            <w:lang w:val="en-US"/>
          </w:rPr>
          <w:instrText xml:space="preserve"> PAGEREF _Toc31811062 \h </w:instrText>
        </w:r>
        <w:r w:rsidR="005F312B" w:rsidRPr="00ED4D49">
          <w:rPr>
            <w:noProof/>
            <w:webHidden/>
            <w:lang w:val="en-US"/>
          </w:rPr>
        </w:r>
        <w:r w:rsidR="005F312B" w:rsidRPr="00ED4D49">
          <w:rPr>
            <w:noProof/>
            <w:webHidden/>
            <w:lang w:val="en-US"/>
          </w:rPr>
          <w:fldChar w:fldCharType="separate"/>
        </w:r>
        <w:r w:rsidR="001755CE" w:rsidRPr="00ED4D49">
          <w:rPr>
            <w:noProof/>
            <w:webHidden/>
            <w:lang w:val="en-US"/>
          </w:rPr>
          <w:t>21</w:t>
        </w:r>
        <w:r w:rsidR="005F312B" w:rsidRPr="00ED4D49">
          <w:rPr>
            <w:noProof/>
            <w:webHidden/>
            <w:lang w:val="en-US"/>
          </w:rPr>
          <w:fldChar w:fldCharType="end"/>
        </w:r>
      </w:hyperlink>
    </w:p>
    <w:p w14:paraId="1D1797D0" w14:textId="0DBE1F29" w:rsidR="005F312B" w:rsidRPr="00ED4D49" w:rsidRDefault="00000000">
      <w:pPr>
        <w:pStyle w:val="TOC3"/>
        <w:rPr>
          <w:rFonts w:asciiTheme="minorHAnsi" w:eastAsiaTheme="minorEastAsia" w:hAnsiTheme="minorHAnsi" w:cstheme="minorBidi"/>
          <w:noProof/>
          <w:sz w:val="24"/>
          <w:szCs w:val="24"/>
          <w:lang w:val="en-US" w:eastAsia="en-GB"/>
        </w:rPr>
      </w:pPr>
      <w:hyperlink w:anchor="_Toc31811063" w:history="1">
        <w:r w:rsidR="005F312B" w:rsidRPr="00ED4D49">
          <w:rPr>
            <w:rStyle w:val="Hyperlink"/>
            <w:noProof/>
            <w:lang w:val="en-US"/>
          </w:rPr>
          <w:t>3.2.4</w:t>
        </w:r>
        <w:r w:rsidR="005F312B" w:rsidRPr="00ED4D49">
          <w:rPr>
            <w:rFonts w:asciiTheme="minorHAnsi" w:eastAsiaTheme="minorEastAsia" w:hAnsiTheme="minorHAnsi" w:cstheme="minorBidi"/>
            <w:noProof/>
            <w:sz w:val="24"/>
            <w:szCs w:val="24"/>
            <w:lang w:val="en-US" w:eastAsia="en-GB"/>
          </w:rPr>
          <w:tab/>
        </w:r>
        <w:r w:rsidR="005F312B" w:rsidRPr="00ED4D49">
          <w:rPr>
            <w:rStyle w:val="Hyperlink"/>
            <w:noProof/>
            <w:lang w:val="en-US"/>
          </w:rPr>
          <w:t>Water Quality</w:t>
        </w:r>
        <w:r w:rsidR="005F312B" w:rsidRPr="00ED4D49">
          <w:rPr>
            <w:noProof/>
            <w:webHidden/>
            <w:lang w:val="en-US"/>
          </w:rPr>
          <w:tab/>
        </w:r>
        <w:r w:rsidR="005F312B" w:rsidRPr="00ED4D49">
          <w:rPr>
            <w:noProof/>
            <w:webHidden/>
            <w:lang w:val="en-US"/>
          </w:rPr>
          <w:fldChar w:fldCharType="begin"/>
        </w:r>
        <w:r w:rsidR="005F312B" w:rsidRPr="00ED4D49">
          <w:rPr>
            <w:noProof/>
            <w:webHidden/>
            <w:lang w:val="en-US"/>
          </w:rPr>
          <w:instrText xml:space="preserve"> PAGEREF _Toc31811063 \h </w:instrText>
        </w:r>
        <w:r w:rsidR="005F312B" w:rsidRPr="00ED4D49">
          <w:rPr>
            <w:noProof/>
            <w:webHidden/>
            <w:lang w:val="en-US"/>
          </w:rPr>
        </w:r>
        <w:r w:rsidR="005F312B" w:rsidRPr="00ED4D49">
          <w:rPr>
            <w:noProof/>
            <w:webHidden/>
            <w:lang w:val="en-US"/>
          </w:rPr>
          <w:fldChar w:fldCharType="separate"/>
        </w:r>
        <w:r w:rsidR="001755CE" w:rsidRPr="00ED4D49">
          <w:rPr>
            <w:noProof/>
            <w:webHidden/>
            <w:lang w:val="en-US"/>
          </w:rPr>
          <w:t>22</w:t>
        </w:r>
        <w:r w:rsidR="005F312B" w:rsidRPr="00ED4D49">
          <w:rPr>
            <w:noProof/>
            <w:webHidden/>
            <w:lang w:val="en-US"/>
          </w:rPr>
          <w:fldChar w:fldCharType="end"/>
        </w:r>
      </w:hyperlink>
    </w:p>
    <w:p w14:paraId="2D27C08F" w14:textId="6B7FF133" w:rsidR="005F312B" w:rsidRPr="00ED4D49" w:rsidRDefault="00000000">
      <w:pPr>
        <w:pStyle w:val="TOC3"/>
        <w:rPr>
          <w:rFonts w:asciiTheme="minorHAnsi" w:eastAsiaTheme="minorEastAsia" w:hAnsiTheme="minorHAnsi" w:cstheme="minorBidi"/>
          <w:noProof/>
          <w:sz w:val="24"/>
          <w:szCs w:val="24"/>
          <w:lang w:val="en-US" w:eastAsia="en-GB"/>
        </w:rPr>
      </w:pPr>
      <w:hyperlink w:anchor="_Toc31811064" w:history="1">
        <w:r w:rsidR="005F312B" w:rsidRPr="00ED4D49">
          <w:rPr>
            <w:rStyle w:val="Hyperlink"/>
            <w:noProof/>
            <w:lang w:val="en-US"/>
          </w:rPr>
          <w:t>3.2.5</w:t>
        </w:r>
        <w:r w:rsidR="005F312B" w:rsidRPr="00ED4D49">
          <w:rPr>
            <w:rFonts w:asciiTheme="minorHAnsi" w:eastAsiaTheme="minorEastAsia" w:hAnsiTheme="minorHAnsi" w:cstheme="minorBidi"/>
            <w:noProof/>
            <w:sz w:val="24"/>
            <w:szCs w:val="24"/>
            <w:lang w:val="en-US" w:eastAsia="en-GB"/>
          </w:rPr>
          <w:tab/>
        </w:r>
        <w:r w:rsidR="005F312B" w:rsidRPr="00ED4D49">
          <w:rPr>
            <w:rStyle w:val="Hyperlink"/>
            <w:noProof/>
            <w:lang w:val="en-US"/>
          </w:rPr>
          <w:t>Biodiversity and Protected Areas</w:t>
        </w:r>
        <w:r w:rsidR="005F312B" w:rsidRPr="00ED4D49">
          <w:rPr>
            <w:noProof/>
            <w:webHidden/>
            <w:lang w:val="en-US"/>
          </w:rPr>
          <w:tab/>
        </w:r>
        <w:r w:rsidR="005F312B" w:rsidRPr="00ED4D49">
          <w:rPr>
            <w:noProof/>
            <w:webHidden/>
            <w:lang w:val="en-US"/>
          </w:rPr>
          <w:fldChar w:fldCharType="begin"/>
        </w:r>
        <w:r w:rsidR="005F312B" w:rsidRPr="00ED4D49">
          <w:rPr>
            <w:noProof/>
            <w:webHidden/>
            <w:lang w:val="en-US"/>
          </w:rPr>
          <w:instrText xml:space="preserve"> PAGEREF _Toc31811064 \h </w:instrText>
        </w:r>
        <w:r w:rsidR="005F312B" w:rsidRPr="00ED4D49">
          <w:rPr>
            <w:noProof/>
            <w:webHidden/>
            <w:lang w:val="en-US"/>
          </w:rPr>
        </w:r>
        <w:r w:rsidR="005F312B" w:rsidRPr="00ED4D49">
          <w:rPr>
            <w:noProof/>
            <w:webHidden/>
            <w:lang w:val="en-US"/>
          </w:rPr>
          <w:fldChar w:fldCharType="separate"/>
        </w:r>
        <w:r w:rsidR="001755CE" w:rsidRPr="00ED4D49">
          <w:rPr>
            <w:noProof/>
            <w:webHidden/>
            <w:lang w:val="en-US"/>
          </w:rPr>
          <w:t>24</w:t>
        </w:r>
        <w:r w:rsidR="005F312B" w:rsidRPr="00ED4D49">
          <w:rPr>
            <w:noProof/>
            <w:webHidden/>
            <w:lang w:val="en-US"/>
          </w:rPr>
          <w:fldChar w:fldCharType="end"/>
        </w:r>
      </w:hyperlink>
    </w:p>
    <w:p w14:paraId="6912F80D" w14:textId="013C4E25" w:rsidR="005F312B" w:rsidRPr="00ED4D49" w:rsidRDefault="00000000">
      <w:pPr>
        <w:pStyle w:val="TOC3"/>
        <w:rPr>
          <w:rFonts w:asciiTheme="minorHAnsi" w:eastAsiaTheme="minorEastAsia" w:hAnsiTheme="minorHAnsi" w:cstheme="minorBidi"/>
          <w:noProof/>
          <w:sz w:val="24"/>
          <w:szCs w:val="24"/>
          <w:lang w:val="en-US" w:eastAsia="en-GB"/>
        </w:rPr>
      </w:pPr>
      <w:hyperlink w:anchor="_Toc31811065" w:history="1">
        <w:r w:rsidR="005F312B" w:rsidRPr="00ED4D49">
          <w:rPr>
            <w:rStyle w:val="Hyperlink"/>
            <w:noProof/>
            <w:lang w:val="en-US"/>
          </w:rPr>
          <w:t>3.2.6</w:t>
        </w:r>
        <w:r w:rsidR="005F312B" w:rsidRPr="00ED4D49">
          <w:rPr>
            <w:rFonts w:asciiTheme="minorHAnsi" w:eastAsiaTheme="minorEastAsia" w:hAnsiTheme="minorHAnsi" w:cstheme="minorBidi"/>
            <w:noProof/>
            <w:sz w:val="24"/>
            <w:szCs w:val="24"/>
            <w:lang w:val="en-US" w:eastAsia="en-GB"/>
          </w:rPr>
          <w:tab/>
        </w:r>
        <w:r w:rsidR="005F312B" w:rsidRPr="00ED4D49">
          <w:rPr>
            <w:rStyle w:val="Hyperlink"/>
            <w:noProof/>
            <w:shd w:val="clear" w:color="auto" w:fill="FFFFFF"/>
            <w:lang w:val="en-US"/>
          </w:rPr>
          <w:t>Cultural and Historical Heritage</w:t>
        </w:r>
        <w:r w:rsidR="005F312B" w:rsidRPr="00ED4D49">
          <w:rPr>
            <w:noProof/>
            <w:webHidden/>
            <w:lang w:val="en-US"/>
          </w:rPr>
          <w:tab/>
        </w:r>
        <w:r w:rsidR="005F312B" w:rsidRPr="00ED4D49">
          <w:rPr>
            <w:noProof/>
            <w:webHidden/>
            <w:lang w:val="en-US"/>
          </w:rPr>
          <w:fldChar w:fldCharType="begin"/>
        </w:r>
        <w:r w:rsidR="005F312B" w:rsidRPr="00ED4D49">
          <w:rPr>
            <w:noProof/>
            <w:webHidden/>
            <w:lang w:val="en-US"/>
          </w:rPr>
          <w:instrText xml:space="preserve"> PAGEREF _Toc31811065 \h </w:instrText>
        </w:r>
        <w:r w:rsidR="005F312B" w:rsidRPr="00ED4D49">
          <w:rPr>
            <w:noProof/>
            <w:webHidden/>
            <w:lang w:val="en-US"/>
          </w:rPr>
        </w:r>
        <w:r w:rsidR="005F312B" w:rsidRPr="00ED4D49">
          <w:rPr>
            <w:noProof/>
            <w:webHidden/>
            <w:lang w:val="en-US"/>
          </w:rPr>
          <w:fldChar w:fldCharType="separate"/>
        </w:r>
        <w:r w:rsidR="001755CE" w:rsidRPr="00ED4D49">
          <w:rPr>
            <w:noProof/>
            <w:webHidden/>
            <w:lang w:val="en-US"/>
          </w:rPr>
          <w:t>29</w:t>
        </w:r>
        <w:r w:rsidR="005F312B" w:rsidRPr="00ED4D49">
          <w:rPr>
            <w:noProof/>
            <w:webHidden/>
            <w:lang w:val="en-US"/>
          </w:rPr>
          <w:fldChar w:fldCharType="end"/>
        </w:r>
      </w:hyperlink>
    </w:p>
    <w:p w14:paraId="17C2FD37" w14:textId="56A8E12C" w:rsidR="005F312B" w:rsidRPr="00ED4D49" w:rsidRDefault="00000000">
      <w:pPr>
        <w:pStyle w:val="TOC1"/>
        <w:tabs>
          <w:tab w:val="left" w:pos="442"/>
          <w:tab w:val="right" w:leader="dot" w:pos="9010"/>
        </w:tabs>
        <w:rPr>
          <w:rFonts w:asciiTheme="minorHAnsi" w:eastAsiaTheme="minorEastAsia" w:hAnsiTheme="minorHAnsi" w:cstheme="minorBidi"/>
          <w:b w:val="0"/>
          <w:noProof/>
          <w:sz w:val="24"/>
          <w:szCs w:val="24"/>
          <w:lang w:val="en-US" w:eastAsia="en-GB"/>
        </w:rPr>
      </w:pPr>
      <w:hyperlink w:anchor="_Toc31811066" w:history="1">
        <w:r w:rsidR="005F312B" w:rsidRPr="00ED4D49">
          <w:rPr>
            <w:rStyle w:val="Hyperlink"/>
            <w:noProof/>
            <w:lang w:val="en-US"/>
          </w:rPr>
          <w:t>4</w:t>
        </w:r>
        <w:r w:rsidR="005F312B" w:rsidRPr="00ED4D49">
          <w:rPr>
            <w:rFonts w:asciiTheme="minorHAnsi" w:eastAsiaTheme="minorEastAsia" w:hAnsiTheme="minorHAnsi" w:cstheme="minorBidi"/>
            <w:b w:val="0"/>
            <w:noProof/>
            <w:sz w:val="24"/>
            <w:szCs w:val="24"/>
            <w:lang w:val="en-US" w:eastAsia="en-GB"/>
          </w:rPr>
          <w:tab/>
        </w:r>
        <w:r w:rsidR="005F312B" w:rsidRPr="00ED4D49">
          <w:rPr>
            <w:rStyle w:val="Hyperlink"/>
            <w:rFonts w:cs="Calibri"/>
            <w:noProof/>
            <w:lang w:val="en-US"/>
          </w:rPr>
          <w:t>BASELINE SOCIO-ECONOMIC CHARACTERISTICS OF THE PROJECT AREA</w:t>
        </w:r>
        <w:r w:rsidR="005F312B" w:rsidRPr="00ED4D49">
          <w:rPr>
            <w:noProof/>
            <w:webHidden/>
            <w:lang w:val="en-US"/>
          </w:rPr>
          <w:tab/>
        </w:r>
        <w:r w:rsidR="005F312B" w:rsidRPr="00ED4D49">
          <w:rPr>
            <w:noProof/>
            <w:webHidden/>
            <w:lang w:val="en-US"/>
          </w:rPr>
          <w:fldChar w:fldCharType="begin"/>
        </w:r>
        <w:r w:rsidR="005F312B" w:rsidRPr="00ED4D49">
          <w:rPr>
            <w:noProof/>
            <w:webHidden/>
            <w:lang w:val="en-US"/>
          </w:rPr>
          <w:instrText xml:space="preserve"> PAGEREF _Toc31811066 \h </w:instrText>
        </w:r>
        <w:r w:rsidR="005F312B" w:rsidRPr="00ED4D49">
          <w:rPr>
            <w:noProof/>
            <w:webHidden/>
            <w:lang w:val="en-US"/>
          </w:rPr>
        </w:r>
        <w:r w:rsidR="005F312B" w:rsidRPr="00ED4D49">
          <w:rPr>
            <w:noProof/>
            <w:webHidden/>
            <w:lang w:val="en-US"/>
          </w:rPr>
          <w:fldChar w:fldCharType="separate"/>
        </w:r>
        <w:r w:rsidR="001755CE" w:rsidRPr="00ED4D49">
          <w:rPr>
            <w:noProof/>
            <w:webHidden/>
            <w:lang w:val="en-US"/>
          </w:rPr>
          <w:t>30</w:t>
        </w:r>
        <w:r w:rsidR="005F312B" w:rsidRPr="00ED4D49">
          <w:rPr>
            <w:noProof/>
            <w:webHidden/>
            <w:lang w:val="en-US"/>
          </w:rPr>
          <w:fldChar w:fldCharType="end"/>
        </w:r>
      </w:hyperlink>
    </w:p>
    <w:p w14:paraId="2E78EF70" w14:textId="3E4B6EBB" w:rsidR="005F312B" w:rsidRPr="00ED4D49" w:rsidRDefault="00000000">
      <w:pPr>
        <w:pStyle w:val="TOC2"/>
        <w:rPr>
          <w:rFonts w:asciiTheme="minorHAnsi" w:eastAsiaTheme="minorEastAsia" w:hAnsiTheme="minorHAnsi" w:cstheme="minorBidi"/>
          <w:noProof/>
          <w:sz w:val="24"/>
          <w:szCs w:val="24"/>
          <w:lang w:val="en-US" w:eastAsia="en-GB"/>
        </w:rPr>
      </w:pPr>
      <w:hyperlink w:anchor="_Toc31811067" w:history="1">
        <w:r w:rsidR="005F312B" w:rsidRPr="00ED4D49">
          <w:rPr>
            <w:rStyle w:val="Hyperlink"/>
            <w:noProof/>
            <w:lang w:val="en-US"/>
          </w:rPr>
          <w:t>4.1</w:t>
        </w:r>
        <w:r w:rsidR="005F312B" w:rsidRPr="00ED4D49">
          <w:rPr>
            <w:rFonts w:asciiTheme="minorHAnsi" w:eastAsiaTheme="minorEastAsia" w:hAnsiTheme="minorHAnsi" w:cstheme="minorBidi"/>
            <w:noProof/>
            <w:sz w:val="24"/>
            <w:szCs w:val="24"/>
            <w:lang w:val="en-US" w:eastAsia="en-GB"/>
          </w:rPr>
          <w:tab/>
        </w:r>
        <w:r w:rsidR="005F312B" w:rsidRPr="00ED4D49">
          <w:rPr>
            <w:rStyle w:val="Hyperlink"/>
            <w:noProof/>
            <w:lang w:val="en-US"/>
          </w:rPr>
          <w:t>Demography</w:t>
        </w:r>
        <w:r w:rsidR="005F312B" w:rsidRPr="00ED4D49">
          <w:rPr>
            <w:noProof/>
            <w:webHidden/>
            <w:lang w:val="en-US"/>
          </w:rPr>
          <w:tab/>
        </w:r>
        <w:r w:rsidR="005F312B" w:rsidRPr="00ED4D49">
          <w:rPr>
            <w:noProof/>
            <w:webHidden/>
            <w:lang w:val="en-US"/>
          </w:rPr>
          <w:fldChar w:fldCharType="begin"/>
        </w:r>
        <w:r w:rsidR="005F312B" w:rsidRPr="00ED4D49">
          <w:rPr>
            <w:noProof/>
            <w:webHidden/>
            <w:lang w:val="en-US"/>
          </w:rPr>
          <w:instrText xml:space="preserve"> PAGEREF _Toc31811067 \h </w:instrText>
        </w:r>
        <w:r w:rsidR="005F312B" w:rsidRPr="00ED4D49">
          <w:rPr>
            <w:noProof/>
            <w:webHidden/>
            <w:lang w:val="en-US"/>
          </w:rPr>
        </w:r>
        <w:r w:rsidR="005F312B" w:rsidRPr="00ED4D49">
          <w:rPr>
            <w:noProof/>
            <w:webHidden/>
            <w:lang w:val="en-US"/>
          </w:rPr>
          <w:fldChar w:fldCharType="separate"/>
        </w:r>
        <w:r w:rsidR="001755CE" w:rsidRPr="00ED4D49">
          <w:rPr>
            <w:noProof/>
            <w:webHidden/>
            <w:lang w:val="en-US"/>
          </w:rPr>
          <w:t>30</w:t>
        </w:r>
        <w:r w:rsidR="005F312B" w:rsidRPr="00ED4D49">
          <w:rPr>
            <w:noProof/>
            <w:webHidden/>
            <w:lang w:val="en-US"/>
          </w:rPr>
          <w:fldChar w:fldCharType="end"/>
        </w:r>
      </w:hyperlink>
    </w:p>
    <w:p w14:paraId="708667F6" w14:textId="79D7ED2D" w:rsidR="005F312B" w:rsidRPr="00ED4D49" w:rsidRDefault="00000000">
      <w:pPr>
        <w:pStyle w:val="TOC3"/>
        <w:rPr>
          <w:rFonts w:asciiTheme="minorHAnsi" w:eastAsiaTheme="minorEastAsia" w:hAnsiTheme="minorHAnsi" w:cstheme="minorBidi"/>
          <w:noProof/>
          <w:sz w:val="24"/>
          <w:szCs w:val="24"/>
          <w:lang w:val="en-US" w:eastAsia="en-GB"/>
        </w:rPr>
      </w:pPr>
      <w:hyperlink w:anchor="_Toc31811068" w:history="1">
        <w:r w:rsidR="005F312B" w:rsidRPr="00ED4D49">
          <w:rPr>
            <w:rStyle w:val="Hyperlink"/>
            <w:noProof/>
            <w:lang w:val="en-US"/>
          </w:rPr>
          <w:t>4.1.1</w:t>
        </w:r>
        <w:r w:rsidR="005F312B" w:rsidRPr="00ED4D49">
          <w:rPr>
            <w:rFonts w:asciiTheme="minorHAnsi" w:eastAsiaTheme="minorEastAsia" w:hAnsiTheme="minorHAnsi" w:cstheme="minorBidi"/>
            <w:noProof/>
            <w:sz w:val="24"/>
            <w:szCs w:val="24"/>
            <w:lang w:val="en-US" w:eastAsia="en-GB"/>
          </w:rPr>
          <w:tab/>
        </w:r>
        <w:r w:rsidR="005F312B" w:rsidRPr="00ED4D49">
          <w:rPr>
            <w:rStyle w:val="Hyperlink"/>
            <w:noProof/>
            <w:lang w:val="en-US"/>
          </w:rPr>
          <w:t>Demography in the Drina Basin</w:t>
        </w:r>
        <w:r w:rsidR="005F312B" w:rsidRPr="00ED4D49">
          <w:rPr>
            <w:noProof/>
            <w:webHidden/>
            <w:lang w:val="en-US"/>
          </w:rPr>
          <w:tab/>
        </w:r>
        <w:r w:rsidR="005F312B" w:rsidRPr="00ED4D49">
          <w:rPr>
            <w:noProof/>
            <w:webHidden/>
            <w:lang w:val="en-US"/>
          </w:rPr>
          <w:fldChar w:fldCharType="begin"/>
        </w:r>
        <w:r w:rsidR="005F312B" w:rsidRPr="00ED4D49">
          <w:rPr>
            <w:noProof/>
            <w:webHidden/>
            <w:lang w:val="en-US"/>
          </w:rPr>
          <w:instrText xml:space="preserve"> PAGEREF _Toc31811068 \h </w:instrText>
        </w:r>
        <w:r w:rsidR="005F312B" w:rsidRPr="00ED4D49">
          <w:rPr>
            <w:noProof/>
            <w:webHidden/>
            <w:lang w:val="en-US"/>
          </w:rPr>
        </w:r>
        <w:r w:rsidR="005F312B" w:rsidRPr="00ED4D49">
          <w:rPr>
            <w:noProof/>
            <w:webHidden/>
            <w:lang w:val="en-US"/>
          </w:rPr>
          <w:fldChar w:fldCharType="separate"/>
        </w:r>
        <w:r w:rsidR="001755CE" w:rsidRPr="00ED4D49">
          <w:rPr>
            <w:noProof/>
            <w:webHidden/>
            <w:lang w:val="en-US"/>
          </w:rPr>
          <w:t>30</w:t>
        </w:r>
        <w:r w:rsidR="005F312B" w:rsidRPr="00ED4D49">
          <w:rPr>
            <w:noProof/>
            <w:webHidden/>
            <w:lang w:val="en-US"/>
          </w:rPr>
          <w:fldChar w:fldCharType="end"/>
        </w:r>
      </w:hyperlink>
    </w:p>
    <w:p w14:paraId="6F4F451F" w14:textId="55B58E81" w:rsidR="005F312B" w:rsidRPr="00ED4D49" w:rsidRDefault="00000000">
      <w:pPr>
        <w:pStyle w:val="TOC3"/>
        <w:rPr>
          <w:rFonts w:asciiTheme="minorHAnsi" w:eastAsiaTheme="minorEastAsia" w:hAnsiTheme="minorHAnsi" w:cstheme="minorBidi"/>
          <w:noProof/>
          <w:sz w:val="24"/>
          <w:szCs w:val="24"/>
          <w:lang w:val="en-US" w:eastAsia="en-GB"/>
        </w:rPr>
      </w:pPr>
      <w:hyperlink w:anchor="_Toc31811069" w:history="1">
        <w:r w:rsidR="005F312B" w:rsidRPr="00ED4D49">
          <w:rPr>
            <w:rStyle w:val="Hyperlink"/>
            <w:noProof/>
            <w:lang w:val="en-US"/>
          </w:rPr>
          <w:t>4.1.2</w:t>
        </w:r>
        <w:r w:rsidR="005F312B" w:rsidRPr="00ED4D49">
          <w:rPr>
            <w:rFonts w:asciiTheme="minorHAnsi" w:eastAsiaTheme="minorEastAsia" w:hAnsiTheme="minorHAnsi" w:cstheme="minorBidi"/>
            <w:noProof/>
            <w:sz w:val="24"/>
            <w:szCs w:val="24"/>
            <w:lang w:val="en-US" w:eastAsia="en-GB"/>
          </w:rPr>
          <w:tab/>
        </w:r>
        <w:r w:rsidR="005F312B" w:rsidRPr="00ED4D49">
          <w:rPr>
            <w:rStyle w:val="Hyperlink"/>
            <w:noProof/>
            <w:lang w:val="en-US"/>
          </w:rPr>
          <w:t>Demography in the Sava Basin</w:t>
        </w:r>
        <w:r w:rsidR="005F312B" w:rsidRPr="00ED4D49">
          <w:rPr>
            <w:noProof/>
            <w:webHidden/>
            <w:lang w:val="en-US"/>
          </w:rPr>
          <w:tab/>
        </w:r>
        <w:r w:rsidR="005F312B" w:rsidRPr="00ED4D49">
          <w:rPr>
            <w:noProof/>
            <w:webHidden/>
            <w:lang w:val="en-US"/>
          </w:rPr>
          <w:fldChar w:fldCharType="begin"/>
        </w:r>
        <w:r w:rsidR="005F312B" w:rsidRPr="00ED4D49">
          <w:rPr>
            <w:noProof/>
            <w:webHidden/>
            <w:lang w:val="en-US"/>
          </w:rPr>
          <w:instrText xml:space="preserve"> PAGEREF _Toc31811069 \h </w:instrText>
        </w:r>
        <w:r w:rsidR="005F312B" w:rsidRPr="00ED4D49">
          <w:rPr>
            <w:noProof/>
            <w:webHidden/>
            <w:lang w:val="en-US"/>
          </w:rPr>
        </w:r>
        <w:r w:rsidR="005F312B" w:rsidRPr="00ED4D49">
          <w:rPr>
            <w:noProof/>
            <w:webHidden/>
            <w:lang w:val="en-US"/>
          </w:rPr>
          <w:fldChar w:fldCharType="separate"/>
        </w:r>
        <w:r w:rsidR="001755CE" w:rsidRPr="00ED4D49">
          <w:rPr>
            <w:noProof/>
            <w:webHidden/>
            <w:lang w:val="en-US"/>
          </w:rPr>
          <w:t>30</w:t>
        </w:r>
        <w:r w:rsidR="005F312B" w:rsidRPr="00ED4D49">
          <w:rPr>
            <w:noProof/>
            <w:webHidden/>
            <w:lang w:val="en-US"/>
          </w:rPr>
          <w:fldChar w:fldCharType="end"/>
        </w:r>
      </w:hyperlink>
    </w:p>
    <w:p w14:paraId="4F1BA0BC" w14:textId="50DD0CD9" w:rsidR="005F312B" w:rsidRPr="00ED4D49" w:rsidRDefault="00000000">
      <w:pPr>
        <w:pStyle w:val="TOC2"/>
        <w:rPr>
          <w:rFonts w:asciiTheme="minorHAnsi" w:eastAsiaTheme="minorEastAsia" w:hAnsiTheme="minorHAnsi" w:cstheme="minorBidi"/>
          <w:noProof/>
          <w:sz w:val="24"/>
          <w:szCs w:val="24"/>
          <w:lang w:val="en-US" w:eastAsia="en-GB"/>
        </w:rPr>
      </w:pPr>
      <w:hyperlink w:anchor="_Toc31811070" w:history="1">
        <w:r w:rsidR="005F312B" w:rsidRPr="00ED4D49">
          <w:rPr>
            <w:rStyle w:val="Hyperlink"/>
            <w:noProof/>
            <w:lang w:val="en-US"/>
          </w:rPr>
          <w:t>4.2</w:t>
        </w:r>
        <w:r w:rsidR="005F312B" w:rsidRPr="00ED4D49">
          <w:rPr>
            <w:rFonts w:asciiTheme="minorHAnsi" w:eastAsiaTheme="minorEastAsia" w:hAnsiTheme="minorHAnsi" w:cstheme="minorBidi"/>
            <w:noProof/>
            <w:sz w:val="24"/>
            <w:szCs w:val="24"/>
            <w:lang w:val="en-US" w:eastAsia="en-GB"/>
          </w:rPr>
          <w:tab/>
        </w:r>
        <w:r w:rsidR="005F312B" w:rsidRPr="00ED4D49">
          <w:rPr>
            <w:rStyle w:val="Hyperlink"/>
            <w:noProof/>
            <w:lang w:val="en-US"/>
          </w:rPr>
          <w:t>Rural and Urban Areas</w:t>
        </w:r>
        <w:r w:rsidR="005F312B" w:rsidRPr="00ED4D49">
          <w:rPr>
            <w:noProof/>
            <w:webHidden/>
            <w:lang w:val="en-US"/>
          </w:rPr>
          <w:tab/>
        </w:r>
        <w:r w:rsidR="005F312B" w:rsidRPr="00ED4D49">
          <w:rPr>
            <w:noProof/>
            <w:webHidden/>
            <w:lang w:val="en-US"/>
          </w:rPr>
          <w:fldChar w:fldCharType="begin"/>
        </w:r>
        <w:r w:rsidR="005F312B" w:rsidRPr="00ED4D49">
          <w:rPr>
            <w:noProof/>
            <w:webHidden/>
            <w:lang w:val="en-US"/>
          </w:rPr>
          <w:instrText xml:space="preserve"> PAGEREF _Toc31811070 \h </w:instrText>
        </w:r>
        <w:r w:rsidR="005F312B" w:rsidRPr="00ED4D49">
          <w:rPr>
            <w:noProof/>
            <w:webHidden/>
            <w:lang w:val="en-US"/>
          </w:rPr>
        </w:r>
        <w:r w:rsidR="005F312B" w:rsidRPr="00ED4D49">
          <w:rPr>
            <w:noProof/>
            <w:webHidden/>
            <w:lang w:val="en-US"/>
          </w:rPr>
          <w:fldChar w:fldCharType="separate"/>
        </w:r>
        <w:r w:rsidR="001755CE" w:rsidRPr="00ED4D49">
          <w:rPr>
            <w:noProof/>
            <w:webHidden/>
            <w:lang w:val="en-US"/>
          </w:rPr>
          <w:t>31</w:t>
        </w:r>
        <w:r w:rsidR="005F312B" w:rsidRPr="00ED4D49">
          <w:rPr>
            <w:noProof/>
            <w:webHidden/>
            <w:lang w:val="en-US"/>
          </w:rPr>
          <w:fldChar w:fldCharType="end"/>
        </w:r>
      </w:hyperlink>
    </w:p>
    <w:p w14:paraId="71F22A7B" w14:textId="6482F678" w:rsidR="005F312B" w:rsidRPr="00ED4D49" w:rsidRDefault="00000000">
      <w:pPr>
        <w:pStyle w:val="TOC3"/>
        <w:rPr>
          <w:rFonts w:asciiTheme="minorHAnsi" w:eastAsiaTheme="minorEastAsia" w:hAnsiTheme="minorHAnsi" w:cstheme="minorBidi"/>
          <w:noProof/>
          <w:sz w:val="24"/>
          <w:szCs w:val="24"/>
          <w:lang w:val="en-US" w:eastAsia="en-GB"/>
        </w:rPr>
      </w:pPr>
      <w:hyperlink w:anchor="_Toc31811071" w:history="1">
        <w:r w:rsidR="005F312B" w:rsidRPr="00ED4D49">
          <w:rPr>
            <w:rStyle w:val="Hyperlink"/>
            <w:noProof/>
            <w:lang w:val="en-US"/>
          </w:rPr>
          <w:t>4.2.1</w:t>
        </w:r>
        <w:r w:rsidR="005F312B" w:rsidRPr="00ED4D49">
          <w:rPr>
            <w:rFonts w:asciiTheme="minorHAnsi" w:eastAsiaTheme="minorEastAsia" w:hAnsiTheme="minorHAnsi" w:cstheme="minorBidi"/>
            <w:noProof/>
            <w:sz w:val="24"/>
            <w:szCs w:val="24"/>
            <w:lang w:val="en-US" w:eastAsia="en-GB"/>
          </w:rPr>
          <w:tab/>
        </w:r>
        <w:r w:rsidR="005F312B" w:rsidRPr="00ED4D49">
          <w:rPr>
            <w:rStyle w:val="Hyperlink"/>
            <w:noProof/>
            <w:lang w:val="en-US"/>
          </w:rPr>
          <w:t>Rural and Urban Areas in the Drina Basin</w:t>
        </w:r>
        <w:r w:rsidR="005F312B" w:rsidRPr="00ED4D49">
          <w:rPr>
            <w:noProof/>
            <w:webHidden/>
            <w:lang w:val="en-US"/>
          </w:rPr>
          <w:tab/>
        </w:r>
        <w:r w:rsidR="005F312B" w:rsidRPr="00ED4D49">
          <w:rPr>
            <w:noProof/>
            <w:webHidden/>
            <w:lang w:val="en-US"/>
          </w:rPr>
          <w:fldChar w:fldCharType="begin"/>
        </w:r>
        <w:r w:rsidR="005F312B" w:rsidRPr="00ED4D49">
          <w:rPr>
            <w:noProof/>
            <w:webHidden/>
            <w:lang w:val="en-US"/>
          </w:rPr>
          <w:instrText xml:space="preserve"> PAGEREF _Toc31811071 \h </w:instrText>
        </w:r>
        <w:r w:rsidR="005F312B" w:rsidRPr="00ED4D49">
          <w:rPr>
            <w:noProof/>
            <w:webHidden/>
            <w:lang w:val="en-US"/>
          </w:rPr>
        </w:r>
        <w:r w:rsidR="005F312B" w:rsidRPr="00ED4D49">
          <w:rPr>
            <w:noProof/>
            <w:webHidden/>
            <w:lang w:val="en-US"/>
          </w:rPr>
          <w:fldChar w:fldCharType="separate"/>
        </w:r>
        <w:r w:rsidR="001755CE" w:rsidRPr="00ED4D49">
          <w:rPr>
            <w:noProof/>
            <w:webHidden/>
            <w:lang w:val="en-US"/>
          </w:rPr>
          <w:t>31</w:t>
        </w:r>
        <w:r w:rsidR="005F312B" w:rsidRPr="00ED4D49">
          <w:rPr>
            <w:noProof/>
            <w:webHidden/>
            <w:lang w:val="en-US"/>
          </w:rPr>
          <w:fldChar w:fldCharType="end"/>
        </w:r>
      </w:hyperlink>
    </w:p>
    <w:p w14:paraId="725496E2" w14:textId="133E3322" w:rsidR="005F312B" w:rsidRPr="00ED4D49" w:rsidRDefault="00000000">
      <w:pPr>
        <w:pStyle w:val="TOC3"/>
        <w:rPr>
          <w:rFonts w:asciiTheme="minorHAnsi" w:eastAsiaTheme="minorEastAsia" w:hAnsiTheme="minorHAnsi" w:cstheme="minorBidi"/>
          <w:noProof/>
          <w:sz w:val="24"/>
          <w:szCs w:val="24"/>
          <w:lang w:val="en-US" w:eastAsia="en-GB"/>
        </w:rPr>
      </w:pPr>
      <w:hyperlink w:anchor="_Toc31811072" w:history="1">
        <w:r w:rsidR="005F312B" w:rsidRPr="00ED4D49">
          <w:rPr>
            <w:rStyle w:val="Hyperlink"/>
            <w:noProof/>
            <w:lang w:val="en-US"/>
          </w:rPr>
          <w:t>4.2.2</w:t>
        </w:r>
        <w:r w:rsidR="005F312B" w:rsidRPr="00ED4D49">
          <w:rPr>
            <w:rFonts w:asciiTheme="minorHAnsi" w:eastAsiaTheme="minorEastAsia" w:hAnsiTheme="minorHAnsi" w:cstheme="minorBidi"/>
            <w:noProof/>
            <w:sz w:val="24"/>
            <w:szCs w:val="24"/>
            <w:lang w:val="en-US" w:eastAsia="en-GB"/>
          </w:rPr>
          <w:tab/>
        </w:r>
        <w:r w:rsidR="005F312B" w:rsidRPr="00ED4D49">
          <w:rPr>
            <w:rStyle w:val="Hyperlink"/>
            <w:noProof/>
            <w:lang w:val="en-US"/>
          </w:rPr>
          <w:t>Rural and Urban Areas in the Sava Basin</w:t>
        </w:r>
        <w:r w:rsidR="005F312B" w:rsidRPr="00ED4D49">
          <w:rPr>
            <w:noProof/>
            <w:webHidden/>
            <w:lang w:val="en-US"/>
          </w:rPr>
          <w:tab/>
        </w:r>
        <w:r w:rsidR="005F312B" w:rsidRPr="00ED4D49">
          <w:rPr>
            <w:noProof/>
            <w:webHidden/>
            <w:lang w:val="en-US"/>
          </w:rPr>
          <w:fldChar w:fldCharType="begin"/>
        </w:r>
        <w:r w:rsidR="005F312B" w:rsidRPr="00ED4D49">
          <w:rPr>
            <w:noProof/>
            <w:webHidden/>
            <w:lang w:val="en-US"/>
          </w:rPr>
          <w:instrText xml:space="preserve"> PAGEREF _Toc31811072 \h </w:instrText>
        </w:r>
        <w:r w:rsidR="005F312B" w:rsidRPr="00ED4D49">
          <w:rPr>
            <w:noProof/>
            <w:webHidden/>
            <w:lang w:val="en-US"/>
          </w:rPr>
        </w:r>
        <w:r w:rsidR="005F312B" w:rsidRPr="00ED4D49">
          <w:rPr>
            <w:noProof/>
            <w:webHidden/>
            <w:lang w:val="en-US"/>
          </w:rPr>
          <w:fldChar w:fldCharType="separate"/>
        </w:r>
        <w:r w:rsidR="001755CE" w:rsidRPr="00ED4D49">
          <w:rPr>
            <w:noProof/>
            <w:webHidden/>
            <w:lang w:val="en-US"/>
          </w:rPr>
          <w:t>31</w:t>
        </w:r>
        <w:r w:rsidR="005F312B" w:rsidRPr="00ED4D49">
          <w:rPr>
            <w:noProof/>
            <w:webHidden/>
            <w:lang w:val="en-US"/>
          </w:rPr>
          <w:fldChar w:fldCharType="end"/>
        </w:r>
      </w:hyperlink>
    </w:p>
    <w:p w14:paraId="322D5304" w14:textId="772C45FD" w:rsidR="005F312B" w:rsidRPr="00ED4D49" w:rsidRDefault="00000000">
      <w:pPr>
        <w:pStyle w:val="TOC2"/>
        <w:rPr>
          <w:rFonts w:asciiTheme="minorHAnsi" w:eastAsiaTheme="minorEastAsia" w:hAnsiTheme="minorHAnsi" w:cstheme="minorBidi"/>
          <w:noProof/>
          <w:sz w:val="24"/>
          <w:szCs w:val="24"/>
          <w:lang w:val="en-US" w:eastAsia="en-GB"/>
        </w:rPr>
      </w:pPr>
      <w:hyperlink w:anchor="_Toc31811073" w:history="1">
        <w:r w:rsidR="005F312B" w:rsidRPr="00ED4D49">
          <w:rPr>
            <w:rStyle w:val="Hyperlink"/>
            <w:noProof/>
            <w:lang w:val="en-US"/>
          </w:rPr>
          <w:t>4.3</w:t>
        </w:r>
        <w:r w:rsidR="005F312B" w:rsidRPr="00ED4D49">
          <w:rPr>
            <w:rFonts w:asciiTheme="minorHAnsi" w:eastAsiaTheme="minorEastAsia" w:hAnsiTheme="minorHAnsi" w:cstheme="minorBidi"/>
            <w:noProof/>
            <w:sz w:val="24"/>
            <w:szCs w:val="24"/>
            <w:lang w:val="en-US" w:eastAsia="en-GB"/>
          </w:rPr>
          <w:tab/>
        </w:r>
        <w:r w:rsidR="005F312B" w:rsidRPr="00ED4D49">
          <w:rPr>
            <w:rStyle w:val="Hyperlink"/>
            <w:noProof/>
            <w:lang w:val="en-US"/>
          </w:rPr>
          <w:t>Key Economic Indicators</w:t>
        </w:r>
        <w:r w:rsidR="005F312B" w:rsidRPr="00ED4D49">
          <w:rPr>
            <w:noProof/>
            <w:webHidden/>
            <w:lang w:val="en-US"/>
          </w:rPr>
          <w:tab/>
        </w:r>
        <w:r w:rsidR="005F312B" w:rsidRPr="00ED4D49">
          <w:rPr>
            <w:noProof/>
            <w:webHidden/>
            <w:lang w:val="en-US"/>
          </w:rPr>
          <w:fldChar w:fldCharType="begin"/>
        </w:r>
        <w:r w:rsidR="005F312B" w:rsidRPr="00ED4D49">
          <w:rPr>
            <w:noProof/>
            <w:webHidden/>
            <w:lang w:val="en-US"/>
          </w:rPr>
          <w:instrText xml:space="preserve"> PAGEREF _Toc31811073 \h </w:instrText>
        </w:r>
        <w:r w:rsidR="005F312B" w:rsidRPr="00ED4D49">
          <w:rPr>
            <w:noProof/>
            <w:webHidden/>
            <w:lang w:val="en-US"/>
          </w:rPr>
        </w:r>
        <w:r w:rsidR="005F312B" w:rsidRPr="00ED4D49">
          <w:rPr>
            <w:noProof/>
            <w:webHidden/>
            <w:lang w:val="en-US"/>
          </w:rPr>
          <w:fldChar w:fldCharType="separate"/>
        </w:r>
        <w:r w:rsidR="001755CE" w:rsidRPr="00ED4D49">
          <w:rPr>
            <w:noProof/>
            <w:webHidden/>
            <w:lang w:val="en-US"/>
          </w:rPr>
          <w:t>31</w:t>
        </w:r>
        <w:r w:rsidR="005F312B" w:rsidRPr="00ED4D49">
          <w:rPr>
            <w:noProof/>
            <w:webHidden/>
            <w:lang w:val="en-US"/>
          </w:rPr>
          <w:fldChar w:fldCharType="end"/>
        </w:r>
      </w:hyperlink>
    </w:p>
    <w:p w14:paraId="0FD67E1F" w14:textId="4849DAEF" w:rsidR="005F312B" w:rsidRPr="00ED4D49" w:rsidRDefault="00000000">
      <w:pPr>
        <w:pStyle w:val="TOC2"/>
        <w:rPr>
          <w:rFonts w:asciiTheme="minorHAnsi" w:eastAsiaTheme="minorEastAsia" w:hAnsiTheme="minorHAnsi" w:cstheme="minorBidi"/>
          <w:noProof/>
          <w:sz w:val="24"/>
          <w:szCs w:val="24"/>
          <w:lang w:val="en-US" w:eastAsia="en-GB"/>
        </w:rPr>
      </w:pPr>
      <w:hyperlink w:anchor="_Toc31811074" w:history="1">
        <w:r w:rsidR="005F312B" w:rsidRPr="00ED4D49">
          <w:rPr>
            <w:rStyle w:val="Hyperlink"/>
            <w:noProof/>
            <w:lang w:val="en-US"/>
          </w:rPr>
          <w:t>4.4</w:t>
        </w:r>
        <w:r w:rsidR="005F312B" w:rsidRPr="00ED4D49">
          <w:rPr>
            <w:rFonts w:asciiTheme="minorHAnsi" w:eastAsiaTheme="minorEastAsia" w:hAnsiTheme="minorHAnsi" w:cstheme="minorBidi"/>
            <w:noProof/>
            <w:sz w:val="24"/>
            <w:szCs w:val="24"/>
            <w:lang w:val="en-US" w:eastAsia="en-GB"/>
          </w:rPr>
          <w:tab/>
        </w:r>
        <w:r w:rsidR="005F312B" w:rsidRPr="00ED4D49">
          <w:rPr>
            <w:rStyle w:val="Hyperlink"/>
            <w:noProof/>
            <w:lang w:val="en-US"/>
          </w:rPr>
          <w:t>Local Economy of the Project Area</w:t>
        </w:r>
        <w:r w:rsidR="005F312B" w:rsidRPr="00ED4D49">
          <w:rPr>
            <w:noProof/>
            <w:webHidden/>
            <w:lang w:val="en-US"/>
          </w:rPr>
          <w:tab/>
        </w:r>
        <w:r w:rsidR="005F312B" w:rsidRPr="00ED4D49">
          <w:rPr>
            <w:noProof/>
            <w:webHidden/>
            <w:lang w:val="en-US"/>
          </w:rPr>
          <w:fldChar w:fldCharType="begin"/>
        </w:r>
        <w:r w:rsidR="005F312B" w:rsidRPr="00ED4D49">
          <w:rPr>
            <w:noProof/>
            <w:webHidden/>
            <w:lang w:val="en-US"/>
          </w:rPr>
          <w:instrText xml:space="preserve"> PAGEREF _Toc31811074 \h </w:instrText>
        </w:r>
        <w:r w:rsidR="005F312B" w:rsidRPr="00ED4D49">
          <w:rPr>
            <w:noProof/>
            <w:webHidden/>
            <w:lang w:val="en-US"/>
          </w:rPr>
        </w:r>
        <w:r w:rsidR="005F312B" w:rsidRPr="00ED4D49">
          <w:rPr>
            <w:noProof/>
            <w:webHidden/>
            <w:lang w:val="en-US"/>
          </w:rPr>
          <w:fldChar w:fldCharType="separate"/>
        </w:r>
        <w:r w:rsidR="001755CE" w:rsidRPr="00ED4D49">
          <w:rPr>
            <w:noProof/>
            <w:webHidden/>
            <w:lang w:val="en-US"/>
          </w:rPr>
          <w:t>32</w:t>
        </w:r>
        <w:r w:rsidR="005F312B" w:rsidRPr="00ED4D49">
          <w:rPr>
            <w:noProof/>
            <w:webHidden/>
            <w:lang w:val="en-US"/>
          </w:rPr>
          <w:fldChar w:fldCharType="end"/>
        </w:r>
      </w:hyperlink>
    </w:p>
    <w:p w14:paraId="32B1318C" w14:textId="091ABC12" w:rsidR="005F312B" w:rsidRPr="00ED4D49" w:rsidRDefault="00000000">
      <w:pPr>
        <w:pStyle w:val="TOC3"/>
        <w:rPr>
          <w:rFonts w:asciiTheme="minorHAnsi" w:eastAsiaTheme="minorEastAsia" w:hAnsiTheme="minorHAnsi" w:cstheme="minorBidi"/>
          <w:noProof/>
          <w:sz w:val="24"/>
          <w:szCs w:val="24"/>
          <w:lang w:val="en-US" w:eastAsia="en-GB"/>
        </w:rPr>
      </w:pPr>
      <w:hyperlink w:anchor="_Toc31811075" w:history="1">
        <w:r w:rsidR="005F312B" w:rsidRPr="00ED4D49">
          <w:rPr>
            <w:rStyle w:val="Hyperlink"/>
            <w:noProof/>
            <w:lang w:val="en-US"/>
          </w:rPr>
          <w:t>4.4.1</w:t>
        </w:r>
        <w:r w:rsidR="005F312B" w:rsidRPr="00ED4D49">
          <w:rPr>
            <w:rFonts w:asciiTheme="minorHAnsi" w:eastAsiaTheme="minorEastAsia" w:hAnsiTheme="minorHAnsi" w:cstheme="minorBidi"/>
            <w:noProof/>
            <w:sz w:val="24"/>
            <w:szCs w:val="24"/>
            <w:lang w:val="en-US" w:eastAsia="en-GB"/>
          </w:rPr>
          <w:tab/>
        </w:r>
        <w:r w:rsidR="005F312B" w:rsidRPr="00ED4D49">
          <w:rPr>
            <w:rStyle w:val="Hyperlink"/>
            <w:noProof/>
            <w:lang w:val="en-US"/>
          </w:rPr>
          <w:t>Local Economy of the Drina Basin</w:t>
        </w:r>
        <w:r w:rsidR="005F312B" w:rsidRPr="00ED4D49">
          <w:rPr>
            <w:noProof/>
            <w:webHidden/>
            <w:lang w:val="en-US"/>
          </w:rPr>
          <w:tab/>
        </w:r>
        <w:r w:rsidR="005F312B" w:rsidRPr="00ED4D49">
          <w:rPr>
            <w:noProof/>
            <w:webHidden/>
            <w:lang w:val="en-US"/>
          </w:rPr>
          <w:fldChar w:fldCharType="begin"/>
        </w:r>
        <w:r w:rsidR="005F312B" w:rsidRPr="00ED4D49">
          <w:rPr>
            <w:noProof/>
            <w:webHidden/>
            <w:lang w:val="en-US"/>
          </w:rPr>
          <w:instrText xml:space="preserve"> PAGEREF _Toc31811075 \h </w:instrText>
        </w:r>
        <w:r w:rsidR="005F312B" w:rsidRPr="00ED4D49">
          <w:rPr>
            <w:noProof/>
            <w:webHidden/>
            <w:lang w:val="en-US"/>
          </w:rPr>
        </w:r>
        <w:r w:rsidR="005F312B" w:rsidRPr="00ED4D49">
          <w:rPr>
            <w:noProof/>
            <w:webHidden/>
            <w:lang w:val="en-US"/>
          </w:rPr>
          <w:fldChar w:fldCharType="separate"/>
        </w:r>
        <w:r w:rsidR="001755CE" w:rsidRPr="00ED4D49">
          <w:rPr>
            <w:noProof/>
            <w:webHidden/>
            <w:lang w:val="en-US"/>
          </w:rPr>
          <w:t>32</w:t>
        </w:r>
        <w:r w:rsidR="005F312B" w:rsidRPr="00ED4D49">
          <w:rPr>
            <w:noProof/>
            <w:webHidden/>
            <w:lang w:val="en-US"/>
          </w:rPr>
          <w:fldChar w:fldCharType="end"/>
        </w:r>
      </w:hyperlink>
    </w:p>
    <w:p w14:paraId="52C689DF" w14:textId="29ED0FD9" w:rsidR="005F312B" w:rsidRPr="00ED4D49" w:rsidRDefault="00000000">
      <w:pPr>
        <w:pStyle w:val="TOC3"/>
        <w:rPr>
          <w:rFonts w:asciiTheme="minorHAnsi" w:eastAsiaTheme="minorEastAsia" w:hAnsiTheme="minorHAnsi" w:cstheme="minorBidi"/>
          <w:noProof/>
          <w:sz w:val="24"/>
          <w:szCs w:val="24"/>
          <w:lang w:val="en-US" w:eastAsia="en-GB"/>
        </w:rPr>
      </w:pPr>
      <w:hyperlink w:anchor="_Toc31811076" w:history="1">
        <w:r w:rsidR="005F312B" w:rsidRPr="00ED4D49">
          <w:rPr>
            <w:rStyle w:val="Hyperlink"/>
            <w:noProof/>
            <w:lang w:val="en-US"/>
          </w:rPr>
          <w:t>4.4.2</w:t>
        </w:r>
        <w:r w:rsidR="005F312B" w:rsidRPr="00ED4D49">
          <w:rPr>
            <w:rFonts w:asciiTheme="minorHAnsi" w:eastAsiaTheme="minorEastAsia" w:hAnsiTheme="minorHAnsi" w:cstheme="minorBidi"/>
            <w:noProof/>
            <w:sz w:val="24"/>
            <w:szCs w:val="24"/>
            <w:lang w:val="en-US" w:eastAsia="en-GB"/>
          </w:rPr>
          <w:tab/>
        </w:r>
        <w:r w:rsidR="005F312B" w:rsidRPr="00ED4D49">
          <w:rPr>
            <w:rStyle w:val="Hyperlink"/>
            <w:noProof/>
            <w:lang w:val="en-US"/>
          </w:rPr>
          <w:t>Local Economy of the Sava Basin</w:t>
        </w:r>
        <w:r w:rsidR="005F312B" w:rsidRPr="00ED4D49">
          <w:rPr>
            <w:noProof/>
            <w:webHidden/>
            <w:lang w:val="en-US"/>
          </w:rPr>
          <w:tab/>
        </w:r>
        <w:r w:rsidR="005F312B" w:rsidRPr="00ED4D49">
          <w:rPr>
            <w:noProof/>
            <w:webHidden/>
            <w:lang w:val="en-US"/>
          </w:rPr>
          <w:fldChar w:fldCharType="begin"/>
        </w:r>
        <w:r w:rsidR="005F312B" w:rsidRPr="00ED4D49">
          <w:rPr>
            <w:noProof/>
            <w:webHidden/>
            <w:lang w:val="en-US"/>
          </w:rPr>
          <w:instrText xml:space="preserve"> PAGEREF _Toc31811076 \h </w:instrText>
        </w:r>
        <w:r w:rsidR="005F312B" w:rsidRPr="00ED4D49">
          <w:rPr>
            <w:noProof/>
            <w:webHidden/>
            <w:lang w:val="en-US"/>
          </w:rPr>
        </w:r>
        <w:r w:rsidR="005F312B" w:rsidRPr="00ED4D49">
          <w:rPr>
            <w:noProof/>
            <w:webHidden/>
            <w:lang w:val="en-US"/>
          </w:rPr>
          <w:fldChar w:fldCharType="separate"/>
        </w:r>
        <w:r w:rsidR="001755CE" w:rsidRPr="00ED4D49">
          <w:rPr>
            <w:noProof/>
            <w:webHidden/>
            <w:lang w:val="en-US"/>
          </w:rPr>
          <w:t>32</w:t>
        </w:r>
        <w:r w:rsidR="005F312B" w:rsidRPr="00ED4D49">
          <w:rPr>
            <w:noProof/>
            <w:webHidden/>
            <w:lang w:val="en-US"/>
          </w:rPr>
          <w:fldChar w:fldCharType="end"/>
        </w:r>
      </w:hyperlink>
    </w:p>
    <w:p w14:paraId="25A40AD4" w14:textId="2B776B13" w:rsidR="005F312B" w:rsidRPr="00ED4D49" w:rsidRDefault="00000000">
      <w:pPr>
        <w:pStyle w:val="TOC2"/>
        <w:rPr>
          <w:rFonts w:asciiTheme="minorHAnsi" w:eastAsiaTheme="minorEastAsia" w:hAnsiTheme="minorHAnsi" w:cstheme="minorBidi"/>
          <w:noProof/>
          <w:sz w:val="24"/>
          <w:szCs w:val="24"/>
          <w:lang w:val="en-US" w:eastAsia="en-GB"/>
        </w:rPr>
      </w:pPr>
      <w:hyperlink w:anchor="_Toc31811077" w:history="1">
        <w:r w:rsidR="005F312B" w:rsidRPr="00ED4D49">
          <w:rPr>
            <w:rStyle w:val="Hyperlink"/>
            <w:noProof/>
            <w:lang w:val="en-US"/>
          </w:rPr>
          <w:t>4.5</w:t>
        </w:r>
        <w:r w:rsidR="005F312B" w:rsidRPr="00ED4D49">
          <w:rPr>
            <w:rFonts w:asciiTheme="minorHAnsi" w:eastAsiaTheme="minorEastAsia" w:hAnsiTheme="minorHAnsi" w:cstheme="minorBidi"/>
            <w:noProof/>
            <w:sz w:val="24"/>
            <w:szCs w:val="24"/>
            <w:lang w:val="en-US" w:eastAsia="en-GB"/>
          </w:rPr>
          <w:tab/>
        </w:r>
        <w:r w:rsidR="005F312B" w:rsidRPr="00ED4D49">
          <w:rPr>
            <w:rStyle w:val="Hyperlink"/>
            <w:noProof/>
            <w:lang w:val="en-US"/>
          </w:rPr>
          <w:t>Impacts of Climate Change and Water Pollution on Local Economy</w:t>
        </w:r>
        <w:r w:rsidR="005F312B" w:rsidRPr="00ED4D49">
          <w:rPr>
            <w:noProof/>
            <w:webHidden/>
            <w:lang w:val="en-US"/>
          </w:rPr>
          <w:tab/>
        </w:r>
        <w:r w:rsidR="005F312B" w:rsidRPr="00ED4D49">
          <w:rPr>
            <w:noProof/>
            <w:webHidden/>
            <w:lang w:val="en-US"/>
          </w:rPr>
          <w:fldChar w:fldCharType="begin"/>
        </w:r>
        <w:r w:rsidR="005F312B" w:rsidRPr="00ED4D49">
          <w:rPr>
            <w:noProof/>
            <w:webHidden/>
            <w:lang w:val="en-US"/>
          </w:rPr>
          <w:instrText xml:space="preserve"> PAGEREF _Toc31811077 \h </w:instrText>
        </w:r>
        <w:r w:rsidR="005F312B" w:rsidRPr="00ED4D49">
          <w:rPr>
            <w:noProof/>
            <w:webHidden/>
            <w:lang w:val="en-US"/>
          </w:rPr>
        </w:r>
        <w:r w:rsidR="005F312B" w:rsidRPr="00ED4D49">
          <w:rPr>
            <w:noProof/>
            <w:webHidden/>
            <w:lang w:val="en-US"/>
          </w:rPr>
          <w:fldChar w:fldCharType="separate"/>
        </w:r>
        <w:r w:rsidR="001755CE" w:rsidRPr="00ED4D49">
          <w:rPr>
            <w:noProof/>
            <w:webHidden/>
            <w:lang w:val="en-US"/>
          </w:rPr>
          <w:t>32</w:t>
        </w:r>
        <w:r w:rsidR="005F312B" w:rsidRPr="00ED4D49">
          <w:rPr>
            <w:noProof/>
            <w:webHidden/>
            <w:lang w:val="en-US"/>
          </w:rPr>
          <w:fldChar w:fldCharType="end"/>
        </w:r>
      </w:hyperlink>
    </w:p>
    <w:p w14:paraId="21402030" w14:textId="06D710D6" w:rsidR="005F312B" w:rsidRPr="00ED4D49" w:rsidRDefault="00000000">
      <w:pPr>
        <w:pStyle w:val="TOC2"/>
        <w:rPr>
          <w:rFonts w:asciiTheme="minorHAnsi" w:eastAsiaTheme="minorEastAsia" w:hAnsiTheme="minorHAnsi" w:cstheme="minorBidi"/>
          <w:noProof/>
          <w:sz w:val="24"/>
          <w:szCs w:val="24"/>
          <w:lang w:val="en-US" w:eastAsia="en-GB"/>
        </w:rPr>
      </w:pPr>
      <w:hyperlink w:anchor="_Toc31811078" w:history="1">
        <w:r w:rsidR="005F312B" w:rsidRPr="00ED4D49">
          <w:rPr>
            <w:rStyle w:val="Hyperlink"/>
            <w:rFonts w:cs="Calibri"/>
            <w:noProof/>
            <w:lang w:val="en-US"/>
          </w:rPr>
          <w:t>4.6</w:t>
        </w:r>
        <w:r w:rsidR="005F312B" w:rsidRPr="00ED4D49">
          <w:rPr>
            <w:rFonts w:asciiTheme="minorHAnsi" w:eastAsiaTheme="minorEastAsia" w:hAnsiTheme="minorHAnsi" w:cstheme="minorBidi"/>
            <w:noProof/>
            <w:sz w:val="24"/>
            <w:szCs w:val="24"/>
            <w:lang w:val="en-US" w:eastAsia="en-GB"/>
          </w:rPr>
          <w:tab/>
        </w:r>
        <w:r w:rsidR="005F312B" w:rsidRPr="00ED4D49">
          <w:rPr>
            <w:rStyle w:val="Hyperlink"/>
            <w:noProof/>
            <w:lang w:val="en-US"/>
          </w:rPr>
          <w:t>Employment</w:t>
        </w:r>
        <w:r w:rsidR="005F312B" w:rsidRPr="00ED4D49">
          <w:rPr>
            <w:noProof/>
            <w:webHidden/>
            <w:lang w:val="en-US"/>
          </w:rPr>
          <w:tab/>
        </w:r>
        <w:r w:rsidR="005F312B" w:rsidRPr="00ED4D49">
          <w:rPr>
            <w:noProof/>
            <w:webHidden/>
            <w:lang w:val="en-US"/>
          </w:rPr>
          <w:fldChar w:fldCharType="begin"/>
        </w:r>
        <w:r w:rsidR="005F312B" w:rsidRPr="00ED4D49">
          <w:rPr>
            <w:noProof/>
            <w:webHidden/>
            <w:lang w:val="en-US"/>
          </w:rPr>
          <w:instrText xml:space="preserve"> PAGEREF _Toc31811078 \h </w:instrText>
        </w:r>
        <w:r w:rsidR="005F312B" w:rsidRPr="00ED4D49">
          <w:rPr>
            <w:noProof/>
            <w:webHidden/>
            <w:lang w:val="en-US"/>
          </w:rPr>
        </w:r>
        <w:r w:rsidR="005F312B" w:rsidRPr="00ED4D49">
          <w:rPr>
            <w:noProof/>
            <w:webHidden/>
            <w:lang w:val="en-US"/>
          </w:rPr>
          <w:fldChar w:fldCharType="separate"/>
        </w:r>
        <w:r w:rsidR="001755CE" w:rsidRPr="00ED4D49">
          <w:rPr>
            <w:noProof/>
            <w:webHidden/>
            <w:lang w:val="en-US"/>
          </w:rPr>
          <w:t>33</w:t>
        </w:r>
        <w:r w:rsidR="005F312B" w:rsidRPr="00ED4D49">
          <w:rPr>
            <w:noProof/>
            <w:webHidden/>
            <w:lang w:val="en-US"/>
          </w:rPr>
          <w:fldChar w:fldCharType="end"/>
        </w:r>
      </w:hyperlink>
    </w:p>
    <w:p w14:paraId="341F9B9E" w14:textId="6E43C614" w:rsidR="005F312B" w:rsidRPr="00ED4D49" w:rsidRDefault="00000000">
      <w:pPr>
        <w:pStyle w:val="TOC3"/>
        <w:rPr>
          <w:rFonts w:asciiTheme="minorHAnsi" w:eastAsiaTheme="minorEastAsia" w:hAnsiTheme="minorHAnsi" w:cstheme="minorBidi"/>
          <w:noProof/>
          <w:sz w:val="24"/>
          <w:szCs w:val="24"/>
          <w:lang w:val="en-US" w:eastAsia="en-GB"/>
        </w:rPr>
      </w:pPr>
      <w:hyperlink w:anchor="_Toc31811079" w:history="1">
        <w:r w:rsidR="005F312B" w:rsidRPr="00ED4D49">
          <w:rPr>
            <w:rStyle w:val="Hyperlink"/>
            <w:noProof/>
            <w:lang w:val="en-US"/>
          </w:rPr>
          <w:t>4.6.1</w:t>
        </w:r>
        <w:r w:rsidR="005F312B" w:rsidRPr="00ED4D49">
          <w:rPr>
            <w:rFonts w:asciiTheme="minorHAnsi" w:eastAsiaTheme="minorEastAsia" w:hAnsiTheme="minorHAnsi" w:cstheme="minorBidi"/>
            <w:noProof/>
            <w:sz w:val="24"/>
            <w:szCs w:val="24"/>
            <w:lang w:val="en-US" w:eastAsia="en-GB"/>
          </w:rPr>
          <w:tab/>
        </w:r>
        <w:r w:rsidR="005F312B" w:rsidRPr="00ED4D49">
          <w:rPr>
            <w:rStyle w:val="Hyperlink"/>
            <w:noProof/>
            <w:lang w:val="en-US"/>
          </w:rPr>
          <w:t>Employment in the DRB</w:t>
        </w:r>
        <w:r w:rsidR="005F312B" w:rsidRPr="00ED4D49">
          <w:rPr>
            <w:noProof/>
            <w:webHidden/>
            <w:lang w:val="en-US"/>
          </w:rPr>
          <w:tab/>
        </w:r>
        <w:r w:rsidR="005F312B" w:rsidRPr="00ED4D49">
          <w:rPr>
            <w:noProof/>
            <w:webHidden/>
            <w:lang w:val="en-US"/>
          </w:rPr>
          <w:fldChar w:fldCharType="begin"/>
        </w:r>
        <w:r w:rsidR="005F312B" w:rsidRPr="00ED4D49">
          <w:rPr>
            <w:noProof/>
            <w:webHidden/>
            <w:lang w:val="en-US"/>
          </w:rPr>
          <w:instrText xml:space="preserve"> PAGEREF _Toc31811079 \h </w:instrText>
        </w:r>
        <w:r w:rsidR="005F312B" w:rsidRPr="00ED4D49">
          <w:rPr>
            <w:noProof/>
            <w:webHidden/>
            <w:lang w:val="en-US"/>
          </w:rPr>
        </w:r>
        <w:r w:rsidR="005F312B" w:rsidRPr="00ED4D49">
          <w:rPr>
            <w:noProof/>
            <w:webHidden/>
            <w:lang w:val="en-US"/>
          </w:rPr>
          <w:fldChar w:fldCharType="separate"/>
        </w:r>
        <w:r w:rsidR="001755CE" w:rsidRPr="00ED4D49">
          <w:rPr>
            <w:noProof/>
            <w:webHidden/>
            <w:lang w:val="en-US"/>
          </w:rPr>
          <w:t>34</w:t>
        </w:r>
        <w:r w:rsidR="005F312B" w:rsidRPr="00ED4D49">
          <w:rPr>
            <w:noProof/>
            <w:webHidden/>
            <w:lang w:val="en-US"/>
          </w:rPr>
          <w:fldChar w:fldCharType="end"/>
        </w:r>
      </w:hyperlink>
    </w:p>
    <w:p w14:paraId="3BA1CF7F" w14:textId="348ECC0D" w:rsidR="005F312B" w:rsidRPr="00ED4D49" w:rsidRDefault="00000000">
      <w:pPr>
        <w:pStyle w:val="TOC3"/>
        <w:rPr>
          <w:rFonts w:asciiTheme="minorHAnsi" w:eastAsiaTheme="minorEastAsia" w:hAnsiTheme="minorHAnsi" w:cstheme="minorBidi"/>
          <w:noProof/>
          <w:sz w:val="24"/>
          <w:szCs w:val="24"/>
          <w:lang w:val="en-US" w:eastAsia="en-GB"/>
        </w:rPr>
      </w:pPr>
      <w:hyperlink w:anchor="_Toc31811080" w:history="1">
        <w:r w:rsidR="005F312B" w:rsidRPr="00ED4D49">
          <w:rPr>
            <w:rStyle w:val="Hyperlink"/>
            <w:noProof/>
            <w:lang w:val="en-US"/>
          </w:rPr>
          <w:t>4.6.2</w:t>
        </w:r>
        <w:r w:rsidR="005F312B" w:rsidRPr="00ED4D49">
          <w:rPr>
            <w:rFonts w:asciiTheme="minorHAnsi" w:eastAsiaTheme="minorEastAsia" w:hAnsiTheme="minorHAnsi" w:cstheme="minorBidi"/>
            <w:noProof/>
            <w:sz w:val="24"/>
            <w:szCs w:val="24"/>
            <w:lang w:val="en-US" w:eastAsia="en-GB"/>
          </w:rPr>
          <w:tab/>
        </w:r>
        <w:r w:rsidR="005F312B" w:rsidRPr="00ED4D49">
          <w:rPr>
            <w:rStyle w:val="Hyperlink"/>
            <w:noProof/>
            <w:lang w:val="en-US"/>
          </w:rPr>
          <w:t>Employment in Sava Basin Area</w:t>
        </w:r>
        <w:r w:rsidR="005F312B" w:rsidRPr="00ED4D49">
          <w:rPr>
            <w:noProof/>
            <w:webHidden/>
            <w:lang w:val="en-US"/>
          </w:rPr>
          <w:tab/>
        </w:r>
        <w:r w:rsidR="005F312B" w:rsidRPr="00ED4D49">
          <w:rPr>
            <w:noProof/>
            <w:webHidden/>
            <w:lang w:val="en-US"/>
          </w:rPr>
          <w:fldChar w:fldCharType="begin"/>
        </w:r>
        <w:r w:rsidR="005F312B" w:rsidRPr="00ED4D49">
          <w:rPr>
            <w:noProof/>
            <w:webHidden/>
            <w:lang w:val="en-US"/>
          </w:rPr>
          <w:instrText xml:space="preserve"> PAGEREF _Toc31811080 \h </w:instrText>
        </w:r>
        <w:r w:rsidR="005F312B" w:rsidRPr="00ED4D49">
          <w:rPr>
            <w:noProof/>
            <w:webHidden/>
            <w:lang w:val="en-US"/>
          </w:rPr>
        </w:r>
        <w:r w:rsidR="005F312B" w:rsidRPr="00ED4D49">
          <w:rPr>
            <w:noProof/>
            <w:webHidden/>
            <w:lang w:val="en-US"/>
          </w:rPr>
          <w:fldChar w:fldCharType="separate"/>
        </w:r>
        <w:r w:rsidR="001755CE" w:rsidRPr="00ED4D49">
          <w:rPr>
            <w:noProof/>
            <w:webHidden/>
            <w:lang w:val="en-US"/>
          </w:rPr>
          <w:t>35</w:t>
        </w:r>
        <w:r w:rsidR="005F312B" w:rsidRPr="00ED4D49">
          <w:rPr>
            <w:noProof/>
            <w:webHidden/>
            <w:lang w:val="en-US"/>
          </w:rPr>
          <w:fldChar w:fldCharType="end"/>
        </w:r>
      </w:hyperlink>
    </w:p>
    <w:p w14:paraId="49A1FF79" w14:textId="7C0EB3E6" w:rsidR="005F312B" w:rsidRPr="00ED4D49" w:rsidRDefault="00000000">
      <w:pPr>
        <w:pStyle w:val="TOC2"/>
        <w:rPr>
          <w:rFonts w:asciiTheme="minorHAnsi" w:eastAsiaTheme="minorEastAsia" w:hAnsiTheme="minorHAnsi" w:cstheme="minorBidi"/>
          <w:noProof/>
          <w:sz w:val="24"/>
          <w:szCs w:val="24"/>
          <w:lang w:val="en-US" w:eastAsia="en-GB"/>
        </w:rPr>
      </w:pPr>
      <w:hyperlink w:anchor="_Toc31811081" w:history="1">
        <w:r w:rsidR="005F312B" w:rsidRPr="00ED4D49">
          <w:rPr>
            <w:rStyle w:val="Hyperlink"/>
            <w:noProof/>
            <w:lang w:val="en-US"/>
          </w:rPr>
          <w:t>4.7</w:t>
        </w:r>
        <w:r w:rsidR="005F312B" w:rsidRPr="00ED4D49">
          <w:rPr>
            <w:rFonts w:asciiTheme="minorHAnsi" w:eastAsiaTheme="minorEastAsia" w:hAnsiTheme="minorHAnsi" w:cstheme="minorBidi"/>
            <w:noProof/>
            <w:sz w:val="24"/>
            <w:szCs w:val="24"/>
            <w:lang w:val="en-US" w:eastAsia="en-GB"/>
          </w:rPr>
          <w:tab/>
        </w:r>
        <w:r w:rsidR="005F312B" w:rsidRPr="00ED4D49">
          <w:rPr>
            <w:rStyle w:val="Hyperlink"/>
            <w:noProof/>
            <w:lang w:val="en-US"/>
          </w:rPr>
          <w:t>Poverty</w:t>
        </w:r>
        <w:r w:rsidR="005F312B" w:rsidRPr="00ED4D49">
          <w:rPr>
            <w:noProof/>
            <w:webHidden/>
            <w:lang w:val="en-US"/>
          </w:rPr>
          <w:tab/>
        </w:r>
        <w:r w:rsidR="005F312B" w:rsidRPr="00ED4D49">
          <w:rPr>
            <w:noProof/>
            <w:webHidden/>
            <w:lang w:val="en-US"/>
          </w:rPr>
          <w:fldChar w:fldCharType="begin"/>
        </w:r>
        <w:r w:rsidR="005F312B" w:rsidRPr="00ED4D49">
          <w:rPr>
            <w:noProof/>
            <w:webHidden/>
            <w:lang w:val="en-US"/>
          </w:rPr>
          <w:instrText xml:space="preserve"> PAGEREF _Toc31811081 \h </w:instrText>
        </w:r>
        <w:r w:rsidR="005F312B" w:rsidRPr="00ED4D49">
          <w:rPr>
            <w:noProof/>
            <w:webHidden/>
            <w:lang w:val="en-US"/>
          </w:rPr>
        </w:r>
        <w:r w:rsidR="005F312B" w:rsidRPr="00ED4D49">
          <w:rPr>
            <w:noProof/>
            <w:webHidden/>
            <w:lang w:val="en-US"/>
          </w:rPr>
          <w:fldChar w:fldCharType="separate"/>
        </w:r>
        <w:r w:rsidR="001755CE" w:rsidRPr="00ED4D49">
          <w:rPr>
            <w:noProof/>
            <w:webHidden/>
            <w:lang w:val="en-US"/>
          </w:rPr>
          <w:t>35</w:t>
        </w:r>
        <w:r w:rsidR="005F312B" w:rsidRPr="00ED4D49">
          <w:rPr>
            <w:noProof/>
            <w:webHidden/>
            <w:lang w:val="en-US"/>
          </w:rPr>
          <w:fldChar w:fldCharType="end"/>
        </w:r>
      </w:hyperlink>
    </w:p>
    <w:p w14:paraId="66D2919B" w14:textId="26799639" w:rsidR="005F312B" w:rsidRPr="00ED4D49" w:rsidRDefault="00000000">
      <w:pPr>
        <w:pStyle w:val="TOC2"/>
        <w:rPr>
          <w:rFonts w:asciiTheme="minorHAnsi" w:eastAsiaTheme="minorEastAsia" w:hAnsiTheme="minorHAnsi" w:cstheme="minorBidi"/>
          <w:noProof/>
          <w:sz w:val="24"/>
          <w:szCs w:val="24"/>
          <w:lang w:val="en-US" w:eastAsia="en-GB"/>
        </w:rPr>
      </w:pPr>
      <w:hyperlink w:anchor="_Toc31811082" w:history="1">
        <w:r w:rsidR="005F312B" w:rsidRPr="00ED4D49">
          <w:rPr>
            <w:rStyle w:val="Hyperlink"/>
            <w:noProof/>
            <w:lang w:val="en-US"/>
          </w:rPr>
          <w:t>4.8</w:t>
        </w:r>
        <w:r w:rsidR="005F312B" w:rsidRPr="00ED4D49">
          <w:rPr>
            <w:rFonts w:asciiTheme="minorHAnsi" w:eastAsiaTheme="minorEastAsia" w:hAnsiTheme="minorHAnsi" w:cstheme="minorBidi"/>
            <w:noProof/>
            <w:sz w:val="24"/>
            <w:szCs w:val="24"/>
            <w:lang w:val="en-US" w:eastAsia="en-GB"/>
          </w:rPr>
          <w:tab/>
        </w:r>
        <w:r w:rsidR="005F312B" w:rsidRPr="00ED4D49">
          <w:rPr>
            <w:rStyle w:val="Hyperlink"/>
            <w:noProof/>
            <w:lang w:val="en-US"/>
          </w:rPr>
          <w:t>Labor Conditions</w:t>
        </w:r>
        <w:r w:rsidR="005F312B" w:rsidRPr="00ED4D49">
          <w:rPr>
            <w:noProof/>
            <w:webHidden/>
            <w:lang w:val="en-US"/>
          </w:rPr>
          <w:tab/>
        </w:r>
        <w:r w:rsidR="005F312B" w:rsidRPr="00ED4D49">
          <w:rPr>
            <w:noProof/>
            <w:webHidden/>
            <w:lang w:val="en-US"/>
          </w:rPr>
          <w:fldChar w:fldCharType="begin"/>
        </w:r>
        <w:r w:rsidR="005F312B" w:rsidRPr="00ED4D49">
          <w:rPr>
            <w:noProof/>
            <w:webHidden/>
            <w:lang w:val="en-US"/>
          </w:rPr>
          <w:instrText xml:space="preserve"> PAGEREF _Toc31811082 \h </w:instrText>
        </w:r>
        <w:r w:rsidR="005F312B" w:rsidRPr="00ED4D49">
          <w:rPr>
            <w:noProof/>
            <w:webHidden/>
            <w:lang w:val="en-US"/>
          </w:rPr>
        </w:r>
        <w:r w:rsidR="005F312B" w:rsidRPr="00ED4D49">
          <w:rPr>
            <w:noProof/>
            <w:webHidden/>
            <w:lang w:val="en-US"/>
          </w:rPr>
          <w:fldChar w:fldCharType="separate"/>
        </w:r>
        <w:r w:rsidR="001755CE" w:rsidRPr="00ED4D49">
          <w:rPr>
            <w:noProof/>
            <w:webHidden/>
            <w:lang w:val="en-US"/>
          </w:rPr>
          <w:t>35</w:t>
        </w:r>
        <w:r w:rsidR="005F312B" w:rsidRPr="00ED4D49">
          <w:rPr>
            <w:noProof/>
            <w:webHidden/>
            <w:lang w:val="en-US"/>
          </w:rPr>
          <w:fldChar w:fldCharType="end"/>
        </w:r>
      </w:hyperlink>
    </w:p>
    <w:p w14:paraId="3728E08B" w14:textId="468A3488" w:rsidR="005F312B" w:rsidRPr="00ED4D49" w:rsidRDefault="00000000">
      <w:pPr>
        <w:pStyle w:val="TOC1"/>
        <w:tabs>
          <w:tab w:val="left" w:pos="442"/>
          <w:tab w:val="right" w:leader="dot" w:pos="9010"/>
        </w:tabs>
        <w:rPr>
          <w:rFonts w:asciiTheme="minorHAnsi" w:eastAsiaTheme="minorEastAsia" w:hAnsiTheme="minorHAnsi" w:cstheme="minorBidi"/>
          <w:b w:val="0"/>
          <w:noProof/>
          <w:sz w:val="24"/>
          <w:szCs w:val="24"/>
          <w:lang w:val="en-US" w:eastAsia="en-GB"/>
        </w:rPr>
      </w:pPr>
      <w:hyperlink w:anchor="_Toc31811083" w:history="1">
        <w:r w:rsidR="005F312B" w:rsidRPr="00ED4D49">
          <w:rPr>
            <w:rStyle w:val="Hyperlink"/>
            <w:rFonts w:cs="Calibri"/>
            <w:noProof/>
            <w:lang w:val="en-US"/>
          </w:rPr>
          <w:t>5</w:t>
        </w:r>
        <w:r w:rsidR="005F312B" w:rsidRPr="00ED4D49">
          <w:rPr>
            <w:rFonts w:asciiTheme="minorHAnsi" w:eastAsiaTheme="minorEastAsia" w:hAnsiTheme="minorHAnsi" w:cstheme="minorBidi"/>
            <w:b w:val="0"/>
            <w:noProof/>
            <w:sz w:val="24"/>
            <w:szCs w:val="24"/>
            <w:lang w:val="en-US" w:eastAsia="en-GB"/>
          </w:rPr>
          <w:tab/>
        </w:r>
        <w:r w:rsidR="005F312B" w:rsidRPr="00ED4D49">
          <w:rPr>
            <w:rStyle w:val="Hyperlink"/>
            <w:rFonts w:cs="Calibri"/>
            <w:noProof/>
            <w:lang w:val="en-US"/>
          </w:rPr>
          <w:t>LEGAL FRAMEWORK</w:t>
        </w:r>
        <w:r w:rsidR="005F312B" w:rsidRPr="00ED4D49">
          <w:rPr>
            <w:noProof/>
            <w:webHidden/>
            <w:lang w:val="en-US"/>
          </w:rPr>
          <w:tab/>
        </w:r>
        <w:r w:rsidR="005F312B" w:rsidRPr="00ED4D49">
          <w:rPr>
            <w:noProof/>
            <w:webHidden/>
            <w:lang w:val="en-US"/>
          </w:rPr>
          <w:fldChar w:fldCharType="begin"/>
        </w:r>
        <w:r w:rsidR="005F312B" w:rsidRPr="00ED4D49">
          <w:rPr>
            <w:noProof/>
            <w:webHidden/>
            <w:lang w:val="en-US"/>
          </w:rPr>
          <w:instrText xml:space="preserve"> PAGEREF _Toc31811083 \h </w:instrText>
        </w:r>
        <w:r w:rsidR="005F312B" w:rsidRPr="00ED4D49">
          <w:rPr>
            <w:noProof/>
            <w:webHidden/>
            <w:lang w:val="en-US"/>
          </w:rPr>
        </w:r>
        <w:r w:rsidR="005F312B" w:rsidRPr="00ED4D49">
          <w:rPr>
            <w:noProof/>
            <w:webHidden/>
            <w:lang w:val="en-US"/>
          </w:rPr>
          <w:fldChar w:fldCharType="separate"/>
        </w:r>
        <w:r w:rsidR="001755CE" w:rsidRPr="00ED4D49">
          <w:rPr>
            <w:noProof/>
            <w:webHidden/>
            <w:lang w:val="en-US"/>
          </w:rPr>
          <w:t>37</w:t>
        </w:r>
        <w:r w:rsidR="005F312B" w:rsidRPr="00ED4D49">
          <w:rPr>
            <w:noProof/>
            <w:webHidden/>
            <w:lang w:val="en-US"/>
          </w:rPr>
          <w:fldChar w:fldCharType="end"/>
        </w:r>
      </w:hyperlink>
    </w:p>
    <w:p w14:paraId="363B0A4A" w14:textId="7848EE32" w:rsidR="005F312B" w:rsidRPr="00ED4D49" w:rsidRDefault="00000000">
      <w:pPr>
        <w:pStyle w:val="TOC2"/>
        <w:rPr>
          <w:rFonts w:asciiTheme="minorHAnsi" w:eastAsiaTheme="minorEastAsia" w:hAnsiTheme="minorHAnsi" w:cstheme="minorBidi"/>
          <w:noProof/>
          <w:sz w:val="24"/>
          <w:szCs w:val="24"/>
          <w:lang w:val="en-US" w:eastAsia="en-GB"/>
        </w:rPr>
      </w:pPr>
      <w:hyperlink w:anchor="_Toc31811084" w:history="1">
        <w:r w:rsidR="005F312B" w:rsidRPr="00ED4D49">
          <w:rPr>
            <w:rStyle w:val="Hyperlink"/>
            <w:noProof/>
            <w:lang w:val="en-US"/>
          </w:rPr>
          <w:t>5.1</w:t>
        </w:r>
        <w:r w:rsidR="005F312B" w:rsidRPr="00ED4D49">
          <w:rPr>
            <w:rFonts w:asciiTheme="minorHAnsi" w:eastAsiaTheme="minorEastAsia" w:hAnsiTheme="minorHAnsi" w:cstheme="minorBidi"/>
            <w:noProof/>
            <w:sz w:val="24"/>
            <w:szCs w:val="24"/>
            <w:lang w:val="en-US" w:eastAsia="en-GB"/>
          </w:rPr>
          <w:tab/>
        </w:r>
        <w:r w:rsidR="005F312B" w:rsidRPr="00ED4D49">
          <w:rPr>
            <w:rStyle w:val="Hyperlink"/>
            <w:noProof/>
            <w:lang w:val="en-US"/>
          </w:rPr>
          <w:t>The World Bank Requirements</w:t>
        </w:r>
        <w:r w:rsidR="005F312B" w:rsidRPr="00ED4D49">
          <w:rPr>
            <w:noProof/>
            <w:webHidden/>
            <w:lang w:val="en-US"/>
          </w:rPr>
          <w:tab/>
        </w:r>
        <w:r w:rsidR="005F312B" w:rsidRPr="00ED4D49">
          <w:rPr>
            <w:noProof/>
            <w:webHidden/>
            <w:lang w:val="en-US"/>
          </w:rPr>
          <w:fldChar w:fldCharType="begin"/>
        </w:r>
        <w:r w:rsidR="005F312B" w:rsidRPr="00ED4D49">
          <w:rPr>
            <w:noProof/>
            <w:webHidden/>
            <w:lang w:val="en-US"/>
          </w:rPr>
          <w:instrText xml:space="preserve"> PAGEREF _Toc31811084 \h </w:instrText>
        </w:r>
        <w:r w:rsidR="005F312B" w:rsidRPr="00ED4D49">
          <w:rPr>
            <w:noProof/>
            <w:webHidden/>
            <w:lang w:val="en-US"/>
          </w:rPr>
        </w:r>
        <w:r w:rsidR="005F312B" w:rsidRPr="00ED4D49">
          <w:rPr>
            <w:noProof/>
            <w:webHidden/>
            <w:lang w:val="en-US"/>
          </w:rPr>
          <w:fldChar w:fldCharType="separate"/>
        </w:r>
        <w:r w:rsidR="001755CE" w:rsidRPr="00ED4D49">
          <w:rPr>
            <w:noProof/>
            <w:webHidden/>
            <w:lang w:val="en-US"/>
          </w:rPr>
          <w:t>37</w:t>
        </w:r>
        <w:r w:rsidR="005F312B" w:rsidRPr="00ED4D49">
          <w:rPr>
            <w:noProof/>
            <w:webHidden/>
            <w:lang w:val="en-US"/>
          </w:rPr>
          <w:fldChar w:fldCharType="end"/>
        </w:r>
      </w:hyperlink>
    </w:p>
    <w:p w14:paraId="120691E7" w14:textId="58867632" w:rsidR="005F312B" w:rsidRPr="00ED4D49" w:rsidRDefault="00000000">
      <w:pPr>
        <w:pStyle w:val="TOC3"/>
        <w:rPr>
          <w:rFonts w:asciiTheme="minorHAnsi" w:eastAsiaTheme="minorEastAsia" w:hAnsiTheme="minorHAnsi" w:cstheme="minorBidi"/>
          <w:noProof/>
          <w:sz w:val="24"/>
          <w:szCs w:val="24"/>
          <w:lang w:val="en-US" w:eastAsia="en-GB"/>
        </w:rPr>
      </w:pPr>
      <w:hyperlink w:anchor="_Toc31811085" w:history="1">
        <w:r w:rsidR="005F312B" w:rsidRPr="00ED4D49">
          <w:rPr>
            <w:rStyle w:val="Hyperlink"/>
            <w:noProof/>
            <w:lang w:val="en-US"/>
          </w:rPr>
          <w:t>5.1.1</w:t>
        </w:r>
        <w:r w:rsidR="005F312B" w:rsidRPr="00ED4D49">
          <w:rPr>
            <w:rFonts w:asciiTheme="minorHAnsi" w:eastAsiaTheme="minorEastAsia" w:hAnsiTheme="minorHAnsi" w:cstheme="minorBidi"/>
            <w:noProof/>
            <w:sz w:val="24"/>
            <w:szCs w:val="24"/>
            <w:lang w:val="en-US" w:eastAsia="en-GB"/>
          </w:rPr>
          <w:tab/>
        </w:r>
        <w:r w:rsidR="005F312B" w:rsidRPr="00ED4D49">
          <w:rPr>
            <w:rStyle w:val="Hyperlink"/>
            <w:noProof/>
            <w:lang w:val="en-US"/>
          </w:rPr>
          <w:t>The World Bank Environmental and Social Framework (2016)</w:t>
        </w:r>
        <w:r w:rsidR="005F312B" w:rsidRPr="00ED4D49">
          <w:rPr>
            <w:noProof/>
            <w:webHidden/>
            <w:lang w:val="en-US"/>
          </w:rPr>
          <w:tab/>
        </w:r>
        <w:r w:rsidR="005F312B" w:rsidRPr="00ED4D49">
          <w:rPr>
            <w:noProof/>
            <w:webHidden/>
            <w:lang w:val="en-US"/>
          </w:rPr>
          <w:fldChar w:fldCharType="begin"/>
        </w:r>
        <w:r w:rsidR="005F312B" w:rsidRPr="00ED4D49">
          <w:rPr>
            <w:noProof/>
            <w:webHidden/>
            <w:lang w:val="en-US"/>
          </w:rPr>
          <w:instrText xml:space="preserve"> PAGEREF _Toc31811085 \h </w:instrText>
        </w:r>
        <w:r w:rsidR="005F312B" w:rsidRPr="00ED4D49">
          <w:rPr>
            <w:noProof/>
            <w:webHidden/>
            <w:lang w:val="en-US"/>
          </w:rPr>
        </w:r>
        <w:r w:rsidR="005F312B" w:rsidRPr="00ED4D49">
          <w:rPr>
            <w:noProof/>
            <w:webHidden/>
            <w:lang w:val="en-US"/>
          </w:rPr>
          <w:fldChar w:fldCharType="separate"/>
        </w:r>
        <w:r w:rsidR="001755CE" w:rsidRPr="00ED4D49">
          <w:rPr>
            <w:noProof/>
            <w:webHidden/>
            <w:lang w:val="en-US"/>
          </w:rPr>
          <w:t>37</w:t>
        </w:r>
        <w:r w:rsidR="005F312B" w:rsidRPr="00ED4D49">
          <w:rPr>
            <w:noProof/>
            <w:webHidden/>
            <w:lang w:val="en-US"/>
          </w:rPr>
          <w:fldChar w:fldCharType="end"/>
        </w:r>
      </w:hyperlink>
    </w:p>
    <w:p w14:paraId="2117F64E" w14:textId="525B9CA5" w:rsidR="005F312B" w:rsidRPr="00ED4D49" w:rsidRDefault="00000000">
      <w:pPr>
        <w:pStyle w:val="TOC3"/>
        <w:rPr>
          <w:rFonts w:asciiTheme="minorHAnsi" w:eastAsiaTheme="minorEastAsia" w:hAnsiTheme="minorHAnsi" w:cstheme="minorBidi"/>
          <w:noProof/>
          <w:sz w:val="24"/>
          <w:szCs w:val="24"/>
          <w:lang w:val="en-US" w:eastAsia="en-GB"/>
        </w:rPr>
      </w:pPr>
      <w:hyperlink w:anchor="_Toc31811086" w:history="1">
        <w:r w:rsidR="005F312B" w:rsidRPr="00ED4D49">
          <w:rPr>
            <w:rStyle w:val="Hyperlink"/>
            <w:noProof/>
            <w:lang w:val="en-US"/>
          </w:rPr>
          <w:t>5.1.2</w:t>
        </w:r>
        <w:r w:rsidR="005F312B" w:rsidRPr="00ED4D49">
          <w:rPr>
            <w:rFonts w:asciiTheme="minorHAnsi" w:eastAsiaTheme="minorEastAsia" w:hAnsiTheme="minorHAnsi" w:cstheme="minorBidi"/>
            <w:noProof/>
            <w:sz w:val="24"/>
            <w:szCs w:val="24"/>
            <w:lang w:val="en-US" w:eastAsia="en-GB"/>
          </w:rPr>
          <w:tab/>
        </w:r>
        <w:r w:rsidR="005F312B" w:rsidRPr="00ED4D49">
          <w:rPr>
            <w:rStyle w:val="Hyperlink"/>
            <w:noProof/>
            <w:lang w:val="en-US"/>
          </w:rPr>
          <w:t>Other Applicable Criteria and Guidelines</w:t>
        </w:r>
        <w:r w:rsidR="005F312B" w:rsidRPr="00ED4D49">
          <w:rPr>
            <w:noProof/>
            <w:webHidden/>
            <w:lang w:val="en-US"/>
          </w:rPr>
          <w:tab/>
        </w:r>
        <w:r w:rsidR="005F312B" w:rsidRPr="00ED4D49">
          <w:rPr>
            <w:noProof/>
            <w:webHidden/>
            <w:lang w:val="en-US"/>
          </w:rPr>
          <w:fldChar w:fldCharType="begin"/>
        </w:r>
        <w:r w:rsidR="005F312B" w:rsidRPr="00ED4D49">
          <w:rPr>
            <w:noProof/>
            <w:webHidden/>
            <w:lang w:val="en-US"/>
          </w:rPr>
          <w:instrText xml:space="preserve"> PAGEREF _Toc31811086 \h </w:instrText>
        </w:r>
        <w:r w:rsidR="005F312B" w:rsidRPr="00ED4D49">
          <w:rPr>
            <w:noProof/>
            <w:webHidden/>
            <w:lang w:val="en-US"/>
          </w:rPr>
        </w:r>
        <w:r w:rsidR="005F312B" w:rsidRPr="00ED4D49">
          <w:rPr>
            <w:noProof/>
            <w:webHidden/>
            <w:lang w:val="en-US"/>
          </w:rPr>
          <w:fldChar w:fldCharType="separate"/>
        </w:r>
        <w:r w:rsidR="001755CE" w:rsidRPr="00ED4D49">
          <w:rPr>
            <w:noProof/>
            <w:webHidden/>
            <w:lang w:val="en-US"/>
          </w:rPr>
          <w:t>42</w:t>
        </w:r>
        <w:r w:rsidR="005F312B" w:rsidRPr="00ED4D49">
          <w:rPr>
            <w:noProof/>
            <w:webHidden/>
            <w:lang w:val="en-US"/>
          </w:rPr>
          <w:fldChar w:fldCharType="end"/>
        </w:r>
      </w:hyperlink>
    </w:p>
    <w:p w14:paraId="2F50C855" w14:textId="6E03678E" w:rsidR="005F312B" w:rsidRPr="00ED4D49" w:rsidRDefault="00000000">
      <w:pPr>
        <w:pStyle w:val="TOC2"/>
        <w:rPr>
          <w:rFonts w:asciiTheme="minorHAnsi" w:eastAsiaTheme="minorEastAsia" w:hAnsiTheme="minorHAnsi" w:cstheme="minorBidi"/>
          <w:noProof/>
          <w:sz w:val="24"/>
          <w:szCs w:val="24"/>
          <w:lang w:val="en-US" w:eastAsia="en-GB"/>
        </w:rPr>
      </w:pPr>
      <w:hyperlink w:anchor="_Toc31811087" w:history="1">
        <w:r w:rsidR="005F312B" w:rsidRPr="00ED4D49">
          <w:rPr>
            <w:rStyle w:val="Hyperlink"/>
            <w:noProof/>
            <w:lang w:val="en-US"/>
          </w:rPr>
          <w:t>5.2</w:t>
        </w:r>
        <w:r w:rsidR="005F312B" w:rsidRPr="00ED4D49">
          <w:rPr>
            <w:rFonts w:asciiTheme="minorHAnsi" w:eastAsiaTheme="minorEastAsia" w:hAnsiTheme="minorHAnsi" w:cstheme="minorBidi"/>
            <w:noProof/>
            <w:sz w:val="24"/>
            <w:szCs w:val="24"/>
            <w:lang w:val="en-US" w:eastAsia="en-GB"/>
          </w:rPr>
          <w:tab/>
        </w:r>
        <w:r w:rsidR="005F312B" w:rsidRPr="00ED4D49">
          <w:rPr>
            <w:rStyle w:val="Hyperlink"/>
            <w:noProof/>
            <w:lang w:val="en-US"/>
          </w:rPr>
          <w:t>Overview of Environmental and Social Requirements in BiH</w:t>
        </w:r>
        <w:r w:rsidR="005F312B" w:rsidRPr="00ED4D49">
          <w:rPr>
            <w:noProof/>
            <w:webHidden/>
            <w:lang w:val="en-US"/>
          </w:rPr>
          <w:tab/>
        </w:r>
        <w:r w:rsidR="005F312B" w:rsidRPr="00ED4D49">
          <w:rPr>
            <w:noProof/>
            <w:webHidden/>
            <w:lang w:val="en-US"/>
          </w:rPr>
          <w:fldChar w:fldCharType="begin"/>
        </w:r>
        <w:r w:rsidR="005F312B" w:rsidRPr="00ED4D49">
          <w:rPr>
            <w:noProof/>
            <w:webHidden/>
            <w:lang w:val="en-US"/>
          </w:rPr>
          <w:instrText xml:space="preserve"> PAGEREF _Toc31811087 \h </w:instrText>
        </w:r>
        <w:r w:rsidR="005F312B" w:rsidRPr="00ED4D49">
          <w:rPr>
            <w:noProof/>
            <w:webHidden/>
            <w:lang w:val="en-US"/>
          </w:rPr>
        </w:r>
        <w:r w:rsidR="005F312B" w:rsidRPr="00ED4D49">
          <w:rPr>
            <w:noProof/>
            <w:webHidden/>
            <w:lang w:val="en-US"/>
          </w:rPr>
          <w:fldChar w:fldCharType="separate"/>
        </w:r>
        <w:r w:rsidR="001755CE" w:rsidRPr="00ED4D49">
          <w:rPr>
            <w:noProof/>
            <w:webHidden/>
            <w:lang w:val="en-US"/>
          </w:rPr>
          <w:t>42</w:t>
        </w:r>
        <w:r w:rsidR="005F312B" w:rsidRPr="00ED4D49">
          <w:rPr>
            <w:noProof/>
            <w:webHidden/>
            <w:lang w:val="en-US"/>
          </w:rPr>
          <w:fldChar w:fldCharType="end"/>
        </w:r>
      </w:hyperlink>
    </w:p>
    <w:p w14:paraId="49222EFC" w14:textId="15E338CD" w:rsidR="005F312B" w:rsidRPr="00ED4D49" w:rsidRDefault="00000000">
      <w:pPr>
        <w:pStyle w:val="TOC3"/>
        <w:rPr>
          <w:rFonts w:asciiTheme="minorHAnsi" w:eastAsiaTheme="minorEastAsia" w:hAnsiTheme="minorHAnsi" w:cstheme="minorBidi"/>
          <w:noProof/>
          <w:sz w:val="24"/>
          <w:szCs w:val="24"/>
          <w:lang w:val="en-US" w:eastAsia="en-GB"/>
        </w:rPr>
      </w:pPr>
      <w:hyperlink w:anchor="_Toc31811088" w:history="1">
        <w:r w:rsidR="005F312B" w:rsidRPr="00ED4D49">
          <w:rPr>
            <w:rStyle w:val="Hyperlink"/>
            <w:noProof/>
            <w:lang w:val="en-US"/>
          </w:rPr>
          <w:t>5.2.1</w:t>
        </w:r>
        <w:r w:rsidR="005F312B" w:rsidRPr="00ED4D49">
          <w:rPr>
            <w:rFonts w:asciiTheme="minorHAnsi" w:eastAsiaTheme="minorEastAsia" w:hAnsiTheme="minorHAnsi" w:cstheme="minorBidi"/>
            <w:noProof/>
            <w:sz w:val="24"/>
            <w:szCs w:val="24"/>
            <w:lang w:val="en-US" w:eastAsia="en-GB"/>
          </w:rPr>
          <w:tab/>
        </w:r>
        <w:r w:rsidR="005F312B" w:rsidRPr="00ED4D49">
          <w:rPr>
            <w:rStyle w:val="Hyperlink"/>
            <w:noProof/>
            <w:lang w:val="en-US"/>
          </w:rPr>
          <w:t>Environmental Assessment Procedure</w:t>
        </w:r>
        <w:r w:rsidR="005F312B" w:rsidRPr="00ED4D49">
          <w:rPr>
            <w:noProof/>
            <w:webHidden/>
            <w:lang w:val="en-US"/>
          </w:rPr>
          <w:tab/>
        </w:r>
        <w:r w:rsidR="005F312B" w:rsidRPr="00ED4D49">
          <w:rPr>
            <w:noProof/>
            <w:webHidden/>
            <w:lang w:val="en-US"/>
          </w:rPr>
          <w:fldChar w:fldCharType="begin"/>
        </w:r>
        <w:r w:rsidR="005F312B" w:rsidRPr="00ED4D49">
          <w:rPr>
            <w:noProof/>
            <w:webHidden/>
            <w:lang w:val="en-US"/>
          </w:rPr>
          <w:instrText xml:space="preserve"> PAGEREF _Toc31811088 \h </w:instrText>
        </w:r>
        <w:r w:rsidR="005F312B" w:rsidRPr="00ED4D49">
          <w:rPr>
            <w:noProof/>
            <w:webHidden/>
            <w:lang w:val="en-US"/>
          </w:rPr>
        </w:r>
        <w:r w:rsidR="005F312B" w:rsidRPr="00ED4D49">
          <w:rPr>
            <w:noProof/>
            <w:webHidden/>
            <w:lang w:val="en-US"/>
          </w:rPr>
          <w:fldChar w:fldCharType="separate"/>
        </w:r>
        <w:r w:rsidR="001755CE" w:rsidRPr="00ED4D49">
          <w:rPr>
            <w:noProof/>
            <w:webHidden/>
            <w:lang w:val="en-US"/>
          </w:rPr>
          <w:t>42</w:t>
        </w:r>
        <w:r w:rsidR="005F312B" w:rsidRPr="00ED4D49">
          <w:rPr>
            <w:noProof/>
            <w:webHidden/>
            <w:lang w:val="en-US"/>
          </w:rPr>
          <w:fldChar w:fldCharType="end"/>
        </w:r>
      </w:hyperlink>
    </w:p>
    <w:p w14:paraId="3F7145AD" w14:textId="33710542" w:rsidR="005F312B" w:rsidRPr="00ED4D49" w:rsidRDefault="00000000">
      <w:pPr>
        <w:pStyle w:val="TOC3"/>
        <w:rPr>
          <w:rFonts w:asciiTheme="minorHAnsi" w:eastAsiaTheme="minorEastAsia" w:hAnsiTheme="minorHAnsi" w:cstheme="minorBidi"/>
          <w:noProof/>
          <w:sz w:val="24"/>
          <w:szCs w:val="24"/>
          <w:lang w:val="en-US" w:eastAsia="en-GB"/>
        </w:rPr>
      </w:pPr>
      <w:hyperlink w:anchor="_Toc31811089" w:history="1">
        <w:r w:rsidR="005F312B" w:rsidRPr="00ED4D49">
          <w:rPr>
            <w:rStyle w:val="Hyperlink"/>
            <w:noProof/>
            <w:lang w:val="en-US"/>
          </w:rPr>
          <w:t>5.2.2</w:t>
        </w:r>
        <w:r w:rsidR="005F312B" w:rsidRPr="00ED4D49">
          <w:rPr>
            <w:rFonts w:asciiTheme="minorHAnsi" w:eastAsiaTheme="minorEastAsia" w:hAnsiTheme="minorHAnsi" w:cstheme="minorBidi"/>
            <w:noProof/>
            <w:sz w:val="24"/>
            <w:szCs w:val="24"/>
            <w:lang w:val="en-US" w:eastAsia="en-GB"/>
          </w:rPr>
          <w:tab/>
        </w:r>
        <w:r w:rsidR="005F312B" w:rsidRPr="00ED4D49">
          <w:rPr>
            <w:rStyle w:val="Hyperlink"/>
            <w:noProof/>
            <w:lang w:val="en-US"/>
          </w:rPr>
          <w:t>Waste Management Regulations</w:t>
        </w:r>
        <w:r w:rsidR="005F312B" w:rsidRPr="00ED4D49">
          <w:rPr>
            <w:noProof/>
            <w:webHidden/>
            <w:lang w:val="en-US"/>
          </w:rPr>
          <w:tab/>
        </w:r>
        <w:r w:rsidR="005F312B" w:rsidRPr="00ED4D49">
          <w:rPr>
            <w:noProof/>
            <w:webHidden/>
            <w:lang w:val="en-US"/>
          </w:rPr>
          <w:fldChar w:fldCharType="begin"/>
        </w:r>
        <w:r w:rsidR="005F312B" w:rsidRPr="00ED4D49">
          <w:rPr>
            <w:noProof/>
            <w:webHidden/>
            <w:lang w:val="en-US"/>
          </w:rPr>
          <w:instrText xml:space="preserve"> PAGEREF _Toc31811089 \h </w:instrText>
        </w:r>
        <w:r w:rsidR="005F312B" w:rsidRPr="00ED4D49">
          <w:rPr>
            <w:noProof/>
            <w:webHidden/>
            <w:lang w:val="en-US"/>
          </w:rPr>
        </w:r>
        <w:r w:rsidR="005F312B" w:rsidRPr="00ED4D49">
          <w:rPr>
            <w:noProof/>
            <w:webHidden/>
            <w:lang w:val="en-US"/>
          </w:rPr>
          <w:fldChar w:fldCharType="separate"/>
        </w:r>
        <w:r w:rsidR="001755CE" w:rsidRPr="00ED4D49">
          <w:rPr>
            <w:noProof/>
            <w:webHidden/>
            <w:lang w:val="en-US"/>
          </w:rPr>
          <w:t>46</w:t>
        </w:r>
        <w:r w:rsidR="005F312B" w:rsidRPr="00ED4D49">
          <w:rPr>
            <w:noProof/>
            <w:webHidden/>
            <w:lang w:val="en-US"/>
          </w:rPr>
          <w:fldChar w:fldCharType="end"/>
        </w:r>
      </w:hyperlink>
    </w:p>
    <w:p w14:paraId="778AC64D" w14:textId="41830193" w:rsidR="005F312B" w:rsidRPr="00ED4D49" w:rsidRDefault="00000000">
      <w:pPr>
        <w:pStyle w:val="TOC3"/>
        <w:rPr>
          <w:rFonts w:asciiTheme="minorHAnsi" w:eastAsiaTheme="minorEastAsia" w:hAnsiTheme="minorHAnsi" w:cstheme="minorBidi"/>
          <w:noProof/>
          <w:sz w:val="24"/>
          <w:szCs w:val="24"/>
          <w:lang w:val="en-US" w:eastAsia="en-GB"/>
        </w:rPr>
      </w:pPr>
      <w:hyperlink w:anchor="_Toc31811090" w:history="1">
        <w:r w:rsidR="005F312B" w:rsidRPr="00ED4D49">
          <w:rPr>
            <w:rStyle w:val="Hyperlink"/>
            <w:noProof/>
            <w:lang w:val="en-US"/>
          </w:rPr>
          <w:t>5.2.3</w:t>
        </w:r>
        <w:r w:rsidR="005F312B" w:rsidRPr="00ED4D49">
          <w:rPr>
            <w:rFonts w:asciiTheme="minorHAnsi" w:eastAsiaTheme="minorEastAsia" w:hAnsiTheme="minorHAnsi" w:cstheme="minorBidi"/>
            <w:noProof/>
            <w:sz w:val="24"/>
            <w:szCs w:val="24"/>
            <w:lang w:val="en-US" w:eastAsia="en-GB"/>
          </w:rPr>
          <w:tab/>
        </w:r>
        <w:r w:rsidR="005F312B" w:rsidRPr="00ED4D49">
          <w:rPr>
            <w:rStyle w:val="Hyperlink"/>
            <w:noProof/>
            <w:lang w:val="en-US"/>
          </w:rPr>
          <w:t>Water Management Regulations</w:t>
        </w:r>
        <w:r w:rsidR="005F312B" w:rsidRPr="00ED4D49">
          <w:rPr>
            <w:noProof/>
            <w:webHidden/>
            <w:lang w:val="en-US"/>
          </w:rPr>
          <w:tab/>
        </w:r>
        <w:r w:rsidR="005F312B" w:rsidRPr="00ED4D49">
          <w:rPr>
            <w:noProof/>
            <w:webHidden/>
            <w:lang w:val="en-US"/>
          </w:rPr>
          <w:fldChar w:fldCharType="begin"/>
        </w:r>
        <w:r w:rsidR="005F312B" w:rsidRPr="00ED4D49">
          <w:rPr>
            <w:noProof/>
            <w:webHidden/>
            <w:lang w:val="en-US"/>
          </w:rPr>
          <w:instrText xml:space="preserve"> PAGEREF _Toc31811090 \h </w:instrText>
        </w:r>
        <w:r w:rsidR="005F312B" w:rsidRPr="00ED4D49">
          <w:rPr>
            <w:noProof/>
            <w:webHidden/>
            <w:lang w:val="en-US"/>
          </w:rPr>
        </w:r>
        <w:r w:rsidR="005F312B" w:rsidRPr="00ED4D49">
          <w:rPr>
            <w:noProof/>
            <w:webHidden/>
            <w:lang w:val="en-US"/>
          </w:rPr>
          <w:fldChar w:fldCharType="separate"/>
        </w:r>
        <w:r w:rsidR="001755CE" w:rsidRPr="00ED4D49">
          <w:rPr>
            <w:noProof/>
            <w:webHidden/>
            <w:lang w:val="en-US"/>
          </w:rPr>
          <w:t>47</w:t>
        </w:r>
        <w:r w:rsidR="005F312B" w:rsidRPr="00ED4D49">
          <w:rPr>
            <w:noProof/>
            <w:webHidden/>
            <w:lang w:val="en-US"/>
          </w:rPr>
          <w:fldChar w:fldCharType="end"/>
        </w:r>
      </w:hyperlink>
    </w:p>
    <w:p w14:paraId="21E66A9D" w14:textId="2D2C05EB" w:rsidR="005F312B" w:rsidRPr="00ED4D49" w:rsidRDefault="00000000">
      <w:pPr>
        <w:pStyle w:val="TOC3"/>
        <w:rPr>
          <w:rFonts w:asciiTheme="minorHAnsi" w:eastAsiaTheme="minorEastAsia" w:hAnsiTheme="minorHAnsi" w:cstheme="minorBidi"/>
          <w:noProof/>
          <w:sz w:val="24"/>
          <w:szCs w:val="24"/>
          <w:lang w:val="en-US" w:eastAsia="en-GB"/>
        </w:rPr>
      </w:pPr>
      <w:hyperlink w:anchor="_Toc31811091" w:history="1">
        <w:r w:rsidR="005F312B" w:rsidRPr="00ED4D49">
          <w:rPr>
            <w:rStyle w:val="Hyperlink"/>
            <w:noProof/>
            <w:lang w:val="en-US"/>
          </w:rPr>
          <w:t>5.2.4</w:t>
        </w:r>
        <w:r w:rsidR="005F312B" w:rsidRPr="00ED4D49">
          <w:rPr>
            <w:rFonts w:asciiTheme="minorHAnsi" w:eastAsiaTheme="minorEastAsia" w:hAnsiTheme="minorHAnsi" w:cstheme="minorBidi"/>
            <w:noProof/>
            <w:sz w:val="24"/>
            <w:szCs w:val="24"/>
            <w:lang w:val="en-US" w:eastAsia="en-GB"/>
          </w:rPr>
          <w:tab/>
        </w:r>
        <w:r w:rsidR="005F312B" w:rsidRPr="00ED4D49">
          <w:rPr>
            <w:rStyle w:val="Hyperlink"/>
            <w:noProof/>
            <w:lang w:val="en-US"/>
          </w:rPr>
          <w:t>Construction Regulations</w:t>
        </w:r>
        <w:r w:rsidR="005F312B" w:rsidRPr="00ED4D49">
          <w:rPr>
            <w:noProof/>
            <w:webHidden/>
            <w:lang w:val="en-US"/>
          </w:rPr>
          <w:tab/>
        </w:r>
        <w:r w:rsidR="005F312B" w:rsidRPr="00ED4D49">
          <w:rPr>
            <w:noProof/>
            <w:webHidden/>
            <w:lang w:val="en-US"/>
          </w:rPr>
          <w:fldChar w:fldCharType="begin"/>
        </w:r>
        <w:r w:rsidR="005F312B" w:rsidRPr="00ED4D49">
          <w:rPr>
            <w:noProof/>
            <w:webHidden/>
            <w:lang w:val="en-US"/>
          </w:rPr>
          <w:instrText xml:space="preserve"> PAGEREF _Toc31811091 \h </w:instrText>
        </w:r>
        <w:r w:rsidR="005F312B" w:rsidRPr="00ED4D49">
          <w:rPr>
            <w:noProof/>
            <w:webHidden/>
            <w:lang w:val="en-US"/>
          </w:rPr>
        </w:r>
        <w:r w:rsidR="005F312B" w:rsidRPr="00ED4D49">
          <w:rPr>
            <w:noProof/>
            <w:webHidden/>
            <w:lang w:val="en-US"/>
          </w:rPr>
          <w:fldChar w:fldCharType="separate"/>
        </w:r>
        <w:r w:rsidR="001755CE" w:rsidRPr="00ED4D49">
          <w:rPr>
            <w:noProof/>
            <w:webHidden/>
            <w:lang w:val="en-US"/>
          </w:rPr>
          <w:t>49</w:t>
        </w:r>
        <w:r w:rsidR="005F312B" w:rsidRPr="00ED4D49">
          <w:rPr>
            <w:noProof/>
            <w:webHidden/>
            <w:lang w:val="en-US"/>
          </w:rPr>
          <w:fldChar w:fldCharType="end"/>
        </w:r>
      </w:hyperlink>
    </w:p>
    <w:p w14:paraId="1F94DF94" w14:textId="4940F6DB" w:rsidR="005F312B" w:rsidRPr="00ED4D49" w:rsidRDefault="00000000">
      <w:pPr>
        <w:pStyle w:val="TOC3"/>
        <w:rPr>
          <w:rFonts w:asciiTheme="minorHAnsi" w:eastAsiaTheme="minorEastAsia" w:hAnsiTheme="minorHAnsi" w:cstheme="minorBidi"/>
          <w:noProof/>
          <w:sz w:val="24"/>
          <w:szCs w:val="24"/>
          <w:lang w:val="en-US" w:eastAsia="en-GB"/>
        </w:rPr>
      </w:pPr>
      <w:hyperlink w:anchor="_Toc31811092" w:history="1">
        <w:r w:rsidR="005F312B" w:rsidRPr="00ED4D49">
          <w:rPr>
            <w:rStyle w:val="Hyperlink"/>
            <w:noProof/>
            <w:lang w:val="en-US"/>
          </w:rPr>
          <w:t>5.2.5</w:t>
        </w:r>
        <w:r w:rsidR="005F312B" w:rsidRPr="00ED4D49">
          <w:rPr>
            <w:rFonts w:asciiTheme="minorHAnsi" w:eastAsiaTheme="minorEastAsia" w:hAnsiTheme="minorHAnsi" w:cstheme="minorBidi"/>
            <w:noProof/>
            <w:sz w:val="24"/>
            <w:szCs w:val="24"/>
            <w:lang w:val="en-US" w:eastAsia="en-GB"/>
          </w:rPr>
          <w:tab/>
        </w:r>
        <w:r w:rsidR="005F312B" w:rsidRPr="00ED4D49">
          <w:rPr>
            <w:rStyle w:val="Hyperlink"/>
            <w:noProof/>
            <w:lang w:val="en-US"/>
          </w:rPr>
          <w:t>Regulations on Working Conditions</w:t>
        </w:r>
        <w:r w:rsidR="005F312B" w:rsidRPr="00ED4D49">
          <w:rPr>
            <w:noProof/>
            <w:webHidden/>
            <w:lang w:val="en-US"/>
          </w:rPr>
          <w:tab/>
        </w:r>
        <w:r w:rsidR="005F312B" w:rsidRPr="00ED4D49">
          <w:rPr>
            <w:noProof/>
            <w:webHidden/>
            <w:lang w:val="en-US"/>
          </w:rPr>
          <w:fldChar w:fldCharType="begin"/>
        </w:r>
        <w:r w:rsidR="005F312B" w:rsidRPr="00ED4D49">
          <w:rPr>
            <w:noProof/>
            <w:webHidden/>
            <w:lang w:val="en-US"/>
          </w:rPr>
          <w:instrText xml:space="preserve"> PAGEREF _Toc31811092 \h </w:instrText>
        </w:r>
        <w:r w:rsidR="005F312B" w:rsidRPr="00ED4D49">
          <w:rPr>
            <w:noProof/>
            <w:webHidden/>
            <w:lang w:val="en-US"/>
          </w:rPr>
        </w:r>
        <w:r w:rsidR="005F312B" w:rsidRPr="00ED4D49">
          <w:rPr>
            <w:noProof/>
            <w:webHidden/>
            <w:lang w:val="en-US"/>
          </w:rPr>
          <w:fldChar w:fldCharType="separate"/>
        </w:r>
        <w:r w:rsidR="001755CE" w:rsidRPr="00ED4D49">
          <w:rPr>
            <w:noProof/>
            <w:webHidden/>
            <w:lang w:val="en-US"/>
          </w:rPr>
          <w:t>50</w:t>
        </w:r>
        <w:r w:rsidR="005F312B" w:rsidRPr="00ED4D49">
          <w:rPr>
            <w:noProof/>
            <w:webHidden/>
            <w:lang w:val="en-US"/>
          </w:rPr>
          <w:fldChar w:fldCharType="end"/>
        </w:r>
      </w:hyperlink>
    </w:p>
    <w:p w14:paraId="2D5202BD" w14:textId="30825A78" w:rsidR="005F312B" w:rsidRPr="00ED4D49" w:rsidRDefault="00000000">
      <w:pPr>
        <w:pStyle w:val="TOC1"/>
        <w:tabs>
          <w:tab w:val="left" w:pos="442"/>
          <w:tab w:val="right" w:leader="dot" w:pos="9010"/>
        </w:tabs>
        <w:rPr>
          <w:rFonts w:asciiTheme="minorHAnsi" w:eastAsiaTheme="minorEastAsia" w:hAnsiTheme="minorHAnsi" w:cstheme="minorBidi"/>
          <w:b w:val="0"/>
          <w:noProof/>
          <w:sz w:val="24"/>
          <w:szCs w:val="24"/>
          <w:lang w:val="en-US" w:eastAsia="en-GB"/>
        </w:rPr>
      </w:pPr>
      <w:hyperlink w:anchor="_Toc31811093" w:history="1">
        <w:r w:rsidR="005F312B" w:rsidRPr="00ED4D49">
          <w:rPr>
            <w:rStyle w:val="Hyperlink"/>
            <w:rFonts w:cs="Calibri"/>
            <w:noProof/>
            <w:lang w:val="en-US"/>
          </w:rPr>
          <w:t>6</w:t>
        </w:r>
        <w:r w:rsidR="005F312B" w:rsidRPr="00ED4D49">
          <w:rPr>
            <w:rFonts w:asciiTheme="minorHAnsi" w:eastAsiaTheme="minorEastAsia" w:hAnsiTheme="minorHAnsi" w:cstheme="minorBidi"/>
            <w:b w:val="0"/>
            <w:noProof/>
            <w:sz w:val="24"/>
            <w:szCs w:val="24"/>
            <w:lang w:val="en-US" w:eastAsia="en-GB"/>
          </w:rPr>
          <w:tab/>
        </w:r>
        <w:r w:rsidR="005F312B" w:rsidRPr="00ED4D49">
          <w:rPr>
            <w:rStyle w:val="Hyperlink"/>
            <w:rFonts w:cs="Calibri"/>
            <w:noProof/>
            <w:lang w:val="en-US"/>
          </w:rPr>
          <w:t>INSTITUTIONAL STRUCTURE</w:t>
        </w:r>
        <w:r w:rsidR="005F312B" w:rsidRPr="00ED4D49">
          <w:rPr>
            <w:noProof/>
            <w:webHidden/>
            <w:lang w:val="en-US"/>
          </w:rPr>
          <w:tab/>
        </w:r>
        <w:r w:rsidR="005F312B" w:rsidRPr="00ED4D49">
          <w:rPr>
            <w:noProof/>
            <w:webHidden/>
            <w:lang w:val="en-US"/>
          </w:rPr>
          <w:fldChar w:fldCharType="begin"/>
        </w:r>
        <w:r w:rsidR="005F312B" w:rsidRPr="00ED4D49">
          <w:rPr>
            <w:noProof/>
            <w:webHidden/>
            <w:lang w:val="en-US"/>
          </w:rPr>
          <w:instrText xml:space="preserve"> PAGEREF _Toc31811093 \h </w:instrText>
        </w:r>
        <w:r w:rsidR="005F312B" w:rsidRPr="00ED4D49">
          <w:rPr>
            <w:noProof/>
            <w:webHidden/>
            <w:lang w:val="en-US"/>
          </w:rPr>
        </w:r>
        <w:r w:rsidR="005F312B" w:rsidRPr="00ED4D49">
          <w:rPr>
            <w:noProof/>
            <w:webHidden/>
            <w:lang w:val="en-US"/>
          </w:rPr>
          <w:fldChar w:fldCharType="separate"/>
        </w:r>
        <w:r w:rsidR="001755CE" w:rsidRPr="00ED4D49">
          <w:rPr>
            <w:noProof/>
            <w:webHidden/>
            <w:lang w:val="en-US"/>
          </w:rPr>
          <w:t>52</w:t>
        </w:r>
        <w:r w:rsidR="005F312B" w:rsidRPr="00ED4D49">
          <w:rPr>
            <w:noProof/>
            <w:webHidden/>
            <w:lang w:val="en-US"/>
          </w:rPr>
          <w:fldChar w:fldCharType="end"/>
        </w:r>
      </w:hyperlink>
    </w:p>
    <w:p w14:paraId="3E3FDB8F" w14:textId="58481E73" w:rsidR="005F312B" w:rsidRPr="00ED4D49" w:rsidRDefault="00000000">
      <w:pPr>
        <w:pStyle w:val="TOC2"/>
        <w:rPr>
          <w:rFonts w:asciiTheme="minorHAnsi" w:eastAsiaTheme="minorEastAsia" w:hAnsiTheme="minorHAnsi" w:cstheme="minorBidi"/>
          <w:noProof/>
          <w:sz w:val="24"/>
          <w:szCs w:val="24"/>
          <w:lang w:val="en-US" w:eastAsia="en-GB"/>
        </w:rPr>
      </w:pPr>
      <w:hyperlink w:anchor="_Toc31811094" w:history="1">
        <w:r w:rsidR="005F312B" w:rsidRPr="00ED4D49">
          <w:rPr>
            <w:rStyle w:val="Hyperlink"/>
            <w:noProof/>
            <w:lang w:val="en-US"/>
          </w:rPr>
          <w:t>6.1</w:t>
        </w:r>
        <w:r w:rsidR="005F312B" w:rsidRPr="00ED4D49">
          <w:rPr>
            <w:rFonts w:asciiTheme="minorHAnsi" w:eastAsiaTheme="minorEastAsia" w:hAnsiTheme="minorHAnsi" w:cstheme="minorBidi"/>
            <w:noProof/>
            <w:sz w:val="24"/>
            <w:szCs w:val="24"/>
            <w:lang w:val="en-US" w:eastAsia="en-GB"/>
          </w:rPr>
          <w:tab/>
        </w:r>
        <w:r w:rsidR="005F312B" w:rsidRPr="00ED4D49">
          <w:rPr>
            <w:rStyle w:val="Hyperlink"/>
            <w:noProof/>
            <w:lang w:val="en-US"/>
          </w:rPr>
          <w:t>BiH Level Institutions</w:t>
        </w:r>
        <w:r w:rsidR="005F312B" w:rsidRPr="00ED4D49">
          <w:rPr>
            <w:noProof/>
            <w:webHidden/>
            <w:lang w:val="en-US"/>
          </w:rPr>
          <w:tab/>
        </w:r>
        <w:r w:rsidR="005F312B" w:rsidRPr="00ED4D49">
          <w:rPr>
            <w:noProof/>
            <w:webHidden/>
            <w:lang w:val="en-US"/>
          </w:rPr>
          <w:fldChar w:fldCharType="begin"/>
        </w:r>
        <w:r w:rsidR="005F312B" w:rsidRPr="00ED4D49">
          <w:rPr>
            <w:noProof/>
            <w:webHidden/>
            <w:lang w:val="en-US"/>
          </w:rPr>
          <w:instrText xml:space="preserve"> PAGEREF _Toc31811094 \h </w:instrText>
        </w:r>
        <w:r w:rsidR="005F312B" w:rsidRPr="00ED4D49">
          <w:rPr>
            <w:noProof/>
            <w:webHidden/>
            <w:lang w:val="en-US"/>
          </w:rPr>
        </w:r>
        <w:r w:rsidR="005F312B" w:rsidRPr="00ED4D49">
          <w:rPr>
            <w:noProof/>
            <w:webHidden/>
            <w:lang w:val="en-US"/>
          </w:rPr>
          <w:fldChar w:fldCharType="separate"/>
        </w:r>
        <w:r w:rsidR="001755CE" w:rsidRPr="00ED4D49">
          <w:rPr>
            <w:noProof/>
            <w:webHidden/>
            <w:lang w:val="en-US"/>
          </w:rPr>
          <w:t>52</w:t>
        </w:r>
        <w:r w:rsidR="005F312B" w:rsidRPr="00ED4D49">
          <w:rPr>
            <w:noProof/>
            <w:webHidden/>
            <w:lang w:val="en-US"/>
          </w:rPr>
          <w:fldChar w:fldCharType="end"/>
        </w:r>
      </w:hyperlink>
    </w:p>
    <w:p w14:paraId="32D6E10E" w14:textId="52A659A5" w:rsidR="005F312B" w:rsidRPr="00ED4D49" w:rsidRDefault="00000000">
      <w:pPr>
        <w:pStyle w:val="TOC2"/>
        <w:rPr>
          <w:rFonts w:asciiTheme="minorHAnsi" w:eastAsiaTheme="minorEastAsia" w:hAnsiTheme="minorHAnsi" w:cstheme="minorBidi"/>
          <w:noProof/>
          <w:sz w:val="24"/>
          <w:szCs w:val="24"/>
          <w:lang w:val="en-US" w:eastAsia="en-GB"/>
        </w:rPr>
      </w:pPr>
      <w:hyperlink w:anchor="_Toc31811095" w:history="1">
        <w:r w:rsidR="005F312B" w:rsidRPr="00ED4D49">
          <w:rPr>
            <w:rStyle w:val="Hyperlink"/>
            <w:noProof/>
            <w:lang w:val="en-US"/>
          </w:rPr>
          <w:t>6.2</w:t>
        </w:r>
        <w:r w:rsidR="005F312B" w:rsidRPr="00ED4D49">
          <w:rPr>
            <w:rFonts w:asciiTheme="minorHAnsi" w:eastAsiaTheme="minorEastAsia" w:hAnsiTheme="minorHAnsi" w:cstheme="minorBidi"/>
            <w:noProof/>
            <w:sz w:val="24"/>
            <w:szCs w:val="24"/>
            <w:lang w:val="en-US" w:eastAsia="en-GB"/>
          </w:rPr>
          <w:tab/>
        </w:r>
        <w:r w:rsidR="005F312B" w:rsidRPr="00ED4D49">
          <w:rPr>
            <w:rStyle w:val="Hyperlink"/>
            <w:noProof/>
            <w:lang w:val="en-US"/>
          </w:rPr>
          <w:t>FBiH Level Institutions</w:t>
        </w:r>
        <w:r w:rsidR="005F312B" w:rsidRPr="00ED4D49">
          <w:rPr>
            <w:noProof/>
            <w:webHidden/>
            <w:lang w:val="en-US"/>
          </w:rPr>
          <w:tab/>
        </w:r>
        <w:r w:rsidR="005F312B" w:rsidRPr="00ED4D49">
          <w:rPr>
            <w:noProof/>
            <w:webHidden/>
            <w:lang w:val="en-US"/>
          </w:rPr>
          <w:fldChar w:fldCharType="begin"/>
        </w:r>
        <w:r w:rsidR="005F312B" w:rsidRPr="00ED4D49">
          <w:rPr>
            <w:noProof/>
            <w:webHidden/>
            <w:lang w:val="en-US"/>
          </w:rPr>
          <w:instrText xml:space="preserve"> PAGEREF _Toc31811095 \h </w:instrText>
        </w:r>
        <w:r w:rsidR="005F312B" w:rsidRPr="00ED4D49">
          <w:rPr>
            <w:noProof/>
            <w:webHidden/>
            <w:lang w:val="en-US"/>
          </w:rPr>
        </w:r>
        <w:r w:rsidR="005F312B" w:rsidRPr="00ED4D49">
          <w:rPr>
            <w:noProof/>
            <w:webHidden/>
            <w:lang w:val="en-US"/>
          </w:rPr>
          <w:fldChar w:fldCharType="separate"/>
        </w:r>
        <w:r w:rsidR="001755CE" w:rsidRPr="00ED4D49">
          <w:rPr>
            <w:noProof/>
            <w:webHidden/>
            <w:lang w:val="en-US"/>
          </w:rPr>
          <w:t>52</w:t>
        </w:r>
        <w:r w:rsidR="005F312B" w:rsidRPr="00ED4D49">
          <w:rPr>
            <w:noProof/>
            <w:webHidden/>
            <w:lang w:val="en-US"/>
          </w:rPr>
          <w:fldChar w:fldCharType="end"/>
        </w:r>
      </w:hyperlink>
    </w:p>
    <w:p w14:paraId="7884A355" w14:textId="72AB7044" w:rsidR="005F312B" w:rsidRPr="00ED4D49" w:rsidRDefault="00000000">
      <w:pPr>
        <w:pStyle w:val="TOC2"/>
        <w:rPr>
          <w:rFonts w:asciiTheme="minorHAnsi" w:eastAsiaTheme="minorEastAsia" w:hAnsiTheme="minorHAnsi" w:cstheme="minorBidi"/>
          <w:noProof/>
          <w:sz w:val="24"/>
          <w:szCs w:val="24"/>
          <w:lang w:val="en-US" w:eastAsia="en-GB"/>
        </w:rPr>
      </w:pPr>
      <w:hyperlink w:anchor="_Toc31811096" w:history="1">
        <w:r w:rsidR="005F312B" w:rsidRPr="00ED4D49">
          <w:rPr>
            <w:rStyle w:val="Hyperlink"/>
            <w:noProof/>
            <w:lang w:val="en-US"/>
          </w:rPr>
          <w:t>6.3</w:t>
        </w:r>
        <w:r w:rsidR="005F312B" w:rsidRPr="00ED4D49">
          <w:rPr>
            <w:rFonts w:asciiTheme="minorHAnsi" w:eastAsiaTheme="minorEastAsia" w:hAnsiTheme="minorHAnsi" w:cstheme="minorBidi"/>
            <w:noProof/>
            <w:sz w:val="24"/>
            <w:szCs w:val="24"/>
            <w:lang w:val="en-US" w:eastAsia="en-GB"/>
          </w:rPr>
          <w:tab/>
        </w:r>
        <w:r w:rsidR="005F312B" w:rsidRPr="00ED4D49">
          <w:rPr>
            <w:rStyle w:val="Hyperlink"/>
            <w:noProof/>
            <w:lang w:val="en-US"/>
          </w:rPr>
          <w:t>RS Level Institutions</w:t>
        </w:r>
        <w:r w:rsidR="005F312B" w:rsidRPr="00ED4D49">
          <w:rPr>
            <w:noProof/>
            <w:webHidden/>
            <w:lang w:val="en-US"/>
          </w:rPr>
          <w:tab/>
        </w:r>
        <w:r w:rsidR="005F312B" w:rsidRPr="00ED4D49">
          <w:rPr>
            <w:noProof/>
            <w:webHidden/>
            <w:lang w:val="en-US"/>
          </w:rPr>
          <w:fldChar w:fldCharType="begin"/>
        </w:r>
        <w:r w:rsidR="005F312B" w:rsidRPr="00ED4D49">
          <w:rPr>
            <w:noProof/>
            <w:webHidden/>
            <w:lang w:val="en-US"/>
          </w:rPr>
          <w:instrText xml:space="preserve"> PAGEREF _Toc31811096 \h </w:instrText>
        </w:r>
        <w:r w:rsidR="005F312B" w:rsidRPr="00ED4D49">
          <w:rPr>
            <w:noProof/>
            <w:webHidden/>
            <w:lang w:val="en-US"/>
          </w:rPr>
        </w:r>
        <w:r w:rsidR="005F312B" w:rsidRPr="00ED4D49">
          <w:rPr>
            <w:noProof/>
            <w:webHidden/>
            <w:lang w:val="en-US"/>
          </w:rPr>
          <w:fldChar w:fldCharType="separate"/>
        </w:r>
        <w:r w:rsidR="001755CE" w:rsidRPr="00ED4D49">
          <w:rPr>
            <w:noProof/>
            <w:webHidden/>
            <w:lang w:val="en-US"/>
          </w:rPr>
          <w:t>53</w:t>
        </w:r>
        <w:r w:rsidR="005F312B" w:rsidRPr="00ED4D49">
          <w:rPr>
            <w:noProof/>
            <w:webHidden/>
            <w:lang w:val="en-US"/>
          </w:rPr>
          <w:fldChar w:fldCharType="end"/>
        </w:r>
      </w:hyperlink>
    </w:p>
    <w:p w14:paraId="137AFE80" w14:textId="68E607EA" w:rsidR="005F312B" w:rsidRPr="00ED4D49" w:rsidRDefault="00000000">
      <w:pPr>
        <w:pStyle w:val="TOC2"/>
        <w:rPr>
          <w:rFonts w:asciiTheme="minorHAnsi" w:eastAsiaTheme="minorEastAsia" w:hAnsiTheme="minorHAnsi" w:cstheme="minorBidi"/>
          <w:noProof/>
          <w:sz w:val="24"/>
          <w:szCs w:val="24"/>
          <w:lang w:val="en-US" w:eastAsia="en-GB"/>
        </w:rPr>
      </w:pPr>
      <w:hyperlink w:anchor="_Toc31811097" w:history="1">
        <w:r w:rsidR="005F312B" w:rsidRPr="00ED4D49">
          <w:rPr>
            <w:rStyle w:val="Hyperlink"/>
            <w:noProof/>
            <w:lang w:val="en-US"/>
          </w:rPr>
          <w:t>6.4</w:t>
        </w:r>
        <w:r w:rsidR="005F312B" w:rsidRPr="00ED4D49">
          <w:rPr>
            <w:rFonts w:asciiTheme="minorHAnsi" w:eastAsiaTheme="minorEastAsia" w:hAnsiTheme="minorHAnsi" w:cstheme="minorBidi"/>
            <w:noProof/>
            <w:sz w:val="24"/>
            <w:szCs w:val="24"/>
            <w:lang w:val="en-US" w:eastAsia="en-GB"/>
          </w:rPr>
          <w:tab/>
        </w:r>
        <w:r w:rsidR="005F312B" w:rsidRPr="00ED4D49">
          <w:rPr>
            <w:rStyle w:val="Hyperlink"/>
            <w:noProof/>
            <w:lang w:val="en-US"/>
          </w:rPr>
          <w:t>BD Level Institutions</w:t>
        </w:r>
        <w:r w:rsidR="005F312B" w:rsidRPr="00ED4D49">
          <w:rPr>
            <w:noProof/>
            <w:webHidden/>
            <w:lang w:val="en-US"/>
          </w:rPr>
          <w:tab/>
        </w:r>
        <w:r w:rsidR="005F312B" w:rsidRPr="00ED4D49">
          <w:rPr>
            <w:noProof/>
            <w:webHidden/>
            <w:lang w:val="en-US"/>
          </w:rPr>
          <w:fldChar w:fldCharType="begin"/>
        </w:r>
        <w:r w:rsidR="005F312B" w:rsidRPr="00ED4D49">
          <w:rPr>
            <w:noProof/>
            <w:webHidden/>
            <w:lang w:val="en-US"/>
          </w:rPr>
          <w:instrText xml:space="preserve"> PAGEREF _Toc31811097 \h </w:instrText>
        </w:r>
        <w:r w:rsidR="005F312B" w:rsidRPr="00ED4D49">
          <w:rPr>
            <w:noProof/>
            <w:webHidden/>
            <w:lang w:val="en-US"/>
          </w:rPr>
        </w:r>
        <w:r w:rsidR="005F312B" w:rsidRPr="00ED4D49">
          <w:rPr>
            <w:noProof/>
            <w:webHidden/>
            <w:lang w:val="en-US"/>
          </w:rPr>
          <w:fldChar w:fldCharType="separate"/>
        </w:r>
        <w:r w:rsidR="001755CE" w:rsidRPr="00ED4D49">
          <w:rPr>
            <w:noProof/>
            <w:webHidden/>
            <w:lang w:val="en-US"/>
          </w:rPr>
          <w:t>54</w:t>
        </w:r>
        <w:r w:rsidR="005F312B" w:rsidRPr="00ED4D49">
          <w:rPr>
            <w:noProof/>
            <w:webHidden/>
            <w:lang w:val="en-US"/>
          </w:rPr>
          <w:fldChar w:fldCharType="end"/>
        </w:r>
      </w:hyperlink>
    </w:p>
    <w:p w14:paraId="70822979" w14:textId="77CD785A" w:rsidR="005F312B" w:rsidRPr="00ED4D49" w:rsidRDefault="00000000">
      <w:pPr>
        <w:pStyle w:val="TOC1"/>
        <w:tabs>
          <w:tab w:val="left" w:pos="442"/>
          <w:tab w:val="right" w:leader="dot" w:pos="9010"/>
        </w:tabs>
        <w:rPr>
          <w:rFonts w:asciiTheme="minorHAnsi" w:eastAsiaTheme="minorEastAsia" w:hAnsiTheme="minorHAnsi" w:cstheme="minorBidi"/>
          <w:b w:val="0"/>
          <w:noProof/>
          <w:sz w:val="24"/>
          <w:szCs w:val="24"/>
          <w:lang w:val="en-US" w:eastAsia="en-GB"/>
        </w:rPr>
      </w:pPr>
      <w:hyperlink w:anchor="_Toc31811098" w:history="1">
        <w:r w:rsidR="005F312B" w:rsidRPr="00ED4D49">
          <w:rPr>
            <w:rStyle w:val="Hyperlink"/>
            <w:rFonts w:cs="Calibri"/>
            <w:noProof/>
            <w:lang w:val="en-US"/>
          </w:rPr>
          <w:t>7</w:t>
        </w:r>
        <w:r w:rsidR="005F312B" w:rsidRPr="00ED4D49">
          <w:rPr>
            <w:rFonts w:asciiTheme="minorHAnsi" w:eastAsiaTheme="minorEastAsia" w:hAnsiTheme="minorHAnsi" w:cstheme="minorBidi"/>
            <w:b w:val="0"/>
            <w:noProof/>
            <w:sz w:val="24"/>
            <w:szCs w:val="24"/>
            <w:lang w:val="en-US" w:eastAsia="en-GB"/>
          </w:rPr>
          <w:tab/>
        </w:r>
        <w:r w:rsidR="005F312B" w:rsidRPr="00ED4D49">
          <w:rPr>
            <w:rStyle w:val="Hyperlink"/>
            <w:rFonts w:cs="Calibri"/>
            <w:noProof/>
            <w:lang w:val="en-US"/>
          </w:rPr>
          <w:t>ENVIRONMENTAL AND SOCIAL ASSESSMENT OF THE SUBPROJECTS</w:t>
        </w:r>
        <w:r w:rsidR="005F312B" w:rsidRPr="00ED4D49">
          <w:rPr>
            <w:noProof/>
            <w:webHidden/>
            <w:lang w:val="en-US"/>
          </w:rPr>
          <w:tab/>
        </w:r>
        <w:r w:rsidR="005F312B" w:rsidRPr="00ED4D49">
          <w:rPr>
            <w:noProof/>
            <w:webHidden/>
            <w:lang w:val="en-US"/>
          </w:rPr>
          <w:fldChar w:fldCharType="begin"/>
        </w:r>
        <w:r w:rsidR="005F312B" w:rsidRPr="00ED4D49">
          <w:rPr>
            <w:noProof/>
            <w:webHidden/>
            <w:lang w:val="en-US"/>
          </w:rPr>
          <w:instrText xml:space="preserve"> PAGEREF _Toc31811098 \h </w:instrText>
        </w:r>
        <w:r w:rsidR="005F312B" w:rsidRPr="00ED4D49">
          <w:rPr>
            <w:noProof/>
            <w:webHidden/>
            <w:lang w:val="en-US"/>
          </w:rPr>
        </w:r>
        <w:r w:rsidR="005F312B" w:rsidRPr="00ED4D49">
          <w:rPr>
            <w:noProof/>
            <w:webHidden/>
            <w:lang w:val="en-US"/>
          </w:rPr>
          <w:fldChar w:fldCharType="separate"/>
        </w:r>
        <w:r w:rsidR="001755CE" w:rsidRPr="00ED4D49">
          <w:rPr>
            <w:noProof/>
            <w:webHidden/>
            <w:lang w:val="en-US"/>
          </w:rPr>
          <w:t>55</w:t>
        </w:r>
        <w:r w:rsidR="005F312B" w:rsidRPr="00ED4D49">
          <w:rPr>
            <w:noProof/>
            <w:webHidden/>
            <w:lang w:val="en-US"/>
          </w:rPr>
          <w:fldChar w:fldCharType="end"/>
        </w:r>
      </w:hyperlink>
    </w:p>
    <w:p w14:paraId="4C7DF0E8" w14:textId="09E9B5BF" w:rsidR="005F312B" w:rsidRPr="00ED4D49" w:rsidRDefault="00000000">
      <w:pPr>
        <w:pStyle w:val="TOC2"/>
        <w:rPr>
          <w:rFonts w:asciiTheme="minorHAnsi" w:eastAsiaTheme="minorEastAsia" w:hAnsiTheme="minorHAnsi" w:cstheme="minorBidi"/>
          <w:noProof/>
          <w:sz w:val="24"/>
          <w:szCs w:val="24"/>
          <w:lang w:val="en-US" w:eastAsia="en-GB"/>
        </w:rPr>
      </w:pPr>
      <w:hyperlink w:anchor="_Toc31811099" w:history="1">
        <w:r w:rsidR="005F312B" w:rsidRPr="00ED4D49">
          <w:rPr>
            <w:rStyle w:val="Hyperlink"/>
            <w:noProof/>
            <w:lang w:val="en-US"/>
          </w:rPr>
          <w:t>7.1</w:t>
        </w:r>
        <w:r w:rsidR="005F312B" w:rsidRPr="00ED4D49">
          <w:rPr>
            <w:rFonts w:asciiTheme="minorHAnsi" w:eastAsiaTheme="minorEastAsia" w:hAnsiTheme="minorHAnsi" w:cstheme="minorBidi"/>
            <w:noProof/>
            <w:sz w:val="24"/>
            <w:szCs w:val="24"/>
            <w:lang w:val="en-US" w:eastAsia="en-GB"/>
          </w:rPr>
          <w:tab/>
        </w:r>
        <w:r w:rsidR="005F312B" w:rsidRPr="00ED4D49">
          <w:rPr>
            <w:rStyle w:val="Hyperlink"/>
            <w:noProof/>
            <w:lang w:val="en-US"/>
          </w:rPr>
          <w:t>ESSs Relevant to the Program</w:t>
        </w:r>
        <w:r w:rsidR="005F312B" w:rsidRPr="00ED4D49">
          <w:rPr>
            <w:noProof/>
            <w:webHidden/>
            <w:lang w:val="en-US"/>
          </w:rPr>
          <w:tab/>
        </w:r>
        <w:r w:rsidR="005F312B" w:rsidRPr="00ED4D49">
          <w:rPr>
            <w:noProof/>
            <w:webHidden/>
            <w:lang w:val="en-US"/>
          </w:rPr>
          <w:fldChar w:fldCharType="begin"/>
        </w:r>
        <w:r w:rsidR="005F312B" w:rsidRPr="00ED4D49">
          <w:rPr>
            <w:noProof/>
            <w:webHidden/>
            <w:lang w:val="en-US"/>
          </w:rPr>
          <w:instrText xml:space="preserve"> PAGEREF _Toc31811099 \h </w:instrText>
        </w:r>
        <w:r w:rsidR="005F312B" w:rsidRPr="00ED4D49">
          <w:rPr>
            <w:noProof/>
            <w:webHidden/>
            <w:lang w:val="en-US"/>
          </w:rPr>
        </w:r>
        <w:r w:rsidR="005F312B" w:rsidRPr="00ED4D49">
          <w:rPr>
            <w:noProof/>
            <w:webHidden/>
            <w:lang w:val="en-US"/>
          </w:rPr>
          <w:fldChar w:fldCharType="separate"/>
        </w:r>
        <w:r w:rsidR="001755CE" w:rsidRPr="00ED4D49">
          <w:rPr>
            <w:noProof/>
            <w:webHidden/>
            <w:lang w:val="en-US"/>
          </w:rPr>
          <w:t>55</w:t>
        </w:r>
        <w:r w:rsidR="005F312B" w:rsidRPr="00ED4D49">
          <w:rPr>
            <w:noProof/>
            <w:webHidden/>
            <w:lang w:val="en-US"/>
          </w:rPr>
          <w:fldChar w:fldCharType="end"/>
        </w:r>
      </w:hyperlink>
    </w:p>
    <w:p w14:paraId="168FC821" w14:textId="076E1CE5" w:rsidR="005F312B" w:rsidRPr="00ED4D49" w:rsidRDefault="00000000">
      <w:pPr>
        <w:pStyle w:val="TOC2"/>
        <w:rPr>
          <w:rFonts w:asciiTheme="minorHAnsi" w:eastAsiaTheme="minorEastAsia" w:hAnsiTheme="minorHAnsi" w:cstheme="minorBidi"/>
          <w:noProof/>
          <w:sz w:val="24"/>
          <w:szCs w:val="24"/>
          <w:lang w:val="en-US" w:eastAsia="en-GB"/>
        </w:rPr>
      </w:pPr>
      <w:hyperlink w:anchor="_Toc31811100" w:history="1">
        <w:r w:rsidR="005F312B" w:rsidRPr="00ED4D49">
          <w:rPr>
            <w:rStyle w:val="Hyperlink"/>
            <w:noProof/>
            <w:lang w:val="en-US"/>
          </w:rPr>
          <w:t>7.2</w:t>
        </w:r>
        <w:r w:rsidR="005F312B" w:rsidRPr="00ED4D49">
          <w:rPr>
            <w:rFonts w:asciiTheme="minorHAnsi" w:eastAsiaTheme="minorEastAsia" w:hAnsiTheme="minorHAnsi" w:cstheme="minorBidi"/>
            <w:noProof/>
            <w:sz w:val="24"/>
            <w:szCs w:val="24"/>
            <w:lang w:val="en-US" w:eastAsia="en-GB"/>
          </w:rPr>
          <w:tab/>
        </w:r>
        <w:r w:rsidR="005F312B" w:rsidRPr="00ED4D49">
          <w:rPr>
            <w:rStyle w:val="Hyperlink"/>
            <w:noProof/>
            <w:lang w:val="en-US"/>
          </w:rPr>
          <w:t>Preliminary Identification of Potential E&amp;S Impacts with Proposed Mitigation Measures</w:t>
        </w:r>
        <w:r w:rsidR="005F312B" w:rsidRPr="00ED4D49">
          <w:rPr>
            <w:noProof/>
            <w:webHidden/>
            <w:lang w:val="en-US"/>
          </w:rPr>
          <w:tab/>
        </w:r>
        <w:r w:rsidR="005F312B" w:rsidRPr="00ED4D49">
          <w:rPr>
            <w:noProof/>
            <w:webHidden/>
            <w:lang w:val="en-US"/>
          </w:rPr>
          <w:fldChar w:fldCharType="begin"/>
        </w:r>
        <w:r w:rsidR="005F312B" w:rsidRPr="00ED4D49">
          <w:rPr>
            <w:noProof/>
            <w:webHidden/>
            <w:lang w:val="en-US"/>
          </w:rPr>
          <w:instrText xml:space="preserve"> PAGEREF _Toc31811100 \h </w:instrText>
        </w:r>
        <w:r w:rsidR="005F312B" w:rsidRPr="00ED4D49">
          <w:rPr>
            <w:noProof/>
            <w:webHidden/>
            <w:lang w:val="en-US"/>
          </w:rPr>
        </w:r>
        <w:r w:rsidR="005F312B" w:rsidRPr="00ED4D49">
          <w:rPr>
            <w:noProof/>
            <w:webHidden/>
            <w:lang w:val="en-US"/>
          </w:rPr>
          <w:fldChar w:fldCharType="separate"/>
        </w:r>
        <w:r w:rsidR="001755CE" w:rsidRPr="00ED4D49">
          <w:rPr>
            <w:noProof/>
            <w:webHidden/>
            <w:lang w:val="en-US"/>
          </w:rPr>
          <w:t>56</w:t>
        </w:r>
        <w:r w:rsidR="005F312B" w:rsidRPr="00ED4D49">
          <w:rPr>
            <w:noProof/>
            <w:webHidden/>
            <w:lang w:val="en-US"/>
          </w:rPr>
          <w:fldChar w:fldCharType="end"/>
        </w:r>
      </w:hyperlink>
    </w:p>
    <w:p w14:paraId="24FD5748" w14:textId="057AD72A" w:rsidR="005F312B" w:rsidRPr="00ED4D49" w:rsidRDefault="00000000">
      <w:pPr>
        <w:pStyle w:val="TOC2"/>
        <w:rPr>
          <w:rFonts w:asciiTheme="minorHAnsi" w:eastAsiaTheme="minorEastAsia" w:hAnsiTheme="minorHAnsi" w:cstheme="minorBidi"/>
          <w:noProof/>
          <w:sz w:val="24"/>
          <w:szCs w:val="24"/>
          <w:lang w:val="en-US" w:eastAsia="en-GB"/>
        </w:rPr>
      </w:pPr>
      <w:hyperlink w:anchor="_Toc31811101" w:history="1">
        <w:r w:rsidR="005F312B" w:rsidRPr="00ED4D49">
          <w:rPr>
            <w:rStyle w:val="Hyperlink"/>
            <w:noProof/>
            <w:lang w:val="en-US"/>
          </w:rPr>
          <w:t>7.3</w:t>
        </w:r>
        <w:r w:rsidR="005F312B" w:rsidRPr="00ED4D49">
          <w:rPr>
            <w:rFonts w:asciiTheme="minorHAnsi" w:eastAsiaTheme="minorEastAsia" w:hAnsiTheme="minorHAnsi" w:cstheme="minorBidi"/>
            <w:noProof/>
            <w:sz w:val="24"/>
            <w:szCs w:val="24"/>
            <w:lang w:val="en-US" w:eastAsia="en-GB"/>
          </w:rPr>
          <w:tab/>
        </w:r>
        <w:r w:rsidR="005F312B" w:rsidRPr="00ED4D49">
          <w:rPr>
            <w:rStyle w:val="Hyperlink"/>
            <w:noProof/>
            <w:lang w:val="en-US"/>
          </w:rPr>
          <w:t>Environmental and Social Requirements</w:t>
        </w:r>
        <w:r w:rsidR="005F312B" w:rsidRPr="00ED4D49">
          <w:rPr>
            <w:noProof/>
            <w:webHidden/>
            <w:lang w:val="en-US"/>
          </w:rPr>
          <w:tab/>
        </w:r>
        <w:r w:rsidR="005F312B" w:rsidRPr="00ED4D49">
          <w:rPr>
            <w:noProof/>
            <w:webHidden/>
            <w:lang w:val="en-US"/>
          </w:rPr>
          <w:fldChar w:fldCharType="begin"/>
        </w:r>
        <w:r w:rsidR="005F312B" w:rsidRPr="00ED4D49">
          <w:rPr>
            <w:noProof/>
            <w:webHidden/>
            <w:lang w:val="en-US"/>
          </w:rPr>
          <w:instrText xml:space="preserve"> PAGEREF _Toc31811101 \h </w:instrText>
        </w:r>
        <w:r w:rsidR="005F312B" w:rsidRPr="00ED4D49">
          <w:rPr>
            <w:noProof/>
            <w:webHidden/>
            <w:lang w:val="en-US"/>
          </w:rPr>
        </w:r>
        <w:r w:rsidR="005F312B" w:rsidRPr="00ED4D49">
          <w:rPr>
            <w:noProof/>
            <w:webHidden/>
            <w:lang w:val="en-US"/>
          </w:rPr>
          <w:fldChar w:fldCharType="separate"/>
        </w:r>
        <w:r w:rsidR="001755CE" w:rsidRPr="00ED4D49">
          <w:rPr>
            <w:noProof/>
            <w:webHidden/>
            <w:lang w:val="en-US"/>
          </w:rPr>
          <w:t>70</w:t>
        </w:r>
        <w:r w:rsidR="005F312B" w:rsidRPr="00ED4D49">
          <w:rPr>
            <w:noProof/>
            <w:webHidden/>
            <w:lang w:val="en-US"/>
          </w:rPr>
          <w:fldChar w:fldCharType="end"/>
        </w:r>
      </w:hyperlink>
    </w:p>
    <w:p w14:paraId="260A2EF6" w14:textId="4F293AF8" w:rsidR="005F312B" w:rsidRPr="00ED4D49" w:rsidRDefault="00000000">
      <w:pPr>
        <w:pStyle w:val="TOC2"/>
        <w:rPr>
          <w:rFonts w:asciiTheme="minorHAnsi" w:eastAsiaTheme="minorEastAsia" w:hAnsiTheme="minorHAnsi" w:cstheme="minorBidi"/>
          <w:noProof/>
          <w:sz w:val="24"/>
          <w:szCs w:val="24"/>
          <w:lang w:val="en-US" w:eastAsia="en-GB"/>
        </w:rPr>
      </w:pPr>
      <w:hyperlink w:anchor="_Toc31811102" w:history="1">
        <w:r w:rsidR="005F312B" w:rsidRPr="00ED4D49">
          <w:rPr>
            <w:rStyle w:val="Hyperlink"/>
            <w:noProof/>
            <w:lang w:val="en-US"/>
          </w:rPr>
          <w:t>7.4</w:t>
        </w:r>
        <w:r w:rsidR="005F312B" w:rsidRPr="00ED4D49">
          <w:rPr>
            <w:rFonts w:asciiTheme="minorHAnsi" w:eastAsiaTheme="minorEastAsia" w:hAnsiTheme="minorHAnsi" w:cstheme="minorBidi"/>
            <w:noProof/>
            <w:sz w:val="24"/>
            <w:szCs w:val="24"/>
            <w:lang w:val="en-US" w:eastAsia="en-GB"/>
          </w:rPr>
          <w:tab/>
        </w:r>
        <w:r w:rsidR="005F312B" w:rsidRPr="00ED4D49">
          <w:rPr>
            <w:rStyle w:val="Hyperlink"/>
            <w:noProof/>
            <w:lang w:val="en-US"/>
          </w:rPr>
          <w:t>Environmental and Social Screening Process (Step-by-Step)</w:t>
        </w:r>
        <w:r w:rsidR="005F312B" w:rsidRPr="00ED4D49">
          <w:rPr>
            <w:noProof/>
            <w:webHidden/>
            <w:lang w:val="en-US"/>
          </w:rPr>
          <w:tab/>
        </w:r>
        <w:r w:rsidR="005F312B" w:rsidRPr="00ED4D49">
          <w:rPr>
            <w:noProof/>
            <w:webHidden/>
            <w:lang w:val="en-US"/>
          </w:rPr>
          <w:fldChar w:fldCharType="begin"/>
        </w:r>
        <w:r w:rsidR="005F312B" w:rsidRPr="00ED4D49">
          <w:rPr>
            <w:noProof/>
            <w:webHidden/>
            <w:lang w:val="en-US"/>
          </w:rPr>
          <w:instrText xml:space="preserve"> PAGEREF _Toc31811102 \h </w:instrText>
        </w:r>
        <w:r w:rsidR="005F312B" w:rsidRPr="00ED4D49">
          <w:rPr>
            <w:noProof/>
            <w:webHidden/>
            <w:lang w:val="en-US"/>
          </w:rPr>
        </w:r>
        <w:r w:rsidR="005F312B" w:rsidRPr="00ED4D49">
          <w:rPr>
            <w:noProof/>
            <w:webHidden/>
            <w:lang w:val="en-US"/>
          </w:rPr>
          <w:fldChar w:fldCharType="separate"/>
        </w:r>
        <w:r w:rsidR="001755CE" w:rsidRPr="00ED4D49">
          <w:rPr>
            <w:noProof/>
            <w:webHidden/>
            <w:lang w:val="en-US"/>
          </w:rPr>
          <w:t>72</w:t>
        </w:r>
        <w:r w:rsidR="005F312B" w:rsidRPr="00ED4D49">
          <w:rPr>
            <w:noProof/>
            <w:webHidden/>
            <w:lang w:val="en-US"/>
          </w:rPr>
          <w:fldChar w:fldCharType="end"/>
        </w:r>
      </w:hyperlink>
    </w:p>
    <w:p w14:paraId="6FB869FB" w14:textId="4123EB4E" w:rsidR="005F312B" w:rsidRPr="00ED4D49" w:rsidRDefault="00000000">
      <w:pPr>
        <w:pStyle w:val="TOC2"/>
        <w:rPr>
          <w:rFonts w:asciiTheme="minorHAnsi" w:eastAsiaTheme="minorEastAsia" w:hAnsiTheme="minorHAnsi" w:cstheme="minorBidi"/>
          <w:noProof/>
          <w:sz w:val="24"/>
          <w:szCs w:val="24"/>
          <w:lang w:val="en-US" w:eastAsia="en-GB"/>
        </w:rPr>
      </w:pPr>
      <w:hyperlink w:anchor="_Toc31811103" w:history="1">
        <w:r w:rsidR="005F312B" w:rsidRPr="00ED4D49">
          <w:rPr>
            <w:rStyle w:val="Hyperlink"/>
            <w:noProof/>
            <w:lang w:val="en-US"/>
          </w:rPr>
          <w:t>7.5</w:t>
        </w:r>
        <w:r w:rsidR="005F312B" w:rsidRPr="00ED4D49">
          <w:rPr>
            <w:rFonts w:asciiTheme="minorHAnsi" w:eastAsiaTheme="minorEastAsia" w:hAnsiTheme="minorHAnsi" w:cstheme="minorBidi"/>
            <w:noProof/>
            <w:sz w:val="24"/>
            <w:szCs w:val="24"/>
            <w:lang w:val="en-US" w:eastAsia="en-GB"/>
          </w:rPr>
          <w:tab/>
        </w:r>
        <w:r w:rsidR="005F312B" w:rsidRPr="00ED4D49">
          <w:rPr>
            <w:rStyle w:val="Hyperlink"/>
            <w:noProof/>
            <w:lang w:val="en-US"/>
          </w:rPr>
          <w:t>Labor Management</w:t>
        </w:r>
        <w:r w:rsidR="005F312B" w:rsidRPr="00ED4D49">
          <w:rPr>
            <w:noProof/>
            <w:webHidden/>
            <w:lang w:val="en-US"/>
          </w:rPr>
          <w:tab/>
        </w:r>
        <w:r w:rsidR="005F312B" w:rsidRPr="00ED4D49">
          <w:rPr>
            <w:noProof/>
            <w:webHidden/>
            <w:lang w:val="en-US"/>
          </w:rPr>
          <w:fldChar w:fldCharType="begin"/>
        </w:r>
        <w:r w:rsidR="005F312B" w:rsidRPr="00ED4D49">
          <w:rPr>
            <w:noProof/>
            <w:webHidden/>
            <w:lang w:val="en-US"/>
          </w:rPr>
          <w:instrText xml:space="preserve"> PAGEREF _Toc31811103 \h </w:instrText>
        </w:r>
        <w:r w:rsidR="005F312B" w:rsidRPr="00ED4D49">
          <w:rPr>
            <w:noProof/>
            <w:webHidden/>
            <w:lang w:val="en-US"/>
          </w:rPr>
        </w:r>
        <w:r w:rsidR="005F312B" w:rsidRPr="00ED4D49">
          <w:rPr>
            <w:noProof/>
            <w:webHidden/>
            <w:lang w:val="en-US"/>
          </w:rPr>
          <w:fldChar w:fldCharType="separate"/>
        </w:r>
        <w:r w:rsidR="001755CE" w:rsidRPr="00ED4D49">
          <w:rPr>
            <w:noProof/>
            <w:webHidden/>
            <w:lang w:val="en-US"/>
          </w:rPr>
          <w:t>75</w:t>
        </w:r>
        <w:r w:rsidR="005F312B" w:rsidRPr="00ED4D49">
          <w:rPr>
            <w:noProof/>
            <w:webHidden/>
            <w:lang w:val="en-US"/>
          </w:rPr>
          <w:fldChar w:fldCharType="end"/>
        </w:r>
      </w:hyperlink>
    </w:p>
    <w:p w14:paraId="10C6C17D" w14:textId="5EEFD2E9" w:rsidR="005F312B" w:rsidRPr="00ED4D49" w:rsidRDefault="00000000">
      <w:pPr>
        <w:pStyle w:val="TOC2"/>
        <w:rPr>
          <w:rFonts w:asciiTheme="minorHAnsi" w:eastAsiaTheme="minorEastAsia" w:hAnsiTheme="minorHAnsi" w:cstheme="minorBidi"/>
          <w:noProof/>
          <w:sz w:val="24"/>
          <w:szCs w:val="24"/>
          <w:lang w:val="en-US" w:eastAsia="en-GB"/>
        </w:rPr>
      </w:pPr>
      <w:hyperlink w:anchor="_Toc31811104" w:history="1">
        <w:r w:rsidR="005F312B" w:rsidRPr="00ED4D49">
          <w:rPr>
            <w:rStyle w:val="Hyperlink"/>
            <w:noProof/>
            <w:lang w:val="en-US"/>
          </w:rPr>
          <w:t>7.6</w:t>
        </w:r>
        <w:r w:rsidR="005F312B" w:rsidRPr="00ED4D49">
          <w:rPr>
            <w:rFonts w:asciiTheme="minorHAnsi" w:eastAsiaTheme="minorEastAsia" w:hAnsiTheme="minorHAnsi" w:cstheme="minorBidi"/>
            <w:noProof/>
            <w:sz w:val="24"/>
            <w:szCs w:val="24"/>
            <w:lang w:val="en-US" w:eastAsia="en-GB"/>
          </w:rPr>
          <w:tab/>
        </w:r>
        <w:r w:rsidR="005F312B" w:rsidRPr="00ED4D49">
          <w:rPr>
            <w:rStyle w:val="Hyperlink"/>
            <w:noProof/>
            <w:lang w:val="en-US"/>
          </w:rPr>
          <w:t>Monitoring and Reporting</w:t>
        </w:r>
        <w:r w:rsidR="005F312B" w:rsidRPr="00ED4D49">
          <w:rPr>
            <w:noProof/>
            <w:webHidden/>
            <w:lang w:val="en-US"/>
          </w:rPr>
          <w:tab/>
        </w:r>
        <w:r w:rsidR="005F312B" w:rsidRPr="00ED4D49">
          <w:rPr>
            <w:noProof/>
            <w:webHidden/>
            <w:lang w:val="en-US"/>
          </w:rPr>
          <w:fldChar w:fldCharType="begin"/>
        </w:r>
        <w:r w:rsidR="005F312B" w:rsidRPr="00ED4D49">
          <w:rPr>
            <w:noProof/>
            <w:webHidden/>
            <w:lang w:val="en-US"/>
          </w:rPr>
          <w:instrText xml:space="preserve"> PAGEREF _Toc31811104 \h </w:instrText>
        </w:r>
        <w:r w:rsidR="005F312B" w:rsidRPr="00ED4D49">
          <w:rPr>
            <w:noProof/>
            <w:webHidden/>
            <w:lang w:val="en-US"/>
          </w:rPr>
        </w:r>
        <w:r w:rsidR="005F312B" w:rsidRPr="00ED4D49">
          <w:rPr>
            <w:noProof/>
            <w:webHidden/>
            <w:lang w:val="en-US"/>
          </w:rPr>
          <w:fldChar w:fldCharType="separate"/>
        </w:r>
        <w:r w:rsidR="001755CE" w:rsidRPr="00ED4D49">
          <w:rPr>
            <w:noProof/>
            <w:webHidden/>
            <w:lang w:val="en-US"/>
          </w:rPr>
          <w:t>75</w:t>
        </w:r>
        <w:r w:rsidR="005F312B" w:rsidRPr="00ED4D49">
          <w:rPr>
            <w:noProof/>
            <w:webHidden/>
            <w:lang w:val="en-US"/>
          </w:rPr>
          <w:fldChar w:fldCharType="end"/>
        </w:r>
      </w:hyperlink>
    </w:p>
    <w:p w14:paraId="33F9A344" w14:textId="4780BCA6" w:rsidR="005F312B" w:rsidRPr="00ED4D49" w:rsidRDefault="00000000">
      <w:pPr>
        <w:pStyle w:val="TOC2"/>
        <w:rPr>
          <w:rFonts w:asciiTheme="minorHAnsi" w:eastAsiaTheme="minorEastAsia" w:hAnsiTheme="minorHAnsi" w:cstheme="minorBidi"/>
          <w:noProof/>
          <w:sz w:val="24"/>
          <w:szCs w:val="24"/>
          <w:lang w:val="en-US" w:eastAsia="en-GB"/>
        </w:rPr>
      </w:pPr>
      <w:hyperlink w:anchor="_Toc31811105" w:history="1">
        <w:r w:rsidR="005F312B" w:rsidRPr="00ED4D49">
          <w:rPr>
            <w:rStyle w:val="Hyperlink"/>
            <w:noProof/>
            <w:lang w:val="en-US"/>
          </w:rPr>
          <w:t>7.7</w:t>
        </w:r>
        <w:r w:rsidR="005F312B" w:rsidRPr="00ED4D49">
          <w:rPr>
            <w:rFonts w:asciiTheme="minorHAnsi" w:eastAsiaTheme="minorEastAsia" w:hAnsiTheme="minorHAnsi" w:cstheme="minorBidi"/>
            <w:noProof/>
            <w:sz w:val="24"/>
            <w:szCs w:val="24"/>
            <w:lang w:val="en-US" w:eastAsia="en-GB"/>
          </w:rPr>
          <w:tab/>
        </w:r>
        <w:r w:rsidR="005F312B" w:rsidRPr="00ED4D49">
          <w:rPr>
            <w:rStyle w:val="Hyperlink"/>
            <w:noProof/>
            <w:lang w:val="en-US"/>
          </w:rPr>
          <w:t>Demining of the Right Bank of the Sava River</w:t>
        </w:r>
        <w:r w:rsidR="005F312B" w:rsidRPr="00ED4D49">
          <w:rPr>
            <w:noProof/>
            <w:webHidden/>
            <w:lang w:val="en-US"/>
          </w:rPr>
          <w:tab/>
        </w:r>
        <w:r w:rsidR="005F312B" w:rsidRPr="00ED4D49">
          <w:rPr>
            <w:noProof/>
            <w:webHidden/>
            <w:lang w:val="en-US"/>
          </w:rPr>
          <w:fldChar w:fldCharType="begin"/>
        </w:r>
        <w:r w:rsidR="005F312B" w:rsidRPr="00ED4D49">
          <w:rPr>
            <w:noProof/>
            <w:webHidden/>
            <w:lang w:val="en-US"/>
          </w:rPr>
          <w:instrText xml:space="preserve"> PAGEREF _Toc31811105 \h </w:instrText>
        </w:r>
        <w:r w:rsidR="005F312B" w:rsidRPr="00ED4D49">
          <w:rPr>
            <w:noProof/>
            <w:webHidden/>
            <w:lang w:val="en-US"/>
          </w:rPr>
        </w:r>
        <w:r w:rsidR="005F312B" w:rsidRPr="00ED4D49">
          <w:rPr>
            <w:noProof/>
            <w:webHidden/>
            <w:lang w:val="en-US"/>
          </w:rPr>
          <w:fldChar w:fldCharType="separate"/>
        </w:r>
        <w:r w:rsidR="001755CE" w:rsidRPr="00ED4D49">
          <w:rPr>
            <w:noProof/>
            <w:webHidden/>
            <w:lang w:val="en-US"/>
          </w:rPr>
          <w:t>76</w:t>
        </w:r>
        <w:r w:rsidR="005F312B" w:rsidRPr="00ED4D49">
          <w:rPr>
            <w:noProof/>
            <w:webHidden/>
            <w:lang w:val="en-US"/>
          </w:rPr>
          <w:fldChar w:fldCharType="end"/>
        </w:r>
      </w:hyperlink>
    </w:p>
    <w:p w14:paraId="0AF92CCA" w14:textId="7539462E" w:rsidR="005F312B" w:rsidRPr="00ED4D49" w:rsidRDefault="00000000">
      <w:pPr>
        <w:pStyle w:val="TOC1"/>
        <w:tabs>
          <w:tab w:val="left" w:pos="442"/>
          <w:tab w:val="right" w:leader="dot" w:pos="9010"/>
        </w:tabs>
        <w:rPr>
          <w:rFonts w:asciiTheme="minorHAnsi" w:eastAsiaTheme="minorEastAsia" w:hAnsiTheme="minorHAnsi" w:cstheme="minorBidi"/>
          <w:b w:val="0"/>
          <w:noProof/>
          <w:sz w:val="24"/>
          <w:szCs w:val="24"/>
          <w:lang w:val="en-US" w:eastAsia="en-GB"/>
        </w:rPr>
      </w:pPr>
      <w:hyperlink w:anchor="_Toc31811106" w:history="1">
        <w:r w:rsidR="005F312B" w:rsidRPr="00ED4D49">
          <w:rPr>
            <w:rStyle w:val="Hyperlink"/>
            <w:noProof/>
            <w:lang w:val="en-US"/>
          </w:rPr>
          <w:t>8</w:t>
        </w:r>
        <w:r w:rsidR="005F312B" w:rsidRPr="00ED4D49">
          <w:rPr>
            <w:rFonts w:asciiTheme="minorHAnsi" w:eastAsiaTheme="minorEastAsia" w:hAnsiTheme="minorHAnsi" w:cstheme="minorBidi"/>
            <w:b w:val="0"/>
            <w:noProof/>
            <w:sz w:val="24"/>
            <w:szCs w:val="24"/>
            <w:lang w:val="en-US" w:eastAsia="en-GB"/>
          </w:rPr>
          <w:tab/>
        </w:r>
        <w:r w:rsidR="005F312B" w:rsidRPr="00ED4D49">
          <w:rPr>
            <w:rStyle w:val="Hyperlink"/>
            <w:noProof/>
            <w:lang w:val="en-US"/>
          </w:rPr>
          <w:t>PUBLIC CONSULTATIONS PROCESS</w:t>
        </w:r>
        <w:r w:rsidR="005F312B" w:rsidRPr="00ED4D49">
          <w:rPr>
            <w:noProof/>
            <w:webHidden/>
            <w:lang w:val="en-US"/>
          </w:rPr>
          <w:tab/>
        </w:r>
        <w:r w:rsidR="005F312B" w:rsidRPr="00ED4D49">
          <w:rPr>
            <w:noProof/>
            <w:webHidden/>
            <w:lang w:val="en-US"/>
          </w:rPr>
          <w:fldChar w:fldCharType="begin"/>
        </w:r>
        <w:r w:rsidR="005F312B" w:rsidRPr="00ED4D49">
          <w:rPr>
            <w:noProof/>
            <w:webHidden/>
            <w:lang w:val="en-US"/>
          </w:rPr>
          <w:instrText xml:space="preserve"> PAGEREF _Toc31811106 \h </w:instrText>
        </w:r>
        <w:r w:rsidR="005F312B" w:rsidRPr="00ED4D49">
          <w:rPr>
            <w:noProof/>
            <w:webHidden/>
            <w:lang w:val="en-US"/>
          </w:rPr>
        </w:r>
        <w:r w:rsidR="005F312B" w:rsidRPr="00ED4D49">
          <w:rPr>
            <w:noProof/>
            <w:webHidden/>
            <w:lang w:val="en-US"/>
          </w:rPr>
          <w:fldChar w:fldCharType="separate"/>
        </w:r>
        <w:r w:rsidR="001755CE" w:rsidRPr="00ED4D49">
          <w:rPr>
            <w:noProof/>
            <w:webHidden/>
            <w:lang w:val="en-US"/>
          </w:rPr>
          <w:t>80</w:t>
        </w:r>
        <w:r w:rsidR="005F312B" w:rsidRPr="00ED4D49">
          <w:rPr>
            <w:noProof/>
            <w:webHidden/>
            <w:lang w:val="en-US"/>
          </w:rPr>
          <w:fldChar w:fldCharType="end"/>
        </w:r>
      </w:hyperlink>
    </w:p>
    <w:p w14:paraId="143806FF" w14:textId="46D32C70" w:rsidR="005F312B" w:rsidRPr="00ED4D49" w:rsidRDefault="00000000">
      <w:pPr>
        <w:pStyle w:val="TOC1"/>
        <w:tabs>
          <w:tab w:val="right" w:leader="dot" w:pos="9010"/>
        </w:tabs>
        <w:rPr>
          <w:rFonts w:asciiTheme="minorHAnsi" w:eastAsiaTheme="minorEastAsia" w:hAnsiTheme="minorHAnsi" w:cstheme="minorBidi"/>
          <w:b w:val="0"/>
          <w:noProof/>
          <w:sz w:val="24"/>
          <w:szCs w:val="24"/>
          <w:lang w:val="en-US" w:eastAsia="en-GB"/>
        </w:rPr>
      </w:pPr>
      <w:hyperlink w:anchor="_Toc31811107" w:history="1">
        <w:r w:rsidR="005F312B" w:rsidRPr="00ED4D49">
          <w:rPr>
            <w:rStyle w:val="Hyperlink"/>
            <w:noProof/>
            <w:lang w:val="en-US"/>
          </w:rPr>
          <w:t>ANNEXES</w:t>
        </w:r>
        <w:r w:rsidR="005F312B" w:rsidRPr="00ED4D49">
          <w:rPr>
            <w:noProof/>
            <w:webHidden/>
            <w:lang w:val="en-US"/>
          </w:rPr>
          <w:tab/>
        </w:r>
        <w:r w:rsidR="005F312B" w:rsidRPr="00ED4D49">
          <w:rPr>
            <w:noProof/>
            <w:webHidden/>
            <w:lang w:val="en-US"/>
          </w:rPr>
          <w:fldChar w:fldCharType="begin"/>
        </w:r>
        <w:r w:rsidR="005F312B" w:rsidRPr="00ED4D49">
          <w:rPr>
            <w:noProof/>
            <w:webHidden/>
            <w:lang w:val="en-US"/>
          </w:rPr>
          <w:instrText xml:space="preserve"> PAGEREF _Toc31811107 \h </w:instrText>
        </w:r>
        <w:r w:rsidR="005F312B" w:rsidRPr="00ED4D49">
          <w:rPr>
            <w:noProof/>
            <w:webHidden/>
            <w:lang w:val="en-US"/>
          </w:rPr>
        </w:r>
        <w:r w:rsidR="005F312B" w:rsidRPr="00ED4D49">
          <w:rPr>
            <w:noProof/>
            <w:webHidden/>
            <w:lang w:val="en-US"/>
          </w:rPr>
          <w:fldChar w:fldCharType="separate"/>
        </w:r>
        <w:r w:rsidR="001755CE" w:rsidRPr="00ED4D49">
          <w:rPr>
            <w:noProof/>
            <w:webHidden/>
            <w:lang w:val="en-US"/>
          </w:rPr>
          <w:t>81</w:t>
        </w:r>
        <w:r w:rsidR="005F312B" w:rsidRPr="00ED4D49">
          <w:rPr>
            <w:noProof/>
            <w:webHidden/>
            <w:lang w:val="en-US"/>
          </w:rPr>
          <w:fldChar w:fldCharType="end"/>
        </w:r>
      </w:hyperlink>
    </w:p>
    <w:p w14:paraId="44710E4C" w14:textId="5091D218" w:rsidR="005F312B" w:rsidRPr="00ED4D49" w:rsidRDefault="00000000">
      <w:pPr>
        <w:pStyle w:val="TOC2"/>
        <w:rPr>
          <w:rFonts w:asciiTheme="minorHAnsi" w:eastAsiaTheme="minorEastAsia" w:hAnsiTheme="minorHAnsi" w:cstheme="minorBidi"/>
          <w:noProof/>
          <w:sz w:val="24"/>
          <w:szCs w:val="24"/>
          <w:lang w:val="en-US" w:eastAsia="en-GB"/>
        </w:rPr>
      </w:pPr>
      <w:hyperlink w:anchor="_Toc31811108" w:history="1">
        <w:r w:rsidR="005F312B" w:rsidRPr="00ED4D49">
          <w:rPr>
            <w:rStyle w:val="Hyperlink"/>
            <w:noProof/>
            <w:lang w:val="en-US"/>
          </w:rPr>
          <w:t>A.</w:t>
        </w:r>
        <w:r w:rsidR="005F312B" w:rsidRPr="00ED4D49">
          <w:rPr>
            <w:rFonts w:asciiTheme="minorHAnsi" w:eastAsiaTheme="minorEastAsia" w:hAnsiTheme="minorHAnsi" w:cstheme="minorBidi"/>
            <w:noProof/>
            <w:sz w:val="24"/>
            <w:szCs w:val="24"/>
            <w:lang w:val="en-US" w:eastAsia="en-GB"/>
          </w:rPr>
          <w:tab/>
        </w:r>
        <w:r w:rsidR="005F312B" w:rsidRPr="00ED4D49">
          <w:rPr>
            <w:rStyle w:val="Hyperlink"/>
            <w:noProof/>
            <w:lang w:val="en-US"/>
          </w:rPr>
          <w:t>Sites of Cultural and Historical Heritage in Municipalities of the DRB</w:t>
        </w:r>
        <w:r w:rsidR="005F312B" w:rsidRPr="00ED4D49">
          <w:rPr>
            <w:noProof/>
            <w:webHidden/>
            <w:lang w:val="en-US"/>
          </w:rPr>
          <w:tab/>
        </w:r>
        <w:r w:rsidR="005F312B" w:rsidRPr="00ED4D49">
          <w:rPr>
            <w:noProof/>
            <w:webHidden/>
            <w:lang w:val="en-US"/>
          </w:rPr>
          <w:fldChar w:fldCharType="begin"/>
        </w:r>
        <w:r w:rsidR="005F312B" w:rsidRPr="00ED4D49">
          <w:rPr>
            <w:noProof/>
            <w:webHidden/>
            <w:lang w:val="en-US"/>
          </w:rPr>
          <w:instrText xml:space="preserve"> PAGEREF _Toc31811108 \h </w:instrText>
        </w:r>
        <w:r w:rsidR="005F312B" w:rsidRPr="00ED4D49">
          <w:rPr>
            <w:noProof/>
            <w:webHidden/>
            <w:lang w:val="en-US"/>
          </w:rPr>
        </w:r>
        <w:r w:rsidR="005F312B" w:rsidRPr="00ED4D49">
          <w:rPr>
            <w:noProof/>
            <w:webHidden/>
            <w:lang w:val="en-US"/>
          </w:rPr>
          <w:fldChar w:fldCharType="separate"/>
        </w:r>
        <w:r w:rsidR="001755CE" w:rsidRPr="00ED4D49">
          <w:rPr>
            <w:noProof/>
            <w:webHidden/>
            <w:lang w:val="en-US"/>
          </w:rPr>
          <w:t>82</w:t>
        </w:r>
        <w:r w:rsidR="005F312B" w:rsidRPr="00ED4D49">
          <w:rPr>
            <w:noProof/>
            <w:webHidden/>
            <w:lang w:val="en-US"/>
          </w:rPr>
          <w:fldChar w:fldCharType="end"/>
        </w:r>
      </w:hyperlink>
    </w:p>
    <w:p w14:paraId="403E5326" w14:textId="5E01389A" w:rsidR="005F312B" w:rsidRPr="00ED4D49" w:rsidRDefault="00000000">
      <w:pPr>
        <w:pStyle w:val="TOC2"/>
        <w:rPr>
          <w:rFonts w:asciiTheme="minorHAnsi" w:eastAsiaTheme="minorEastAsia" w:hAnsiTheme="minorHAnsi" w:cstheme="minorBidi"/>
          <w:noProof/>
          <w:sz w:val="24"/>
          <w:szCs w:val="24"/>
          <w:lang w:val="en-US" w:eastAsia="en-GB"/>
        </w:rPr>
      </w:pPr>
      <w:hyperlink w:anchor="_Toc31811109" w:history="1">
        <w:r w:rsidR="005F312B" w:rsidRPr="00ED4D49">
          <w:rPr>
            <w:rStyle w:val="Hyperlink"/>
            <w:noProof/>
            <w:lang w:val="en-US"/>
          </w:rPr>
          <w:t>B.</w:t>
        </w:r>
        <w:r w:rsidR="005F312B" w:rsidRPr="00ED4D49">
          <w:rPr>
            <w:rFonts w:asciiTheme="minorHAnsi" w:eastAsiaTheme="minorEastAsia" w:hAnsiTheme="minorHAnsi" w:cstheme="minorBidi"/>
            <w:noProof/>
            <w:sz w:val="24"/>
            <w:szCs w:val="24"/>
            <w:lang w:val="en-US" w:eastAsia="en-GB"/>
          </w:rPr>
          <w:tab/>
        </w:r>
        <w:r w:rsidR="005F312B" w:rsidRPr="00ED4D49">
          <w:rPr>
            <w:rStyle w:val="Hyperlink"/>
            <w:noProof/>
            <w:lang w:val="en-US"/>
          </w:rPr>
          <w:t>Sites of Cultural and Historical Heritage in Municipalities of the BiH</w:t>
        </w:r>
        <w:r w:rsidR="005F312B" w:rsidRPr="00ED4D49">
          <w:rPr>
            <w:noProof/>
            <w:webHidden/>
            <w:lang w:val="en-US"/>
          </w:rPr>
          <w:tab/>
        </w:r>
        <w:r w:rsidR="005F312B" w:rsidRPr="00ED4D49">
          <w:rPr>
            <w:noProof/>
            <w:webHidden/>
            <w:lang w:val="en-US"/>
          </w:rPr>
          <w:fldChar w:fldCharType="begin"/>
        </w:r>
        <w:r w:rsidR="005F312B" w:rsidRPr="00ED4D49">
          <w:rPr>
            <w:noProof/>
            <w:webHidden/>
            <w:lang w:val="en-US"/>
          </w:rPr>
          <w:instrText xml:space="preserve"> PAGEREF _Toc31811109 \h </w:instrText>
        </w:r>
        <w:r w:rsidR="005F312B" w:rsidRPr="00ED4D49">
          <w:rPr>
            <w:noProof/>
            <w:webHidden/>
            <w:lang w:val="en-US"/>
          </w:rPr>
        </w:r>
        <w:r w:rsidR="005F312B" w:rsidRPr="00ED4D49">
          <w:rPr>
            <w:noProof/>
            <w:webHidden/>
            <w:lang w:val="en-US"/>
          </w:rPr>
          <w:fldChar w:fldCharType="separate"/>
        </w:r>
        <w:r w:rsidR="001755CE" w:rsidRPr="00ED4D49">
          <w:rPr>
            <w:noProof/>
            <w:webHidden/>
            <w:lang w:val="en-US"/>
          </w:rPr>
          <w:t>84</w:t>
        </w:r>
        <w:r w:rsidR="005F312B" w:rsidRPr="00ED4D49">
          <w:rPr>
            <w:noProof/>
            <w:webHidden/>
            <w:lang w:val="en-US"/>
          </w:rPr>
          <w:fldChar w:fldCharType="end"/>
        </w:r>
      </w:hyperlink>
    </w:p>
    <w:p w14:paraId="3208B4F8" w14:textId="02A153D2" w:rsidR="005F312B" w:rsidRPr="00ED4D49" w:rsidRDefault="00000000">
      <w:pPr>
        <w:pStyle w:val="TOC2"/>
        <w:rPr>
          <w:rFonts w:asciiTheme="minorHAnsi" w:eastAsiaTheme="minorEastAsia" w:hAnsiTheme="minorHAnsi" w:cstheme="minorBidi"/>
          <w:noProof/>
          <w:sz w:val="24"/>
          <w:szCs w:val="24"/>
          <w:lang w:val="en-US" w:eastAsia="en-GB"/>
        </w:rPr>
      </w:pPr>
      <w:hyperlink w:anchor="_Toc31811110" w:history="1">
        <w:r w:rsidR="005F312B" w:rsidRPr="00ED4D49">
          <w:rPr>
            <w:rStyle w:val="Hyperlink"/>
            <w:noProof/>
            <w:lang w:val="en-US"/>
          </w:rPr>
          <w:t>C.</w:t>
        </w:r>
        <w:r w:rsidR="005F312B" w:rsidRPr="00ED4D49">
          <w:rPr>
            <w:rFonts w:asciiTheme="minorHAnsi" w:eastAsiaTheme="minorEastAsia" w:hAnsiTheme="minorHAnsi" w:cstheme="minorBidi"/>
            <w:noProof/>
            <w:sz w:val="24"/>
            <w:szCs w:val="24"/>
            <w:lang w:val="en-US" w:eastAsia="en-GB"/>
          </w:rPr>
          <w:tab/>
        </w:r>
        <w:r w:rsidR="005F312B" w:rsidRPr="00ED4D49">
          <w:rPr>
            <w:rStyle w:val="Hyperlink"/>
            <w:noProof/>
            <w:lang w:val="en-US"/>
          </w:rPr>
          <w:t>Overview of Cantonal Ministries Responsible for Water Management and Environmental Issues</w:t>
        </w:r>
        <w:r w:rsidR="005F312B" w:rsidRPr="00ED4D49">
          <w:rPr>
            <w:noProof/>
            <w:webHidden/>
            <w:lang w:val="en-US"/>
          </w:rPr>
          <w:tab/>
        </w:r>
        <w:r w:rsidR="005F312B" w:rsidRPr="00ED4D49">
          <w:rPr>
            <w:noProof/>
            <w:webHidden/>
            <w:lang w:val="en-US"/>
          </w:rPr>
          <w:fldChar w:fldCharType="begin"/>
        </w:r>
        <w:r w:rsidR="005F312B" w:rsidRPr="00ED4D49">
          <w:rPr>
            <w:noProof/>
            <w:webHidden/>
            <w:lang w:val="en-US"/>
          </w:rPr>
          <w:instrText xml:space="preserve"> PAGEREF _Toc31811110 \h </w:instrText>
        </w:r>
        <w:r w:rsidR="005F312B" w:rsidRPr="00ED4D49">
          <w:rPr>
            <w:noProof/>
            <w:webHidden/>
            <w:lang w:val="en-US"/>
          </w:rPr>
        </w:r>
        <w:r w:rsidR="005F312B" w:rsidRPr="00ED4D49">
          <w:rPr>
            <w:noProof/>
            <w:webHidden/>
            <w:lang w:val="en-US"/>
          </w:rPr>
          <w:fldChar w:fldCharType="separate"/>
        </w:r>
        <w:r w:rsidR="001755CE" w:rsidRPr="00ED4D49">
          <w:rPr>
            <w:noProof/>
            <w:webHidden/>
            <w:lang w:val="en-US"/>
          </w:rPr>
          <w:t>85</w:t>
        </w:r>
        <w:r w:rsidR="005F312B" w:rsidRPr="00ED4D49">
          <w:rPr>
            <w:noProof/>
            <w:webHidden/>
            <w:lang w:val="en-US"/>
          </w:rPr>
          <w:fldChar w:fldCharType="end"/>
        </w:r>
      </w:hyperlink>
    </w:p>
    <w:p w14:paraId="1313519B" w14:textId="3D37327E" w:rsidR="005F312B" w:rsidRPr="00ED4D49" w:rsidRDefault="00000000">
      <w:pPr>
        <w:pStyle w:val="TOC2"/>
        <w:rPr>
          <w:rFonts w:asciiTheme="minorHAnsi" w:eastAsiaTheme="minorEastAsia" w:hAnsiTheme="minorHAnsi" w:cstheme="minorBidi"/>
          <w:noProof/>
          <w:sz w:val="24"/>
          <w:szCs w:val="24"/>
          <w:lang w:val="en-US" w:eastAsia="en-GB"/>
        </w:rPr>
      </w:pPr>
      <w:hyperlink w:anchor="_Toc31811111" w:history="1">
        <w:r w:rsidR="005F312B" w:rsidRPr="00ED4D49">
          <w:rPr>
            <w:rStyle w:val="Hyperlink"/>
            <w:noProof/>
            <w:lang w:val="en-US"/>
          </w:rPr>
          <w:t>D.</w:t>
        </w:r>
        <w:r w:rsidR="005F312B" w:rsidRPr="00ED4D49">
          <w:rPr>
            <w:rFonts w:asciiTheme="minorHAnsi" w:eastAsiaTheme="minorEastAsia" w:hAnsiTheme="minorHAnsi" w:cstheme="minorBidi"/>
            <w:noProof/>
            <w:sz w:val="24"/>
            <w:szCs w:val="24"/>
            <w:lang w:val="en-US" w:eastAsia="en-GB"/>
          </w:rPr>
          <w:tab/>
        </w:r>
        <w:r w:rsidR="005F312B" w:rsidRPr="00ED4D49">
          <w:rPr>
            <w:rStyle w:val="Hyperlink"/>
            <w:noProof/>
            <w:lang w:val="en-US"/>
          </w:rPr>
          <w:t>Generic Environmental and Social Management Plan for the Project</w:t>
        </w:r>
        <w:r w:rsidR="005F312B" w:rsidRPr="00ED4D49">
          <w:rPr>
            <w:noProof/>
            <w:webHidden/>
            <w:lang w:val="en-US"/>
          </w:rPr>
          <w:tab/>
        </w:r>
        <w:r w:rsidR="005F312B" w:rsidRPr="00ED4D49">
          <w:rPr>
            <w:noProof/>
            <w:webHidden/>
            <w:lang w:val="en-US"/>
          </w:rPr>
          <w:fldChar w:fldCharType="begin"/>
        </w:r>
        <w:r w:rsidR="005F312B" w:rsidRPr="00ED4D49">
          <w:rPr>
            <w:noProof/>
            <w:webHidden/>
            <w:lang w:val="en-US"/>
          </w:rPr>
          <w:instrText xml:space="preserve"> PAGEREF _Toc31811111 \h </w:instrText>
        </w:r>
        <w:r w:rsidR="005F312B" w:rsidRPr="00ED4D49">
          <w:rPr>
            <w:noProof/>
            <w:webHidden/>
            <w:lang w:val="en-US"/>
          </w:rPr>
        </w:r>
        <w:r w:rsidR="005F312B" w:rsidRPr="00ED4D49">
          <w:rPr>
            <w:noProof/>
            <w:webHidden/>
            <w:lang w:val="en-US"/>
          </w:rPr>
          <w:fldChar w:fldCharType="separate"/>
        </w:r>
        <w:r w:rsidR="001755CE" w:rsidRPr="00ED4D49">
          <w:rPr>
            <w:noProof/>
            <w:webHidden/>
            <w:lang w:val="en-US"/>
          </w:rPr>
          <w:t>86</w:t>
        </w:r>
        <w:r w:rsidR="005F312B" w:rsidRPr="00ED4D49">
          <w:rPr>
            <w:noProof/>
            <w:webHidden/>
            <w:lang w:val="en-US"/>
          </w:rPr>
          <w:fldChar w:fldCharType="end"/>
        </w:r>
      </w:hyperlink>
    </w:p>
    <w:p w14:paraId="672E7408" w14:textId="0CC0EDB8" w:rsidR="005F312B" w:rsidRPr="00ED4D49" w:rsidRDefault="00000000">
      <w:pPr>
        <w:pStyle w:val="TOC2"/>
        <w:rPr>
          <w:rFonts w:asciiTheme="minorHAnsi" w:eastAsiaTheme="minorEastAsia" w:hAnsiTheme="minorHAnsi" w:cstheme="minorBidi"/>
          <w:noProof/>
          <w:sz w:val="24"/>
          <w:szCs w:val="24"/>
          <w:lang w:val="en-US" w:eastAsia="en-GB"/>
        </w:rPr>
      </w:pPr>
      <w:hyperlink w:anchor="_Toc31811112" w:history="1">
        <w:r w:rsidR="005F312B" w:rsidRPr="00ED4D49">
          <w:rPr>
            <w:rStyle w:val="Hyperlink"/>
            <w:noProof/>
            <w:lang w:val="en-US"/>
          </w:rPr>
          <w:t>E.</w:t>
        </w:r>
        <w:r w:rsidR="005F312B" w:rsidRPr="00ED4D49">
          <w:rPr>
            <w:rFonts w:asciiTheme="minorHAnsi" w:eastAsiaTheme="minorEastAsia" w:hAnsiTheme="minorHAnsi" w:cstheme="minorBidi"/>
            <w:noProof/>
            <w:sz w:val="24"/>
            <w:szCs w:val="24"/>
            <w:lang w:val="en-US" w:eastAsia="en-GB"/>
          </w:rPr>
          <w:tab/>
        </w:r>
        <w:r w:rsidR="005F312B" w:rsidRPr="00ED4D49">
          <w:rPr>
            <w:rStyle w:val="Hyperlink"/>
            <w:noProof/>
            <w:lang w:val="en-US"/>
          </w:rPr>
          <w:t>Indicative outline of ESIA</w:t>
        </w:r>
        <w:r w:rsidR="005F312B" w:rsidRPr="00ED4D49">
          <w:rPr>
            <w:noProof/>
            <w:webHidden/>
            <w:lang w:val="en-US"/>
          </w:rPr>
          <w:tab/>
        </w:r>
        <w:r w:rsidR="005F312B" w:rsidRPr="00ED4D49">
          <w:rPr>
            <w:noProof/>
            <w:webHidden/>
            <w:lang w:val="en-US"/>
          </w:rPr>
          <w:fldChar w:fldCharType="begin"/>
        </w:r>
        <w:r w:rsidR="005F312B" w:rsidRPr="00ED4D49">
          <w:rPr>
            <w:noProof/>
            <w:webHidden/>
            <w:lang w:val="en-US"/>
          </w:rPr>
          <w:instrText xml:space="preserve"> PAGEREF _Toc31811112 \h </w:instrText>
        </w:r>
        <w:r w:rsidR="005F312B" w:rsidRPr="00ED4D49">
          <w:rPr>
            <w:noProof/>
            <w:webHidden/>
            <w:lang w:val="en-US"/>
          </w:rPr>
        </w:r>
        <w:r w:rsidR="005F312B" w:rsidRPr="00ED4D49">
          <w:rPr>
            <w:noProof/>
            <w:webHidden/>
            <w:lang w:val="en-US"/>
          </w:rPr>
          <w:fldChar w:fldCharType="separate"/>
        </w:r>
        <w:r w:rsidR="001755CE" w:rsidRPr="00ED4D49">
          <w:rPr>
            <w:noProof/>
            <w:webHidden/>
            <w:lang w:val="en-US"/>
          </w:rPr>
          <w:t>91</w:t>
        </w:r>
        <w:r w:rsidR="005F312B" w:rsidRPr="00ED4D49">
          <w:rPr>
            <w:noProof/>
            <w:webHidden/>
            <w:lang w:val="en-US"/>
          </w:rPr>
          <w:fldChar w:fldCharType="end"/>
        </w:r>
      </w:hyperlink>
    </w:p>
    <w:p w14:paraId="7C26571B" w14:textId="578C5390" w:rsidR="005F312B" w:rsidRPr="00ED4D49" w:rsidRDefault="00000000">
      <w:pPr>
        <w:pStyle w:val="TOC2"/>
        <w:rPr>
          <w:rFonts w:asciiTheme="minorHAnsi" w:eastAsiaTheme="minorEastAsia" w:hAnsiTheme="minorHAnsi" w:cstheme="minorBidi"/>
          <w:noProof/>
          <w:sz w:val="24"/>
          <w:szCs w:val="24"/>
          <w:lang w:val="en-US" w:eastAsia="en-GB"/>
        </w:rPr>
      </w:pPr>
      <w:hyperlink w:anchor="_Toc31811113" w:history="1">
        <w:r w:rsidR="005F312B" w:rsidRPr="00ED4D49">
          <w:rPr>
            <w:rStyle w:val="Hyperlink"/>
            <w:noProof/>
            <w:lang w:val="en-US"/>
          </w:rPr>
          <w:t>F.</w:t>
        </w:r>
        <w:r w:rsidR="005F312B" w:rsidRPr="00ED4D49">
          <w:rPr>
            <w:rFonts w:asciiTheme="minorHAnsi" w:eastAsiaTheme="minorEastAsia" w:hAnsiTheme="minorHAnsi" w:cstheme="minorBidi"/>
            <w:noProof/>
            <w:sz w:val="24"/>
            <w:szCs w:val="24"/>
            <w:lang w:val="en-US" w:eastAsia="en-GB"/>
          </w:rPr>
          <w:tab/>
        </w:r>
        <w:r w:rsidR="005F312B" w:rsidRPr="00ED4D49">
          <w:rPr>
            <w:rStyle w:val="Hyperlink"/>
            <w:noProof/>
            <w:lang w:val="en-US"/>
          </w:rPr>
          <w:t>Indicative outline of site-specific ESMP</w:t>
        </w:r>
        <w:r w:rsidR="005F312B" w:rsidRPr="00ED4D49">
          <w:rPr>
            <w:noProof/>
            <w:webHidden/>
            <w:lang w:val="en-US"/>
          </w:rPr>
          <w:tab/>
        </w:r>
        <w:r w:rsidR="005F312B" w:rsidRPr="00ED4D49">
          <w:rPr>
            <w:noProof/>
            <w:webHidden/>
            <w:lang w:val="en-US"/>
          </w:rPr>
          <w:fldChar w:fldCharType="begin"/>
        </w:r>
        <w:r w:rsidR="005F312B" w:rsidRPr="00ED4D49">
          <w:rPr>
            <w:noProof/>
            <w:webHidden/>
            <w:lang w:val="en-US"/>
          </w:rPr>
          <w:instrText xml:space="preserve"> PAGEREF _Toc31811113 \h </w:instrText>
        </w:r>
        <w:r w:rsidR="005F312B" w:rsidRPr="00ED4D49">
          <w:rPr>
            <w:noProof/>
            <w:webHidden/>
            <w:lang w:val="en-US"/>
          </w:rPr>
        </w:r>
        <w:r w:rsidR="005F312B" w:rsidRPr="00ED4D49">
          <w:rPr>
            <w:noProof/>
            <w:webHidden/>
            <w:lang w:val="en-US"/>
          </w:rPr>
          <w:fldChar w:fldCharType="separate"/>
        </w:r>
        <w:r w:rsidR="001755CE" w:rsidRPr="00ED4D49">
          <w:rPr>
            <w:noProof/>
            <w:webHidden/>
            <w:lang w:val="en-US"/>
          </w:rPr>
          <w:t>93</w:t>
        </w:r>
        <w:r w:rsidR="005F312B" w:rsidRPr="00ED4D49">
          <w:rPr>
            <w:noProof/>
            <w:webHidden/>
            <w:lang w:val="en-US"/>
          </w:rPr>
          <w:fldChar w:fldCharType="end"/>
        </w:r>
      </w:hyperlink>
    </w:p>
    <w:p w14:paraId="65E89ED7" w14:textId="6F58D112" w:rsidR="005F312B" w:rsidRPr="00ED4D49" w:rsidRDefault="00000000">
      <w:pPr>
        <w:pStyle w:val="TOC2"/>
        <w:rPr>
          <w:rFonts w:asciiTheme="minorHAnsi" w:eastAsiaTheme="minorEastAsia" w:hAnsiTheme="minorHAnsi" w:cstheme="minorBidi"/>
          <w:noProof/>
          <w:sz w:val="24"/>
          <w:szCs w:val="24"/>
          <w:lang w:val="en-US" w:eastAsia="en-GB"/>
        </w:rPr>
      </w:pPr>
      <w:hyperlink w:anchor="_Toc31811114" w:history="1">
        <w:r w:rsidR="005F312B" w:rsidRPr="00ED4D49">
          <w:rPr>
            <w:rStyle w:val="Hyperlink"/>
            <w:noProof/>
            <w:lang w:val="en-US"/>
          </w:rPr>
          <w:t>G.</w:t>
        </w:r>
        <w:r w:rsidR="005F312B" w:rsidRPr="00ED4D49">
          <w:rPr>
            <w:rFonts w:asciiTheme="minorHAnsi" w:eastAsiaTheme="minorEastAsia" w:hAnsiTheme="minorHAnsi" w:cstheme="minorBidi"/>
            <w:noProof/>
            <w:sz w:val="24"/>
            <w:szCs w:val="24"/>
            <w:lang w:val="en-US" w:eastAsia="en-GB"/>
          </w:rPr>
          <w:tab/>
        </w:r>
        <w:r w:rsidR="005F312B" w:rsidRPr="00ED4D49">
          <w:rPr>
            <w:rStyle w:val="Hyperlink"/>
            <w:noProof/>
            <w:lang w:val="en-US"/>
          </w:rPr>
          <w:t>Minutes from the public consultations</w:t>
        </w:r>
        <w:r w:rsidR="005F312B" w:rsidRPr="00ED4D49">
          <w:rPr>
            <w:noProof/>
            <w:webHidden/>
            <w:lang w:val="en-US"/>
          </w:rPr>
          <w:tab/>
        </w:r>
        <w:r w:rsidR="005F312B" w:rsidRPr="00ED4D49">
          <w:rPr>
            <w:noProof/>
            <w:webHidden/>
            <w:lang w:val="en-US"/>
          </w:rPr>
          <w:fldChar w:fldCharType="begin"/>
        </w:r>
        <w:r w:rsidR="005F312B" w:rsidRPr="00ED4D49">
          <w:rPr>
            <w:noProof/>
            <w:webHidden/>
            <w:lang w:val="en-US"/>
          </w:rPr>
          <w:instrText xml:space="preserve"> PAGEREF _Toc31811114 \h </w:instrText>
        </w:r>
        <w:r w:rsidR="005F312B" w:rsidRPr="00ED4D49">
          <w:rPr>
            <w:noProof/>
            <w:webHidden/>
            <w:lang w:val="en-US"/>
          </w:rPr>
        </w:r>
        <w:r w:rsidR="005F312B" w:rsidRPr="00ED4D49">
          <w:rPr>
            <w:noProof/>
            <w:webHidden/>
            <w:lang w:val="en-US"/>
          </w:rPr>
          <w:fldChar w:fldCharType="separate"/>
        </w:r>
        <w:r w:rsidR="001755CE" w:rsidRPr="00ED4D49">
          <w:rPr>
            <w:noProof/>
            <w:webHidden/>
            <w:lang w:val="en-US"/>
          </w:rPr>
          <w:t>96</w:t>
        </w:r>
        <w:r w:rsidR="005F312B" w:rsidRPr="00ED4D49">
          <w:rPr>
            <w:noProof/>
            <w:webHidden/>
            <w:lang w:val="en-US"/>
          </w:rPr>
          <w:fldChar w:fldCharType="end"/>
        </w:r>
      </w:hyperlink>
    </w:p>
    <w:p w14:paraId="7C42D9BC" w14:textId="28229E03" w:rsidR="00A76BEC" w:rsidRPr="00ED4D49" w:rsidRDefault="00857724" w:rsidP="00284391">
      <w:pPr>
        <w:pStyle w:val="TOC2"/>
        <w:rPr>
          <w:lang w:val="en-US"/>
        </w:rPr>
      </w:pPr>
      <w:r w:rsidRPr="00ED4D49">
        <w:rPr>
          <w:lang w:val="en-US"/>
        </w:rPr>
        <w:fldChar w:fldCharType="end"/>
      </w:r>
      <w:r w:rsidR="00A76BEC" w:rsidRPr="00ED4D49">
        <w:rPr>
          <w:lang w:val="en-US"/>
        </w:rPr>
        <w:br w:type="page"/>
      </w:r>
    </w:p>
    <w:p w14:paraId="04F84926" w14:textId="5E65A39E" w:rsidR="00A76BEC" w:rsidRPr="00ED4D49" w:rsidRDefault="00A76BEC" w:rsidP="00A76BEC">
      <w:pPr>
        <w:tabs>
          <w:tab w:val="left" w:pos="720"/>
          <w:tab w:val="left" w:pos="810"/>
        </w:tabs>
        <w:rPr>
          <w:rFonts w:cs="Calibri"/>
          <w:bCs/>
          <w:color w:val="1F497D"/>
          <w:sz w:val="24"/>
          <w:szCs w:val="28"/>
          <w:lang w:val="en-US"/>
        </w:rPr>
      </w:pPr>
      <w:r w:rsidRPr="00ED4D49">
        <w:rPr>
          <w:rFonts w:cs="Calibri"/>
          <w:bCs/>
          <w:color w:val="1F497D"/>
          <w:sz w:val="24"/>
          <w:szCs w:val="28"/>
          <w:lang w:val="en-US"/>
        </w:rPr>
        <w:lastRenderedPageBreak/>
        <w:t>List of Tables</w:t>
      </w:r>
    </w:p>
    <w:p w14:paraId="6DECFCE1" w14:textId="150F5E81" w:rsidR="00420C76" w:rsidRPr="00ED4D49" w:rsidRDefault="00A76BEC">
      <w:pPr>
        <w:pStyle w:val="TableofFigures"/>
        <w:tabs>
          <w:tab w:val="right" w:leader="dot" w:pos="9010"/>
        </w:tabs>
        <w:rPr>
          <w:rFonts w:asciiTheme="minorHAnsi" w:eastAsiaTheme="minorEastAsia" w:hAnsiTheme="minorHAnsi" w:cstheme="minorBidi"/>
          <w:i w:val="0"/>
          <w:iCs w:val="0"/>
          <w:noProof/>
          <w:sz w:val="24"/>
          <w:szCs w:val="24"/>
          <w:lang w:val="en-US" w:eastAsia="en-GB"/>
        </w:rPr>
      </w:pPr>
      <w:r w:rsidRPr="00ED4D49">
        <w:rPr>
          <w:rFonts w:cs="Calibri"/>
          <w:bCs/>
          <w:i w:val="0"/>
          <w:iCs w:val="0"/>
          <w:color w:val="1F497D"/>
          <w:sz w:val="24"/>
          <w:szCs w:val="28"/>
          <w:lang w:val="en-US"/>
        </w:rPr>
        <w:fldChar w:fldCharType="begin"/>
      </w:r>
      <w:r w:rsidRPr="00ED4D49">
        <w:rPr>
          <w:rFonts w:cs="Calibri"/>
          <w:bCs/>
          <w:i w:val="0"/>
          <w:iCs w:val="0"/>
          <w:color w:val="1F497D"/>
          <w:sz w:val="24"/>
          <w:szCs w:val="28"/>
          <w:lang w:val="en-US"/>
        </w:rPr>
        <w:instrText xml:space="preserve"> TOC \h \z \c "Table" </w:instrText>
      </w:r>
      <w:r w:rsidRPr="00ED4D49">
        <w:rPr>
          <w:rFonts w:cs="Calibri"/>
          <w:bCs/>
          <w:i w:val="0"/>
          <w:iCs w:val="0"/>
          <w:color w:val="1F497D"/>
          <w:sz w:val="24"/>
          <w:szCs w:val="28"/>
          <w:lang w:val="en-US"/>
        </w:rPr>
        <w:fldChar w:fldCharType="separate"/>
      </w:r>
      <w:hyperlink w:anchor="_Toc28188026" w:history="1">
        <w:r w:rsidR="00420C76" w:rsidRPr="00ED4D49">
          <w:rPr>
            <w:rStyle w:val="Hyperlink"/>
            <w:noProof/>
            <w:lang w:val="en-US"/>
          </w:rPr>
          <w:t>Table 1: Frequency of Surface Water Quality Testing at Selected Reference Stations in BiH</w:t>
        </w:r>
        <w:r w:rsidR="00420C76" w:rsidRPr="00ED4D49">
          <w:rPr>
            <w:noProof/>
            <w:webHidden/>
            <w:lang w:val="en-US"/>
          </w:rPr>
          <w:tab/>
        </w:r>
        <w:r w:rsidR="00420C76" w:rsidRPr="00ED4D49">
          <w:rPr>
            <w:noProof/>
            <w:webHidden/>
            <w:lang w:val="en-US"/>
          </w:rPr>
          <w:fldChar w:fldCharType="begin"/>
        </w:r>
        <w:r w:rsidR="00420C76" w:rsidRPr="00ED4D49">
          <w:rPr>
            <w:noProof/>
            <w:webHidden/>
            <w:lang w:val="en-US"/>
          </w:rPr>
          <w:instrText xml:space="preserve"> PAGEREF _Toc28188026 \h </w:instrText>
        </w:r>
        <w:r w:rsidR="00420C76" w:rsidRPr="00ED4D49">
          <w:rPr>
            <w:noProof/>
            <w:webHidden/>
            <w:lang w:val="en-US"/>
          </w:rPr>
        </w:r>
        <w:r w:rsidR="00420C76" w:rsidRPr="00ED4D49">
          <w:rPr>
            <w:noProof/>
            <w:webHidden/>
            <w:lang w:val="en-US"/>
          </w:rPr>
          <w:fldChar w:fldCharType="separate"/>
        </w:r>
        <w:r w:rsidR="00F60130" w:rsidRPr="00ED4D49">
          <w:rPr>
            <w:noProof/>
            <w:webHidden/>
            <w:lang w:val="en-US"/>
          </w:rPr>
          <w:t>13</w:t>
        </w:r>
        <w:r w:rsidR="00420C76" w:rsidRPr="00ED4D49">
          <w:rPr>
            <w:noProof/>
            <w:webHidden/>
            <w:lang w:val="en-US"/>
          </w:rPr>
          <w:fldChar w:fldCharType="end"/>
        </w:r>
      </w:hyperlink>
    </w:p>
    <w:p w14:paraId="37AE3BC6" w14:textId="02A63A6A" w:rsidR="00420C76" w:rsidRPr="00ED4D49" w:rsidRDefault="00000000">
      <w:pPr>
        <w:pStyle w:val="TableofFigures"/>
        <w:tabs>
          <w:tab w:val="right" w:leader="dot" w:pos="9010"/>
        </w:tabs>
        <w:rPr>
          <w:rFonts w:asciiTheme="minorHAnsi" w:eastAsiaTheme="minorEastAsia" w:hAnsiTheme="minorHAnsi" w:cstheme="minorBidi"/>
          <w:i w:val="0"/>
          <w:iCs w:val="0"/>
          <w:noProof/>
          <w:sz w:val="24"/>
          <w:szCs w:val="24"/>
          <w:lang w:val="en-US" w:eastAsia="en-GB"/>
        </w:rPr>
      </w:pPr>
      <w:hyperlink w:anchor="_Toc28188027" w:history="1">
        <w:r w:rsidR="00420C76" w:rsidRPr="00ED4D49">
          <w:rPr>
            <w:rStyle w:val="Hyperlink"/>
            <w:noProof/>
            <w:lang w:val="en-US"/>
          </w:rPr>
          <w:t>Table 2: Protected areas within DRB in BiH</w:t>
        </w:r>
        <w:r w:rsidR="00420C76" w:rsidRPr="00ED4D49">
          <w:rPr>
            <w:noProof/>
            <w:webHidden/>
            <w:lang w:val="en-US"/>
          </w:rPr>
          <w:tab/>
        </w:r>
        <w:r w:rsidR="00420C76" w:rsidRPr="00ED4D49">
          <w:rPr>
            <w:noProof/>
            <w:webHidden/>
            <w:lang w:val="en-US"/>
          </w:rPr>
          <w:fldChar w:fldCharType="begin"/>
        </w:r>
        <w:r w:rsidR="00420C76" w:rsidRPr="00ED4D49">
          <w:rPr>
            <w:noProof/>
            <w:webHidden/>
            <w:lang w:val="en-US"/>
          </w:rPr>
          <w:instrText xml:space="preserve"> PAGEREF _Toc28188027 \h </w:instrText>
        </w:r>
        <w:r w:rsidR="00420C76" w:rsidRPr="00ED4D49">
          <w:rPr>
            <w:noProof/>
            <w:webHidden/>
            <w:lang w:val="en-US"/>
          </w:rPr>
        </w:r>
        <w:r w:rsidR="00420C76" w:rsidRPr="00ED4D49">
          <w:rPr>
            <w:noProof/>
            <w:webHidden/>
            <w:lang w:val="en-US"/>
          </w:rPr>
          <w:fldChar w:fldCharType="separate"/>
        </w:r>
        <w:r w:rsidR="00F60130" w:rsidRPr="00ED4D49">
          <w:rPr>
            <w:noProof/>
            <w:webHidden/>
            <w:lang w:val="en-US"/>
          </w:rPr>
          <w:t>17</w:t>
        </w:r>
        <w:r w:rsidR="00420C76" w:rsidRPr="00ED4D49">
          <w:rPr>
            <w:noProof/>
            <w:webHidden/>
            <w:lang w:val="en-US"/>
          </w:rPr>
          <w:fldChar w:fldCharType="end"/>
        </w:r>
      </w:hyperlink>
    </w:p>
    <w:p w14:paraId="3237F478" w14:textId="789C38C9" w:rsidR="00420C76" w:rsidRPr="00ED4D49" w:rsidRDefault="00000000">
      <w:pPr>
        <w:pStyle w:val="TableofFigures"/>
        <w:tabs>
          <w:tab w:val="right" w:leader="dot" w:pos="9010"/>
        </w:tabs>
        <w:rPr>
          <w:rFonts w:asciiTheme="minorHAnsi" w:eastAsiaTheme="minorEastAsia" w:hAnsiTheme="minorHAnsi" w:cstheme="minorBidi"/>
          <w:i w:val="0"/>
          <w:iCs w:val="0"/>
          <w:noProof/>
          <w:sz w:val="24"/>
          <w:szCs w:val="24"/>
          <w:lang w:val="en-US" w:eastAsia="en-GB"/>
        </w:rPr>
      </w:pPr>
      <w:hyperlink w:anchor="_Toc28188028" w:history="1">
        <w:r w:rsidR="00420C76" w:rsidRPr="00ED4D49">
          <w:rPr>
            <w:rStyle w:val="Hyperlink"/>
            <w:noProof/>
            <w:lang w:val="en-US"/>
          </w:rPr>
          <w:t>Table 3: Potential Natura 2000 sites in the DRB in BiH</w:t>
        </w:r>
        <w:r w:rsidR="00420C76" w:rsidRPr="00ED4D49">
          <w:rPr>
            <w:noProof/>
            <w:webHidden/>
            <w:lang w:val="en-US"/>
          </w:rPr>
          <w:tab/>
        </w:r>
        <w:r w:rsidR="00420C76" w:rsidRPr="00ED4D49">
          <w:rPr>
            <w:noProof/>
            <w:webHidden/>
            <w:lang w:val="en-US"/>
          </w:rPr>
          <w:fldChar w:fldCharType="begin"/>
        </w:r>
        <w:r w:rsidR="00420C76" w:rsidRPr="00ED4D49">
          <w:rPr>
            <w:noProof/>
            <w:webHidden/>
            <w:lang w:val="en-US"/>
          </w:rPr>
          <w:instrText xml:space="preserve"> PAGEREF _Toc28188028 \h </w:instrText>
        </w:r>
        <w:r w:rsidR="00420C76" w:rsidRPr="00ED4D49">
          <w:rPr>
            <w:noProof/>
            <w:webHidden/>
            <w:lang w:val="en-US"/>
          </w:rPr>
        </w:r>
        <w:r w:rsidR="00420C76" w:rsidRPr="00ED4D49">
          <w:rPr>
            <w:noProof/>
            <w:webHidden/>
            <w:lang w:val="en-US"/>
          </w:rPr>
          <w:fldChar w:fldCharType="separate"/>
        </w:r>
        <w:r w:rsidR="00F60130" w:rsidRPr="00ED4D49">
          <w:rPr>
            <w:noProof/>
            <w:webHidden/>
            <w:lang w:val="en-US"/>
          </w:rPr>
          <w:t>18</w:t>
        </w:r>
        <w:r w:rsidR="00420C76" w:rsidRPr="00ED4D49">
          <w:rPr>
            <w:noProof/>
            <w:webHidden/>
            <w:lang w:val="en-US"/>
          </w:rPr>
          <w:fldChar w:fldCharType="end"/>
        </w:r>
      </w:hyperlink>
    </w:p>
    <w:p w14:paraId="27AA7BC2" w14:textId="067F3FC8" w:rsidR="00420C76" w:rsidRPr="00ED4D49" w:rsidRDefault="00000000">
      <w:pPr>
        <w:pStyle w:val="TableofFigures"/>
        <w:tabs>
          <w:tab w:val="right" w:leader="dot" w:pos="9010"/>
        </w:tabs>
        <w:rPr>
          <w:rFonts w:asciiTheme="minorHAnsi" w:eastAsiaTheme="minorEastAsia" w:hAnsiTheme="minorHAnsi" w:cstheme="minorBidi"/>
          <w:i w:val="0"/>
          <w:iCs w:val="0"/>
          <w:noProof/>
          <w:sz w:val="24"/>
          <w:szCs w:val="24"/>
          <w:lang w:val="en-US" w:eastAsia="en-GB"/>
        </w:rPr>
      </w:pPr>
      <w:hyperlink w:anchor="_Toc28188029" w:history="1">
        <w:r w:rsidR="00420C76" w:rsidRPr="00ED4D49">
          <w:rPr>
            <w:rStyle w:val="Hyperlink"/>
            <w:noProof/>
            <w:lang w:val="en-US"/>
          </w:rPr>
          <w:t>Table 4:</w:t>
        </w:r>
        <w:r w:rsidR="00420C76" w:rsidRPr="00ED4D49">
          <w:rPr>
            <w:rStyle w:val="Hyperlink"/>
            <w:bCs/>
            <w:noProof/>
            <w:lang w:val="en-US"/>
          </w:rPr>
          <w:t xml:space="preserve"> The status of wastewater treatment plants construction in BiH</w:t>
        </w:r>
        <w:r w:rsidR="00420C76" w:rsidRPr="00ED4D49">
          <w:rPr>
            <w:noProof/>
            <w:webHidden/>
            <w:lang w:val="en-US"/>
          </w:rPr>
          <w:tab/>
        </w:r>
        <w:r w:rsidR="00420C76" w:rsidRPr="00ED4D49">
          <w:rPr>
            <w:noProof/>
            <w:webHidden/>
            <w:lang w:val="en-US"/>
          </w:rPr>
          <w:fldChar w:fldCharType="begin"/>
        </w:r>
        <w:r w:rsidR="00420C76" w:rsidRPr="00ED4D49">
          <w:rPr>
            <w:noProof/>
            <w:webHidden/>
            <w:lang w:val="en-US"/>
          </w:rPr>
          <w:instrText xml:space="preserve"> PAGEREF _Toc28188029 \h </w:instrText>
        </w:r>
        <w:r w:rsidR="00420C76" w:rsidRPr="00ED4D49">
          <w:rPr>
            <w:noProof/>
            <w:webHidden/>
            <w:lang w:val="en-US"/>
          </w:rPr>
        </w:r>
        <w:r w:rsidR="00420C76" w:rsidRPr="00ED4D49">
          <w:rPr>
            <w:noProof/>
            <w:webHidden/>
            <w:lang w:val="en-US"/>
          </w:rPr>
          <w:fldChar w:fldCharType="separate"/>
        </w:r>
        <w:r w:rsidR="00F60130" w:rsidRPr="00ED4D49">
          <w:rPr>
            <w:noProof/>
            <w:webHidden/>
            <w:lang w:val="en-US"/>
          </w:rPr>
          <w:t>21</w:t>
        </w:r>
        <w:r w:rsidR="00420C76" w:rsidRPr="00ED4D49">
          <w:rPr>
            <w:noProof/>
            <w:webHidden/>
            <w:lang w:val="en-US"/>
          </w:rPr>
          <w:fldChar w:fldCharType="end"/>
        </w:r>
      </w:hyperlink>
    </w:p>
    <w:p w14:paraId="525A84FC" w14:textId="0DF1D7AC" w:rsidR="00420C76" w:rsidRPr="00ED4D49" w:rsidRDefault="00000000">
      <w:pPr>
        <w:pStyle w:val="TableofFigures"/>
        <w:tabs>
          <w:tab w:val="right" w:leader="dot" w:pos="9010"/>
        </w:tabs>
        <w:rPr>
          <w:rFonts w:asciiTheme="minorHAnsi" w:eastAsiaTheme="minorEastAsia" w:hAnsiTheme="minorHAnsi" w:cstheme="minorBidi"/>
          <w:i w:val="0"/>
          <w:iCs w:val="0"/>
          <w:noProof/>
          <w:sz w:val="24"/>
          <w:szCs w:val="24"/>
          <w:lang w:val="en-US" w:eastAsia="en-GB"/>
        </w:rPr>
      </w:pPr>
      <w:hyperlink w:anchor="_Toc28188030" w:history="1">
        <w:r w:rsidR="00420C76" w:rsidRPr="00ED4D49">
          <w:rPr>
            <w:rStyle w:val="Hyperlink"/>
            <w:noProof/>
            <w:lang w:val="en-US"/>
          </w:rPr>
          <w:t>Table 5: Frequency of Sava River Surface Water Quality Testing at Selected Reference Stations in BiH</w:t>
        </w:r>
        <w:r w:rsidR="00420C76" w:rsidRPr="00ED4D49">
          <w:rPr>
            <w:noProof/>
            <w:webHidden/>
            <w:lang w:val="en-US"/>
          </w:rPr>
          <w:tab/>
        </w:r>
        <w:r w:rsidR="00420C76" w:rsidRPr="00ED4D49">
          <w:rPr>
            <w:noProof/>
            <w:webHidden/>
            <w:lang w:val="en-US"/>
          </w:rPr>
          <w:fldChar w:fldCharType="begin"/>
        </w:r>
        <w:r w:rsidR="00420C76" w:rsidRPr="00ED4D49">
          <w:rPr>
            <w:noProof/>
            <w:webHidden/>
            <w:lang w:val="en-US"/>
          </w:rPr>
          <w:instrText xml:space="preserve"> PAGEREF _Toc28188030 \h </w:instrText>
        </w:r>
        <w:r w:rsidR="00420C76" w:rsidRPr="00ED4D49">
          <w:rPr>
            <w:noProof/>
            <w:webHidden/>
            <w:lang w:val="en-US"/>
          </w:rPr>
        </w:r>
        <w:r w:rsidR="00420C76" w:rsidRPr="00ED4D49">
          <w:rPr>
            <w:noProof/>
            <w:webHidden/>
            <w:lang w:val="en-US"/>
          </w:rPr>
          <w:fldChar w:fldCharType="separate"/>
        </w:r>
        <w:r w:rsidR="00F60130" w:rsidRPr="00ED4D49">
          <w:rPr>
            <w:noProof/>
            <w:webHidden/>
            <w:lang w:val="en-US"/>
          </w:rPr>
          <w:t>22</w:t>
        </w:r>
        <w:r w:rsidR="00420C76" w:rsidRPr="00ED4D49">
          <w:rPr>
            <w:noProof/>
            <w:webHidden/>
            <w:lang w:val="en-US"/>
          </w:rPr>
          <w:fldChar w:fldCharType="end"/>
        </w:r>
      </w:hyperlink>
    </w:p>
    <w:p w14:paraId="75ACAAA2" w14:textId="1B224672" w:rsidR="00420C76" w:rsidRPr="00ED4D49" w:rsidRDefault="00000000">
      <w:pPr>
        <w:pStyle w:val="TableofFigures"/>
        <w:tabs>
          <w:tab w:val="right" w:leader="dot" w:pos="9010"/>
        </w:tabs>
        <w:rPr>
          <w:rFonts w:asciiTheme="minorHAnsi" w:eastAsiaTheme="minorEastAsia" w:hAnsiTheme="minorHAnsi" w:cstheme="minorBidi"/>
          <w:i w:val="0"/>
          <w:iCs w:val="0"/>
          <w:noProof/>
          <w:sz w:val="24"/>
          <w:szCs w:val="24"/>
          <w:lang w:val="en-US" w:eastAsia="en-GB"/>
        </w:rPr>
      </w:pPr>
      <w:hyperlink w:anchor="_Toc28188031" w:history="1">
        <w:r w:rsidR="00420C76" w:rsidRPr="00ED4D49">
          <w:rPr>
            <w:rStyle w:val="Hyperlink"/>
            <w:bCs/>
            <w:noProof/>
            <w:lang w:val="en-US"/>
          </w:rPr>
          <w:t>Table 6:</w:t>
        </w:r>
        <w:r w:rsidR="00420C76" w:rsidRPr="00ED4D49">
          <w:rPr>
            <w:rStyle w:val="Hyperlink"/>
            <w:b/>
            <w:noProof/>
            <w:lang w:val="en-US"/>
          </w:rPr>
          <w:t xml:space="preserve"> </w:t>
        </w:r>
        <w:r w:rsidR="00420C76" w:rsidRPr="00ED4D49">
          <w:rPr>
            <w:rStyle w:val="Hyperlink"/>
            <w:rFonts w:cs="Calibri"/>
            <w:noProof/>
            <w:lang w:val="en-US" w:eastAsia="hr-HR"/>
          </w:rPr>
          <w:t>List of Natura 2000 habitat types occurring along the Sava River</w:t>
        </w:r>
        <w:r w:rsidR="00420C76" w:rsidRPr="00ED4D49">
          <w:rPr>
            <w:noProof/>
            <w:webHidden/>
            <w:lang w:val="en-US"/>
          </w:rPr>
          <w:tab/>
        </w:r>
        <w:r w:rsidR="00420C76" w:rsidRPr="00ED4D49">
          <w:rPr>
            <w:noProof/>
            <w:webHidden/>
            <w:lang w:val="en-US"/>
          </w:rPr>
          <w:fldChar w:fldCharType="begin"/>
        </w:r>
        <w:r w:rsidR="00420C76" w:rsidRPr="00ED4D49">
          <w:rPr>
            <w:noProof/>
            <w:webHidden/>
            <w:lang w:val="en-US"/>
          </w:rPr>
          <w:instrText xml:space="preserve"> PAGEREF _Toc28188031 \h </w:instrText>
        </w:r>
        <w:r w:rsidR="00420C76" w:rsidRPr="00ED4D49">
          <w:rPr>
            <w:noProof/>
            <w:webHidden/>
            <w:lang w:val="en-US"/>
          </w:rPr>
        </w:r>
        <w:r w:rsidR="00420C76" w:rsidRPr="00ED4D49">
          <w:rPr>
            <w:noProof/>
            <w:webHidden/>
            <w:lang w:val="en-US"/>
          </w:rPr>
          <w:fldChar w:fldCharType="separate"/>
        </w:r>
        <w:r w:rsidR="00F60130" w:rsidRPr="00ED4D49">
          <w:rPr>
            <w:noProof/>
            <w:webHidden/>
            <w:lang w:val="en-US"/>
          </w:rPr>
          <w:t>25</w:t>
        </w:r>
        <w:r w:rsidR="00420C76" w:rsidRPr="00ED4D49">
          <w:rPr>
            <w:noProof/>
            <w:webHidden/>
            <w:lang w:val="en-US"/>
          </w:rPr>
          <w:fldChar w:fldCharType="end"/>
        </w:r>
      </w:hyperlink>
    </w:p>
    <w:p w14:paraId="7C1B090D" w14:textId="644B64F3" w:rsidR="00420C76" w:rsidRPr="00ED4D49" w:rsidRDefault="00000000">
      <w:pPr>
        <w:pStyle w:val="TableofFigures"/>
        <w:tabs>
          <w:tab w:val="right" w:leader="dot" w:pos="9010"/>
        </w:tabs>
        <w:rPr>
          <w:rFonts w:asciiTheme="minorHAnsi" w:eastAsiaTheme="minorEastAsia" w:hAnsiTheme="minorHAnsi" w:cstheme="minorBidi"/>
          <w:i w:val="0"/>
          <w:iCs w:val="0"/>
          <w:noProof/>
          <w:sz w:val="24"/>
          <w:szCs w:val="24"/>
          <w:lang w:val="en-US" w:eastAsia="en-GB"/>
        </w:rPr>
      </w:pPr>
      <w:hyperlink w:anchor="_Toc28188032" w:history="1">
        <w:r w:rsidR="00420C76" w:rsidRPr="00ED4D49">
          <w:rPr>
            <w:rStyle w:val="Hyperlink"/>
            <w:rFonts w:cs="Calibri"/>
            <w:noProof/>
            <w:lang w:val="en-US"/>
          </w:rPr>
          <w:t xml:space="preserve">Table 7: List of animal species of great importance </w:t>
        </w:r>
        <w:r w:rsidR="00420C76" w:rsidRPr="00ED4D49">
          <w:rPr>
            <w:rStyle w:val="Hyperlink"/>
            <w:rFonts w:cs="Calibri"/>
            <w:noProof/>
            <w:lang w:val="en-US" w:eastAsia="hr-HR"/>
          </w:rPr>
          <w:t>for the entire European Union</w:t>
        </w:r>
        <w:r w:rsidR="00420C76" w:rsidRPr="00ED4D49">
          <w:rPr>
            <w:noProof/>
            <w:webHidden/>
            <w:lang w:val="en-US"/>
          </w:rPr>
          <w:tab/>
        </w:r>
        <w:r w:rsidR="00420C76" w:rsidRPr="00ED4D49">
          <w:rPr>
            <w:noProof/>
            <w:webHidden/>
            <w:lang w:val="en-US"/>
          </w:rPr>
          <w:fldChar w:fldCharType="begin"/>
        </w:r>
        <w:r w:rsidR="00420C76" w:rsidRPr="00ED4D49">
          <w:rPr>
            <w:noProof/>
            <w:webHidden/>
            <w:lang w:val="en-US"/>
          </w:rPr>
          <w:instrText xml:space="preserve"> PAGEREF _Toc28188032 \h </w:instrText>
        </w:r>
        <w:r w:rsidR="00420C76" w:rsidRPr="00ED4D49">
          <w:rPr>
            <w:noProof/>
            <w:webHidden/>
            <w:lang w:val="en-US"/>
          </w:rPr>
        </w:r>
        <w:r w:rsidR="00420C76" w:rsidRPr="00ED4D49">
          <w:rPr>
            <w:noProof/>
            <w:webHidden/>
            <w:lang w:val="en-US"/>
          </w:rPr>
          <w:fldChar w:fldCharType="separate"/>
        </w:r>
        <w:r w:rsidR="00F60130" w:rsidRPr="00ED4D49">
          <w:rPr>
            <w:noProof/>
            <w:webHidden/>
            <w:lang w:val="en-US"/>
          </w:rPr>
          <w:t>25</w:t>
        </w:r>
        <w:r w:rsidR="00420C76" w:rsidRPr="00ED4D49">
          <w:rPr>
            <w:noProof/>
            <w:webHidden/>
            <w:lang w:val="en-US"/>
          </w:rPr>
          <w:fldChar w:fldCharType="end"/>
        </w:r>
      </w:hyperlink>
    </w:p>
    <w:p w14:paraId="34372FD5" w14:textId="3877E4B4" w:rsidR="00420C76" w:rsidRPr="00ED4D49" w:rsidRDefault="00000000">
      <w:pPr>
        <w:pStyle w:val="TableofFigures"/>
        <w:tabs>
          <w:tab w:val="right" w:leader="dot" w:pos="9010"/>
        </w:tabs>
        <w:rPr>
          <w:rFonts w:asciiTheme="minorHAnsi" w:eastAsiaTheme="minorEastAsia" w:hAnsiTheme="minorHAnsi" w:cstheme="minorBidi"/>
          <w:i w:val="0"/>
          <w:iCs w:val="0"/>
          <w:noProof/>
          <w:sz w:val="24"/>
          <w:szCs w:val="24"/>
          <w:lang w:val="en-US" w:eastAsia="en-GB"/>
        </w:rPr>
      </w:pPr>
      <w:hyperlink w:anchor="_Toc28188033" w:history="1">
        <w:r w:rsidR="00420C76" w:rsidRPr="00ED4D49">
          <w:rPr>
            <w:rStyle w:val="Hyperlink"/>
            <w:noProof/>
            <w:lang w:val="en-US"/>
          </w:rPr>
          <w:t>Table 8: Protected areas along Sava River in BiH (RS)</w:t>
        </w:r>
        <w:r w:rsidR="00420C76" w:rsidRPr="00ED4D49">
          <w:rPr>
            <w:noProof/>
            <w:webHidden/>
            <w:lang w:val="en-US"/>
          </w:rPr>
          <w:tab/>
        </w:r>
        <w:r w:rsidR="00420C76" w:rsidRPr="00ED4D49">
          <w:rPr>
            <w:noProof/>
            <w:webHidden/>
            <w:lang w:val="en-US"/>
          </w:rPr>
          <w:fldChar w:fldCharType="begin"/>
        </w:r>
        <w:r w:rsidR="00420C76" w:rsidRPr="00ED4D49">
          <w:rPr>
            <w:noProof/>
            <w:webHidden/>
            <w:lang w:val="en-US"/>
          </w:rPr>
          <w:instrText xml:space="preserve"> PAGEREF _Toc28188033 \h </w:instrText>
        </w:r>
        <w:r w:rsidR="00420C76" w:rsidRPr="00ED4D49">
          <w:rPr>
            <w:noProof/>
            <w:webHidden/>
            <w:lang w:val="en-US"/>
          </w:rPr>
        </w:r>
        <w:r w:rsidR="00420C76" w:rsidRPr="00ED4D49">
          <w:rPr>
            <w:noProof/>
            <w:webHidden/>
            <w:lang w:val="en-US"/>
          </w:rPr>
          <w:fldChar w:fldCharType="separate"/>
        </w:r>
        <w:r w:rsidR="00F60130" w:rsidRPr="00ED4D49">
          <w:rPr>
            <w:noProof/>
            <w:webHidden/>
            <w:lang w:val="en-US"/>
          </w:rPr>
          <w:t>27</w:t>
        </w:r>
        <w:r w:rsidR="00420C76" w:rsidRPr="00ED4D49">
          <w:rPr>
            <w:noProof/>
            <w:webHidden/>
            <w:lang w:val="en-US"/>
          </w:rPr>
          <w:fldChar w:fldCharType="end"/>
        </w:r>
      </w:hyperlink>
    </w:p>
    <w:p w14:paraId="4432DED0" w14:textId="01AD877B" w:rsidR="00420C76" w:rsidRPr="00ED4D49" w:rsidRDefault="00000000">
      <w:pPr>
        <w:pStyle w:val="TableofFigures"/>
        <w:tabs>
          <w:tab w:val="right" w:leader="dot" w:pos="9010"/>
        </w:tabs>
        <w:rPr>
          <w:rFonts w:asciiTheme="minorHAnsi" w:eastAsiaTheme="minorEastAsia" w:hAnsiTheme="minorHAnsi" w:cstheme="minorBidi"/>
          <w:i w:val="0"/>
          <w:iCs w:val="0"/>
          <w:noProof/>
          <w:sz w:val="24"/>
          <w:szCs w:val="24"/>
          <w:lang w:val="en-US" w:eastAsia="en-GB"/>
        </w:rPr>
      </w:pPr>
      <w:hyperlink w:anchor="_Toc28188034" w:history="1">
        <w:r w:rsidR="00420C76" w:rsidRPr="00ED4D49">
          <w:rPr>
            <w:rStyle w:val="Hyperlink"/>
            <w:noProof/>
            <w:lang w:val="en-US"/>
          </w:rPr>
          <w:t>Table 9</w:t>
        </w:r>
        <w:r w:rsidR="00420C76" w:rsidRPr="00ED4D49">
          <w:rPr>
            <w:rStyle w:val="Hyperlink"/>
            <w:rFonts w:cs="Calibri"/>
            <w:noProof/>
            <w:lang w:val="en-US"/>
          </w:rPr>
          <w:t>: BiH population in 2013, and 2017 estimates</w:t>
        </w:r>
        <w:r w:rsidR="00420C76" w:rsidRPr="00ED4D49">
          <w:rPr>
            <w:noProof/>
            <w:webHidden/>
            <w:lang w:val="en-US"/>
          </w:rPr>
          <w:tab/>
        </w:r>
        <w:r w:rsidR="00420C76" w:rsidRPr="00ED4D49">
          <w:rPr>
            <w:noProof/>
            <w:webHidden/>
            <w:lang w:val="en-US"/>
          </w:rPr>
          <w:fldChar w:fldCharType="begin"/>
        </w:r>
        <w:r w:rsidR="00420C76" w:rsidRPr="00ED4D49">
          <w:rPr>
            <w:noProof/>
            <w:webHidden/>
            <w:lang w:val="en-US"/>
          </w:rPr>
          <w:instrText xml:space="preserve"> PAGEREF _Toc28188034 \h </w:instrText>
        </w:r>
        <w:r w:rsidR="00420C76" w:rsidRPr="00ED4D49">
          <w:rPr>
            <w:noProof/>
            <w:webHidden/>
            <w:lang w:val="en-US"/>
          </w:rPr>
        </w:r>
        <w:r w:rsidR="00420C76" w:rsidRPr="00ED4D49">
          <w:rPr>
            <w:noProof/>
            <w:webHidden/>
            <w:lang w:val="en-US"/>
          </w:rPr>
          <w:fldChar w:fldCharType="separate"/>
        </w:r>
        <w:r w:rsidR="00F60130" w:rsidRPr="00ED4D49">
          <w:rPr>
            <w:noProof/>
            <w:webHidden/>
            <w:lang w:val="en-US"/>
          </w:rPr>
          <w:t>29</w:t>
        </w:r>
        <w:r w:rsidR="00420C76" w:rsidRPr="00ED4D49">
          <w:rPr>
            <w:noProof/>
            <w:webHidden/>
            <w:lang w:val="en-US"/>
          </w:rPr>
          <w:fldChar w:fldCharType="end"/>
        </w:r>
      </w:hyperlink>
    </w:p>
    <w:p w14:paraId="6E9AA2A2" w14:textId="18DCA06D" w:rsidR="00420C76" w:rsidRPr="00ED4D49" w:rsidRDefault="00000000">
      <w:pPr>
        <w:pStyle w:val="TableofFigures"/>
        <w:tabs>
          <w:tab w:val="right" w:leader="dot" w:pos="9010"/>
        </w:tabs>
        <w:rPr>
          <w:rFonts w:asciiTheme="minorHAnsi" w:eastAsiaTheme="minorEastAsia" w:hAnsiTheme="minorHAnsi" w:cstheme="minorBidi"/>
          <w:i w:val="0"/>
          <w:iCs w:val="0"/>
          <w:noProof/>
          <w:sz w:val="24"/>
          <w:szCs w:val="24"/>
          <w:lang w:val="en-US" w:eastAsia="en-GB"/>
        </w:rPr>
      </w:pPr>
      <w:hyperlink w:anchor="_Toc28188035" w:history="1">
        <w:r w:rsidR="00420C76" w:rsidRPr="00ED4D49">
          <w:rPr>
            <w:rStyle w:val="Hyperlink"/>
            <w:rFonts w:cs="Calibri"/>
            <w:noProof/>
            <w:lang w:val="en-US"/>
          </w:rPr>
          <w:t>Table 10:Key Economic Indicators in BiH in 2015, 2016, 2017 and 2018</w:t>
        </w:r>
        <w:r w:rsidR="00420C76" w:rsidRPr="00ED4D49">
          <w:rPr>
            <w:noProof/>
            <w:webHidden/>
            <w:lang w:val="en-US"/>
          </w:rPr>
          <w:tab/>
        </w:r>
        <w:r w:rsidR="00420C76" w:rsidRPr="00ED4D49">
          <w:rPr>
            <w:noProof/>
            <w:webHidden/>
            <w:lang w:val="en-US"/>
          </w:rPr>
          <w:fldChar w:fldCharType="begin"/>
        </w:r>
        <w:r w:rsidR="00420C76" w:rsidRPr="00ED4D49">
          <w:rPr>
            <w:noProof/>
            <w:webHidden/>
            <w:lang w:val="en-US"/>
          </w:rPr>
          <w:instrText xml:space="preserve"> PAGEREF _Toc28188035 \h </w:instrText>
        </w:r>
        <w:r w:rsidR="00420C76" w:rsidRPr="00ED4D49">
          <w:rPr>
            <w:noProof/>
            <w:webHidden/>
            <w:lang w:val="en-US"/>
          </w:rPr>
        </w:r>
        <w:r w:rsidR="00420C76" w:rsidRPr="00ED4D49">
          <w:rPr>
            <w:noProof/>
            <w:webHidden/>
            <w:lang w:val="en-US"/>
          </w:rPr>
          <w:fldChar w:fldCharType="separate"/>
        </w:r>
        <w:r w:rsidR="00F60130" w:rsidRPr="00ED4D49">
          <w:rPr>
            <w:noProof/>
            <w:webHidden/>
            <w:lang w:val="en-US"/>
          </w:rPr>
          <w:t>30</w:t>
        </w:r>
        <w:r w:rsidR="00420C76" w:rsidRPr="00ED4D49">
          <w:rPr>
            <w:noProof/>
            <w:webHidden/>
            <w:lang w:val="en-US"/>
          </w:rPr>
          <w:fldChar w:fldCharType="end"/>
        </w:r>
      </w:hyperlink>
    </w:p>
    <w:p w14:paraId="3D5E0F39" w14:textId="412585C9" w:rsidR="00420C76" w:rsidRPr="00ED4D49" w:rsidRDefault="00000000">
      <w:pPr>
        <w:pStyle w:val="TableofFigures"/>
        <w:tabs>
          <w:tab w:val="right" w:leader="dot" w:pos="9010"/>
        </w:tabs>
        <w:rPr>
          <w:rFonts w:asciiTheme="minorHAnsi" w:eastAsiaTheme="minorEastAsia" w:hAnsiTheme="minorHAnsi" w:cstheme="minorBidi"/>
          <w:i w:val="0"/>
          <w:iCs w:val="0"/>
          <w:noProof/>
          <w:sz w:val="24"/>
          <w:szCs w:val="24"/>
          <w:lang w:val="en-US" w:eastAsia="en-GB"/>
        </w:rPr>
      </w:pPr>
      <w:hyperlink w:anchor="_Toc28188036" w:history="1">
        <w:r w:rsidR="00420C76" w:rsidRPr="00ED4D49">
          <w:rPr>
            <w:rStyle w:val="Hyperlink"/>
            <w:noProof/>
            <w:lang w:val="en-US"/>
          </w:rPr>
          <w:t xml:space="preserve">Table 11: </w:t>
        </w:r>
        <w:r w:rsidR="00420C76" w:rsidRPr="00ED4D49">
          <w:rPr>
            <w:rStyle w:val="Hyperlink"/>
            <w:rFonts w:cs="Calibri"/>
            <w:noProof/>
            <w:lang w:val="en-US"/>
          </w:rPr>
          <w:t>Number of employed persons, by gender, and employment rate by age groups in BIH in 2016 and 2017</w:t>
        </w:r>
        <w:r w:rsidR="00420C76" w:rsidRPr="00ED4D49">
          <w:rPr>
            <w:noProof/>
            <w:webHidden/>
            <w:lang w:val="en-US"/>
          </w:rPr>
          <w:tab/>
        </w:r>
        <w:r w:rsidR="00420C76" w:rsidRPr="00ED4D49">
          <w:rPr>
            <w:noProof/>
            <w:webHidden/>
            <w:lang w:val="en-US"/>
          </w:rPr>
          <w:fldChar w:fldCharType="begin"/>
        </w:r>
        <w:r w:rsidR="00420C76" w:rsidRPr="00ED4D49">
          <w:rPr>
            <w:noProof/>
            <w:webHidden/>
            <w:lang w:val="en-US"/>
          </w:rPr>
          <w:instrText xml:space="preserve"> PAGEREF _Toc28188036 \h </w:instrText>
        </w:r>
        <w:r w:rsidR="00420C76" w:rsidRPr="00ED4D49">
          <w:rPr>
            <w:noProof/>
            <w:webHidden/>
            <w:lang w:val="en-US"/>
          </w:rPr>
        </w:r>
        <w:r w:rsidR="00420C76" w:rsidRPr="00ED4D49">
          <w:rPr>
            <w:noProof/>
            <w:webHidden/>
            <w:lang w:val="en-US"/>
          </w:rPr>
          <w:fldChar w:fldCharType="separate"/>
        </w:r>
        <w:r w:rsidR="00F60130" w:rsidRPr="00ED4D49">
          <w:rPr>
            <w:noProof/>
            <w:webHidden/>
            <w:lang w:val="en-US"/>
          </w:rPr>
          <w:t>33</w:t>
        </w:r>
        <w:r w:rsidR="00420C76" w:rsidRPr="00ED4D49">
          <w:rPr>
            <w:noProof/>
            <w:webHidden/>
            <w:lang w:val="en-US"/>
          </w:rPr>
          <w:fldChar w:fldCharType="end"/>
        </w:r>
      </w:hyperlink>
    </w:p>
    <w:p w14:paraId="5C7AC69C" w14:textId="5876C379" w:rsidR="00420C76" w:rsidRPr="00ED4D49" w:rsidRDefault="00000000">
      <w:pPr>
        <w:pStyle w:val="TableofFigures"/>
        <w:tabs>
          <w:tab w:val="right" w:leader="dot" w:pos="9010"/>
        </w:tabs>
        <w:rPr>
          <w:rFonts w:asciiTheme="minorHAnsi" w:eastAsiaTheme="minorEastAsia" w:hAnsiTheme="minorHAnsi" w:cstheme="minorBidi"/>
          <w:i w:val="0"/>
          <w:iCs w:val="0"/>
          <w:noProof/>
          <w:sz w:val="24"/>
          <w:szCs w:val="24"/>
          <w:lang w:val="en-US" w:eastAsia="en-GB"/>
        </w:rPr>
      </w:pPr>
      <w:hyperlink w:anchor="_Toc28188037" w:history="1">
        <w:r w:rsidR="00420C76" w:rsidRPr="00ED4D49">
          <w:rPr>
            <w:rStyle w:val="Hyperlink"/>
            <w:noProof/>
            <w:lang w:val="en-US"/>
          </w:rPr>
          <w:t xml:space="preserve">Table 12: </w:t>
        </w:r>
        <w:r w:rsidR="00420C76" w:rsidRPr="00ED4D49">
          <w:rPr>
            <w:rStyle w:val="Hyperlink"/>
            <w:rFonts w:cs="Calibri"/>
            <w:noProof/>
            <w:lang w:val="en-US"/>
          </w:rPr>
          <w:t>Employment by Sectors in BiH in 2017</w:t>
        </w:r>
        <w:r w:rsidR="00420C76" w:rsidRPr="00ED4D49">
          <w:rPr>
            <w:noProof/>
            <w:webHidden/>
            <w:lang w:val="en-US"/>
          </w:rPr>
          <w:tab/>
        </w:r>
        <w:r w:rsidR="00420C76" w:rsidRPr="00ED4D49">
          <w:rPr>
            <w:noProof/>
            <w:webHidden/>
            <w:lang w:val="en-US"/>
          </w:rPr>
          <w:fldChar w:fldCharType="begin"/>
        </w:r>
        <w:r w:rsidR="00420C76" w:rsidRPr="00ED4D49">
          <w:rPr>
            <w:noProof/>
            <w:webHidden/>
            <w:lang w:val="en-US"/>
          </w:rPr>
          <w:instrText xml:space="preserve"> PAGEREF _Toc28188037 \h </w:instrText>
        </w:r>
        <w:r w:rsidR="00420C76" w:rsidRPr="00ED4D49">
          <w:rPr>
            <w:noProof/>
            <w:webHidden/>
            <w:lang w:val="en-US"/>
          </w:rPr>
        </w:r>
        <w:r w:rsidR="00420C76" w:rsidRPr="00ED4D49">
          <w:rPr>
            <w:noProof/>
            <w:webHidden/>
            <w:lang w:val="en-US"/>
          </w:rPr>
          <w:fldChar w:fldCharType="separate"/>
        </w:r>
        <w:r w:rsidR="00F60130" w:rsidRPr="00ED4D49">
          <w:rPr>
            <w:noProof/>
            <w:webHidden/>
            <w:lang w:val="en-US"/>
          </w:rPr>
          <w:t>33</w:t>
        </w:r>
        <w:r w:rsidR="00420C76" w:rsidRPr="00ED4D49">
          <w:rPr>
            <w:noProof/>
            <w:webHidden/>
            <w:lang w:val="en-US"/>
          </w:rPr>
          <w:fldChar w:fldCharType="end"/>
        </w:r>
      </w:hyperlink>
    </w:p>
    <w:p w14:paraId="6D2244C2" w14:textId="4AF95044" w:rsidR="00420C76" w:rsidRPr="00ED4D49" w:rsidRDefault="00000000">
      <w:pPr>
        <w:pStyle w:val="TableofFigures"/>
        <w:tabs>
          <w:tab w:val="right" w:leader="dot" w:pos="9010"/>
        </w:tabs>
        <w:rPr>
          <w:rFonts w:asciiTheme="minorHAnsi" w:eastAsiaTheme="minorEastAsia" w:hAnsiTheme="minorHAnsi" w:cstheme="minorBidi"/>
          <w:i w:val="0"/>
          <w:iCs w:val="0"/>
          <w:noProof/>
          <w:sz w:val="24"/>
          <w:szCs w:val="24"/>
          <w:lang w:val="en-US" w:eastAsia="en-GB"/>
        </w:rPr>
      </w:pPr>
      <w:hyperlink w:anchor="_Toc28188038" w:history="1">
        <w:r w:rsidR="00420C76" w:rsidRPr="00ED4D49">
          <w:rPr>
            <w:rStyle w:val="Hyperlink"/>
            <w:noProof/>
            <w:lang w:val="en-US"/>
          </w:rPr>
          <w:t xml:space="preserve">Table 13: </w:t>
        </w:r>
        <w:r w:rsidR="00420C76" w:rsidRPr="00ED4D49">
          <w:rPr>
            <w:rStyle w:val="Hyperlink"/>
            <w:rFonts w:cs="Calibri"/>
            <w:noProof/>
            <w:lang w:val="en-US"/>
          </w:rPr>
          <w:t>Unemployment Rate in BiH in 2016 and 2017</w:t>
        </w:r>
        <w:r w:rsidR="00420C76" w:rsidRPr="00ED4D49">
          <w:rPr>
            <w:noProof/>
            <w:webHidden/>
            <w:lang w:val="en-US"/>
          </w:rPr>
          <w:tab/>
        </w:r>
        <w:r w:rsidR="00420C76" w:rsidRPr="00ED4D49">
          <w:rPr>
            <w:noProof/>
            <w:webHidden/>
            <w:lang w:val="en-US"/>
          </w:rPr>
          <w:fldChar w:fldCharType="begin"/>
        </w:r>
        <w:r w:rsidR="00420C76" w:rsidRPr="00ED4D49">
          <w:rPr>
            <w:noProof/>
            <w:webHidden/>
            <w:lang w:val="en-US"/>
          </w:rPr>
          <w:instrText xml:space="preserve"> PAGEREF _Toc28188038 \h </w:instrText>
        </w:r>
        <w:r w:rsidR="00420C76" w:rsidRPr="00ED4D49">
          <w:rPr>
            <w:noProof/>
            <w:webHidden/>
            <w:lang w:val="en-US"/>
          </w:rPr>
        </w:r>
        <w:r w:rsidR="00420C76" w:rsidRPr="00ED4D49">
          <w:rPr>
            <w:noProof/>
            <w:webHidden/>
            <w:lang w:val="en-US"/>
          </w:rPr>
          <w:fldChar w:fldCharType="separate"/>
        </w:r>
        <w:r w:rsidR="00F60130" w:rsidRPr="00ED4D49">
          <w:rPr>
            <w:noProof/>
            <w:webHidden/>
            <w:lang w:val="en-US"/>
          </w:rPr>
          <w:t>33</w:t>
        </w:r>
        <w:r w:rsidR="00420C76" w:rsidRPr="00ED4D49">
          <w:rPr>
            <w:noProof/>
            <w:webHidden/>
            <w:lang w:val="en-US"/>
          </w:rPr>
          <w:fldChar w:fldCharType="end"/>
        </w:r>
      </w:hyperlink>
    </w:p>
    <w:p w14:paraId="56B4AA81" w14:textId="246A2011" w:rsidR="00420C76" w:rsidRPr="00ED4D49" w:rsidRDefault="00000000">
      <w:pPr>
        <w:pStyle w:val="TableofFigures"/>
        <w:tabs>
          <w:tab w:val="right" w:leader="dot" w:pos="9010"/>
        </w:tabs>
        <w:rPr>
          <w:rFonts w:asciiTheme="minorHAnsi" w:eastAsiaTheme="minorEastAsia" w:hAnsiTheme="minorHAnsi" w:cstheme="minorBidi"/>
          <w:i w:val="0"/>
          <w:iCs w:val="0"/>
          <w:noProof/>
          <w:sz w:val="24"/>
          <w:szCs w:val="24"/>
          <w:lang w:val="en-US" w:eastAsia="en-GB"/>
        </w:rPr>
      </w:pPr>
      <w:hyperlink w:anchor="_Toc28188039" w:history="1">
        <w:r w:rsidR="00420C76" w:rsidRPr="00ED4D49">
          <w:rPr>
            <w:rStyle w:val="Hyperlink"/>
            <w:noProof/>
            <w:lang w:val="en-US"/>
          </w:rPr>
          <w:t xml:space="preserve">Table 14: </w:t>
        </w:r>
        <w:r w:rsidR="00420C76" w:rsidRPr="00ED4D49">
          <w:rPr>
            <w:rStyle w:val="Hyperlink"/>
            <w:rFonts w:cs="Calibri"/>
            <w:noProof/>
            <w:lang w:val="en-US"/>
          </w:rPr>
          <w:t>Share of Inactive Population in B</w:t>
        </w:r>
        <w:r w:rsidR="00A05261" w:rsidRPr="00ED4D49">
          <w:rPr>
            <w:rStyle w:val="Hyperlink"/>
            <w:rFonts w:cs="Calibri"/>
            <w:noProof/>
            <w:lang w:val="en-US"/>
          </w:rPr>
          <w:t>i</w:t>
        </w:r>
        <w:r w:rsidR="00420C76" w:rsidRPr="00ED4D49">
          <w:rPr>
            <w:rStyle w:val="Hyperlink"/>
            <w:rFonts w:cs="Calibri"/>
            <w:noProof/>
            <w:lang w:val="en-US"/>
          </w:rPr>
          <w:t>H in 2016 and 2017</w:t>
        </w:r>
        <w:r w:rsidR="00420C76" w:rsidRPr="00ED4D49">
          <w:rPr>
            <w:noProof/>
            <w:webHidden/>
            <w:lang w:val="en-US"/>
          </w:rPr>
          <w:tab/>
        </w:r>
        <w:r w:rsidR="00420C76" w:rsidRPr="00ED4D49">
          <w:rPr>
            <w:noProof/>
            <w:webHidden/>
            <w:lang w:val="en-US"/>
          </w:rPr>
          <w:fldChar w:fldCharType="begin"/>
        </w:r>
        <w:r w:rsidR="00420C76" w:rsidRPr="00ED4D49">
          <w:rPr>
            <w:noProof/>
            <w:webHidden/>
            <w:lang w:val="en-US"/>
          </w:rPr>
          <w:instrText xml:space="preserve"> PAGEREF _Toc28188039 \h </w:instrText>
        </w:r>
        <w:r w:rsidR="00420C76" w:rsidRPr="00ED4D49">
          <w:rPr>
            <w:noProof/>
            <w:webHidden/>
            <w:lang w:val="en-US"/>
          </w:rPr>
        </w:r>
        <w:r w:rsidR="00420C76" w:rsidRPr="00ED4D49">
          <w:rPr>
            <w:noProof/>
            <w:webHidden/>
            <w:lang w:val="en-US"/>
          </w:rPr>
          <w:fldChar w:fldCharType="separate"/>
        </w:r>
        <w:r w:rsidR="00F60130" w:rsidRPr="00ED4D49">
          <w:rPr>
            <w:noProof/>
            <w:webHidden/>
            <w:lang w:val="en-US"/>
          </w:rPr>
          <w:t>33</w:t>
        </w:r>
        <w:r w:rsidR="00420C76" w:rsidRPr="00ED4D49">
          <w:rPr>
            <w:noProof/>
            <w:webHidden/>
            <w:lang w:val="en-US"/>
          </w:rPr>
          <w:fldChar w:fldCharType="end"/>
        </w:r>
      </w:hyperlink>
    </w:p>
    <w:p w14:paraId="6BFE0395" w14:textId="1C2C1E30" w:rsidR="00420C76" w:rsidRPr="00ED4D49" w:rsidRDefault="00000000">
      <w:pPr>
        <w:pStyle w:val="TableofFigures"/>
        <w:tabs>
          <w:tab w:val="right" w:leader="dot" w:pos="9010"/>
        </w:tabs>
        <w:rPr>
          <w:rFonts w:asciiTheme="minorHAnsi" w:eastAsiaTheme="minorEastAsia" w:hAnsiTheme="minorHAnsi" w:cstheme="minorBidi"/>
          <w:i w:val="0"/>
          <w:iCs w:val="0"/>
          <w:noProof/>
          <w:sz w:val="24"/>
          <w:szCs w:val="24"/>
          <w:lang w:val="en-US" w:eastAsia="en-GB"/>
        </w:rPr>
      </w:pPr>
      <w:hyperlink w:anchor="_Toc28188040" w:history="1">
        <w:r w:rsidR="00420C76" w:rsidRPr="00ED4D49">
          <w:rPr>
            <w:rStyle w:val="Hyperlink"/>
            <w:noProof/>
            <w:lang w:val="en-US"/>
          </w:rPr>
          <w:t>Table 15: Poverty and Inequity Indicators in BiH, 2011 and 2015</w:t>
        </w:r>
        <w:r w:rsidR="00420C76" w:rsidRPr="00ED4D49">
          <w:rPr>
            <w:noProof/>
            <w:webHidden/>
            <w:lang w:val="en-US"/>
          </w:rPr>
          <w:tab/>
        </w:r>
        <w:r w:rsidR="00420C76" w:rsidRPr="00ED4D49">
          <w:rPr>
            <w:noProof/>
            <w:webHidden/>
            <w:lang w:val="en-US"/>
          </w:rPr>
          <w:fldChar w:fldCharType="begin"/>
        </w:r>
        <w:r w:rsidR="00420C76" w:rsidRPr="00ED4D49">
          <w:rPr>
            <w:noProof/>
            <w:webHidden/>
            <w:lang w:val="en-US"/>
          </w:rPr>
          <w:instrText xml:space="preserve"> PAGEREF _Toc28188040 \h </w:instrText>
        </w:r>
        <w:r w:rsidR="00420C76" w:rsidRPr="00ED4D49">
          <w:rPr>
            <w:noProof/>
            <w:webHidden/>
            <w:lang w:val="en-US"/>
          </w:rPr>
        </w:r>
        <w:r w:rsidR="00420C76" w:rsidRPr="00ED4D49">
          <w:rPr>
            <w:noProof/>
            <w:webHidden/>
            <w:lang w:val="en-US"/>
          </w:rPr>
          <w:fldChar w:fldCharType="separate"/>
        </w:r>
        <w:r w:rsidR="00F60130" w:rsidRPr="00ED4D49">
          <w:rPr>
            <w:noProof/>
            <w:webHidden/>
            <w:lang w:val="en-US"/>
          </w:rPr>
          <w:t>34</w:t>
        </w:r>
        <w:r w:rsidR="00420C76" w:rsidRPr="00ED4D49">
          <w:rPr>
            <w:noProof/>
            <w:webHidden/>
            <w:lang w:val="en-US"/>
          </w:rPr>
          <w:fldChar w:fldCharType="end"/>
        </w:r>
      </w:hyperlink>
    </w:p>
    <w:p w14:paraId="0ADC5A7A" w14:textId="3B3BE082" w:rsidR="00420C76" w:rsidRPr="00ED4D49" w:rsidRDefault="00000000">
      <w:pPr>
        <w:pStyle w:val="TableofFigures"/>
        <w:tabs>
          <w:tab w:val="right" w:leader="dot" w:pos="9010"/>
        </w:tabs>
        <w:rPr>
          <w:rFonts w:asciiTheme="minorHAnsi" w:eastAsiaTheme="minorEastAsia" w:hAnsiTheme="minorHAnsi" w:cstheme="minorBidi"/>
          <w:i w:val="0"/>
          <w:iCs w:val="0"/>
          <w:noProof/>
          <w:sz w:val="24"/>
          <w:szCs w:val="24"/>
          <w:lang w:val="en-US" w:eastAsia="en-GB"/>
        </w:rPr>
      </w:pPr>
      <w:hyperlink w:anchor="_Toc28188041" w:history="1">
        <w:r w:rsidR="00420C76" w:rsidRPr="00ED4D49">
          <w:rPr>
            <w:rStyle w:val="Hyperlink"/>
            <w:rFonts w:cs="Calibri"/>
            <w:noProof/>
            <w:lang w:val="en-US"/>
          </w:rPr>
          <w:t>Table16: Waste Generated by the Activities Potentially Included by the Project – FBiH</w:t>
        </w:r>
        <w:r w:rsidR="00420C76" w:rsidRPr="00ED4D49">
          <w:rPr>
            <w:noProof/>
            <w:webHidden/>
            <w:lang w:val="en-US"/>
          </w:rPr>
          <w:tab/>
        </w:r>
        <w:r w:rsidR="00420C76" w:rsidRPr="00ED4D49">
          <w:rPr>
            <w:noProof/>
            <w:webHidden/>
            <w:lang w:val="en-US"/>
          </w:rPr>
          <w:fldChar w:fldCharType="begin"/>
        </w:r>
        <w:r w:rsidR="00420C76" w:rsidRPr="00ED4D49">
          <w:rPr>
            <w:noProof/>
            <w:webHidden/>
            <w:lang w:val="en-US"/>
          </w:rPr>
          <w:instrText xml:space="preserve"> PAGEREF _Toc28188041 \h </w:instrText>
        </w:r>
        <w:r w:rsidR="00420C76" w:rsidRPr="00ED4D49">
          <w:rPr>
            <w:noProof/>
            <w:webHidden/>
            <w:lang w:val="en-US"/>
          </w:rPr>
        </w:r>
        <w:r w:rsidR="00420C76" w:rsidRPr="00ED4D49">
          <w:rPr>
            <w:noProof/>
            <w:webHidden/>
            <w:lang w:val="en-US"/>
          </w:rPr>
          <w:fldChar w:fldCharType="separate"/>
        </w:r>
        <w:r w:rsidR="00F60130" w:rsidRPr="00ED4D49">
          <w:rPr>
            <w:noProof/>
            <w:webHidden/>
            <w:lang w:val="en-US"/>
          </w:rPr>
          <w:t>45</w:t>
        </w:r>
        <w:r w:rsidR="00420C76" w:rsidRPr="00ED4D49">
          <w:rPr>
            <w:noProof/>
            <w:webHidden/>
            <w:lang w:val="en-US"/>
          </w:rPr>
          <w:fldChar w:fldCharType="end"/>
        </w:r>
      </w:hyperlink>
    </w:p>
    <w:p w14:paraId="4287AACD" w14:textId="78F51A66" w:rsidR="00420C76" w:rsidRPr="00ED4D49" w:rsidRDefault="00000000">
      <w:pPr>
        <w:pStyle w:val="TableofFigures"/>
        <w:tabs>
          <w:tab w:val="right" w:leader="dot" w:pos="9010"/>
        </w:tabs>
        <w:rPr>
          <w:rFonts w:asciiTheme="minorHAnsi" w:eastAsiaTheme="minorEastAsia" w:hAnsiTheme="minorHAnsi" w:cstheme="minorBidi"/>
          <w:i w:val="0"/>
          <w:iCs w:val="0"/>
          <w:noProof/>
          <w:sz w:val="24"/>
          <w:szCs w:val="24"/>
          <w:lang w:val="en-US" w:eastAsia="en-GB"/>
        </w:rPr>
      </w:pPr>
      <w:hyperlink w:anchor="_Toc28188042" w:history="1">
        <w:r w:rsidR="00420C76" w:rsidRPr="00ED4D49">
          <w:rPr>
            <w:rStyle w:val="Hyperlink"/>
            <w:noProof/>
            <w:lang w:val="en-US"/>
          </w:rPr>
          <w:t>Table 17</w:t>
        </w:r>
        <w:r w:rsidR="00420C76" w:rsidRPr="00ED4D49">
          <w:rPr>
            <w:rStyle w:val="Hyperlink"/>
            <w:rFonts w:cs="Calibri"/>
            <w:noProof/>
            <w:lang w:val="en-US"/>
          </w:rPr>
          <w:t>: Waste from the Activities Potentially Covered by the Project – RS</w:t>
        </w:r>
        <w:r w:rsidR="00420C76" w:rsidRPr="00ED4D49">
          <w:rPr>
            <w:noProof/>
            <w:webHidden/>
            <w:lang w:val="en-US"/>
          </w:rPr>
          <w:tab/>
        </w:r>
        <w:r w:rsidR="00420C76" w:rsidRPr="00ED4D49">
          <w:rPr>
            <w:noProof/>
            <w:webHidden/>
            <w:lang w:val="en-US"/>
          </w:rPr>
          <w:fldChar w:fldCharType="begin"/>
        </w:r>
        <w:r w:rsidR="00420C76" w:rsidRPr="00ED4D49">
          <w:rPr>
            <w:noProof/>
            <w:webHidden/>
            <w:lang w:val="en-US"/>
          </w:rPr>
          <w:instrText xml:space="preserve"> PAGEREF _Toc28188042 \h </w:instrText>
        </w:r>
        <w:r w:rsidR="00420C76" w:rsidRPr="00ED4D49">
          <w:rPr>
            <w:noProof/>
            <w:webHidden/>
            <w:lang w:val="en-US"/>
          </w:rPr>
        </w:r>
        <w:r w:rsidR="00420C76" w:rsidRPr="00ED4D49">
          <w:rPr>
            <w:noProof/>
            <w:webHidden/>
            <w:lang w:val="en-US"/>
          </w:rPr>
          <w:fldChar w:fldCharType="separate"/>
        </w:r>
        <w:r w:rsidR="00F60130" w:rsidRPr="00ED4D49">
          <w:rPr>
            <w:noProof/>
            <w:webHidden/>
            <w:lang w:val="en-US"/>
          </w:rPr>
          <w:t>46</w:t>
        </w:r>
        <w:r w:rsidR="00420C76" w:rsidRPr="00ED4D49">
          <w:rPr>
            <w:noProof/>
            <w:webHidden/>
            <w:lang w:val="en-US"/>
          </w:rPr>
          <w:fldChar w:fldCharType="end"/>
        </w:r>
      </w:hyperlink>
    </w:p>
    <w:p w14:paraId="69B041F4" w14:textId="5A5DCBF1" w:rsidR="00420C76" w:rsidRPr="00ED4D49" w:rsidRDefault="00000000">
      <w:pPr>
        <w:pStyle w:val="TableofFigures"/>
        <w:tabs>
          <w:tab w:val="right" w:leader="dot" w:pos="9010"/>
        </w:tabs>
        <w:rPr>
          <w:rFonts w:asciiTheme="minorHAnsi" w:eastAsiaTheme="minorEastAsia" w:hAnsiTheme="minorHAnsi" w:cstheme="minorBidi"/>
          <w:i w:val="0"/>
          <w:iCs w:val="0"/>
          <w:noProof/>
          <w:sz w:val="24"/>
          <w:szCs w:val="24"/>
          <w:lang w:val="en-US" w:eastAsia="en-GB"/>
        </w:rPr>
      </w:pPr>
      <w:hyperlink w:anchor="_Toc28188043" w:history="1">
        <w:r w:rsidR="00420C76" w:rsidRPr="00ED4D49">
          <w:rPr>
            <w:rStyle w:val="Hyperlink"/>
            <w:noProof/>
            <w:lang w:val="en-US"/>
          </w:rPr>
          <w:t>Table 18</w:t>
        </w:r>
        <w:r w:rsidR="00420C76" w:rsidRPr="00ED4D49">
          <w:rPr>
            <w:rStyle w:val="Hyperlink"/>
            <w:rFonts w:cs="Calibri"/>
            <w:noProof/>
            <w:lang w:val="en-US"/>
          </w:rPr>
          <w:t>: Waste from the Activities Potentially Covered by the Project – BD BiH</w:t>
        </w:r>
        <w:r w:rsidR="00420C76" w:rsidRPr="00ED4D49">
          <w:rPr>
            <w:noProof/>
            <w:webHidden/>
            <w:lang w:val="en-US"/>
          </w:rPr>
          <w:tab/>
        </w:r>
        <w:r w:rsidR="00420C76" w:rsidRPr="00ED4D49">
          <w:rPr>
            <w:noProof/>
            <w:webHidden/>
            <w:lang w:val="en-US"/>
          </w:rPr>
          <w:fldChar w:fldCharType="begin"/>
        </w:r>
        <w:r w:rsidR="00420C76" w:rsidRPr="00ED4D49">
          <w:rPr>
            <w:noProof/>
            <w:webHidden/>
            <w:lang w:val="en-US"/>
          </w:rPr>
          <w:instrText xml:space="preserve"> PAGEREF _Toc28188043 \h </w:instrText>
        </w:r>
        <w:r w:rsidR="00420C76" w:rsidRPr="00ED4D49">
          <w:rPr>
            <w:noProof/>
            <w:webHidden/>
            <w:lang w:val="en-US"/>
          </w:rPr>
        </w:r>
        <w:r w:rsidR="00420C76" w:rsidRPr="00ED4D49">
          <w:rPr>
            <w:noProof/>
            <w:webHidden/>
            <w:lang w:val="en-US"/>
          </w:rPr>
          <w:fldChar w:fldCharType="separate"/>
        </w:r>
        <w:r w:rsidR="00F60130" w:rsidRPr="00ED4D49">
          <w:rPr>
            <w:noProof/>
            <w:webHidden/>
            <w:lang w:val="en-US"/>
          </w:rPr>
          <w:t>46</w:t>
        </w:r>
        <w:r w:rsidR="00420C76" w:rsidRPr="00ED4D49">
          <w:rPr>
            <w:noProof/>
            <w:webHidden/>
            <w:lang w:val="en-US"/>
          </w:rPr>
          <w:fldChar w:fldCharType="end"/>
        </w:r>
      </w:hyperlink>
    </w:p>
    <w:p w14:paraId="29DF126C" w14:textId="06FA09A9" w:rsidR="00420C76" w:rsidRPr="00ED4D49" w:rsidRDefault="00000000">
      <w:pPr>
        <w:pStyle w:val="TableofFigures"/>
        <w:tabs>
          <w:tab w:val="right" w:leader="dot" w:pos="9010"/>
        </w:tabs>
        <w:rPr>
          <w:rFonts w:asciiTheme="minorHAnsi" w:eastAsiaTheme="minorEastAsia" w:hAnsiTheme="minorHAnsi" w:cstheme="minorBidi"/>
          <w:i w:val="0"/>
          <w:iCs w:val="0"/>
          <w:noProof/>
          <w:sz w:val="24"/>
          <w:szCs w:val="24"/>
          <w:lang w:val="en-US" w:eastAsia="en-GB"/>
        </w:rPr>
      </w:pPr>
      <w:hyperlink w:anchor="_Toc28188044" w:history="1">
        <w:r w:rsidR="00420C76" w:rsidRPr="00ED4D49">
          <w:rPr>
            <w:rStyle w:val="Hyperlink"/>
            <w:rFonts w:cs="Calibri"/>
            <w:noProof/>
            <w:lang w:val="en-US"/>
          </w:rPr>
          <w:t>Table 19: FBiH level institutions responsible for water management and environmental issues relevant for this Project</w:t>
        </w:r>
        <w:r w:rsidR="00420C76" w:rsidRPr="00ED4D49">
          <w:rPr>
            <w:noProof/>
            <w:webHidden/>
            <w:lang w:val="en-US"/>
          </w:rPr>
          <w:tab/>
        </w:r>
        <w:r w:rsidR="00420C76" w:rsidRPr="00ED4D49">
          <w:rPr>
            <w:noProof/>
            <w:webHidden/>
            <w:lang w:val="en-US"/>
          </w:rPr>
          <w:fldChar w:fldCharType="begin"/>
        </w:r>
        <w:r w:rsidR="00420C76" w:rsidRPr="00ED4D49">
          <w:rPr>
            <w:noProof/>
            <w:webHidden/>
            <w:lang w:val="en-US"/>
          </w:rPr>
          <w:instrText xml:space="preserve"> PAGEREF _Toc28188044 \h </w:instrText>
        </w:r>
        <w:r w:rsidR="00420C76" w:rsidRPr="00ED4D49">
          <w:rPr>
            <w:noProof/>
            <w:webHidden/>
            <w:lang w:val="en-US"/>
          </w:rPr>
        </w:r>
        <w:r w:rsidR="00420C76" w:rsidRPr="00ED4D49">
          <w:rPr>
            <w:noProof/>
            <w:webHidden/>
            <w:lang w:val="en-US"/>
          </w:rPr>
          <w:fldChar w:fldCharType="separate"/>
        </w:r>
        <w:r w:rsidR="00F60130" w:rsidRPr="00ED4D49">
          <w:rPr>
            <w:noProof/>
            <w:webHidden/>
            <w:lang w:val="en-US"/>
          </w:rPr>
          <w:t>51</w:t>
        </w:r>
        <w:r w:rsidR="00420C76" w:rsidRPr="00ED4D49">
          <w:rPr>
            <w:noProof/>
            <w:webHidden/>
            <w:lang w:val="en-US"/>
          </w:rPr>
          <w:fldChar w:fldCharType="end"/>
        </w:r>
      </w:hyperlink>
    </w:p>
    <w:p w14:paraId="6DD27879" w14:textId="167E340D" w:rsidR="00420C76" w:rsidRPr="00ED4D49" w:rsidRDefault="00000000">
      <w:pPr>
        <w:pStyle w:val="TableofFigures"/>
        <w:tabs>
          <w:tab w:val="right" w:leader="dot" w:pos="9010"/>
        </w:tabs>
        <w:rPr>
          <w:rFonts w:asciiTheme="minorHAnsi" w:eastAsiaTheme="minorEastAsia" w:hAnsiTheme="minorHAnsi" w:cstheme="minorBidi"/>
          <w:i w:val="0"/>
          <w:iCs w:val="0"/>
          <w:noProof/>
          <w:sz w:val="24"/>
          <w:szCs w:val="24"/>
          <w:lang w:val="en-US" w:eastAsia="en-GB"/>
        </w:rPr>
      </w:pPr>
      <w:hyperlink w:anchor="_Toc28188045" w:history="1">
        <w:r w:rsidR="00420C76" w:rsidRPr="00ED4D49">
          <w:rPr>
            <w:rStyle w:val="Hyperlink"/>
            <w:rFonts w:cs="Calibri"/>
            <w:noProof/>
            <w:lang w:val="en-US"/>
          </w:rPr>
          <w:t>Table 20: RS level institutions responsible for water management and environmental issues relevant for this Project</w:t>
        </w:r>
        <w:r w:rsidR="00420C76" w:rsidRPr="00ED4D49">
          <w:rPr>
            <w:noProof/>
            <w:webHidden/>
            <w:lang w:val="en-US"/>
          </w:rPr>
          <w:tab/>
        </w:r>
        <w:r w:rsidR="00420C76" w:rsidRPr="00ED4D49">
          <w:rPr>
            <w:noProof/>
            <w:webHidden/>
            <w:lang w:val="en-US"/>
          </w:rPr>
          <w:fldChar w:fldCharType="begin"/>
        </w:r>
        <w:r w:rsidR="00420C76" w:rsidRPr="00ED4D49">
          <w:rPr>
            <w:noProof/>
            <w:webHidden/>
            <w:lang w:val="en-US"/>
          </w:rPr>
          <w:instrText xml:space="preserve"> PAGEREF _Toc28188045 \h </w:instrText>
        </w:r>
        <w:r w:rsidR="00420C76" w:rsidRPr="00ED4D49">
          <w:rPr>
            <w:noProof/>
            <w:webHidden/>
            <w:lang w:val="en-US"/>
          </w:rPr>
        </w:r>
        <w:r w:rsidR="00420C76" w:rsidRPr="00ED4D49">
          <w:rPr>
            <w:noProof/>
            <w:webHidden/>
            <w:lang w:val="en-US"/>
          </w:rPr>
          <w:fldChar w:fldCharType="separate"/>
        </w:r>
        <w:r w:rsidR="00F60130" w:rsidRPr="00ED4D49">
          <w:rPr>
            <w:noProof/>
            <w:webHidden/>
            <w:lang w:val="en-US"/>
          </w:rPr>
          <w:t>52</w:t>
        </w:r>
        <w:r w:rsidR="00420C76" w:rsidRPr="00ED4D49">
          <w:rPr>
            <w:noProof/>
            <w:webHidden/>
            <w:lang w:val="en-US"/>
          </w:rPr>
          <w:fldChar w:fldCharType="end"/>
        </w:r>
      </w:hyperlink>
    </w:p>
    <w:p w14:paraId="3E649F7C" w14:textId="19382B5C" w:rsidR="00420C76" w:rsidRPr="00ED4D49" w:rsidRDefault="00000000">
      <w:pPr>
        <w:pStyle w:val="TableofFigures"/>
        <w:tabs>
          <w:tab w:val="right" w:leader="dot" w:pos="9010"/>
        </w:tabs>
        <w:rPr>
          <w:rFonts w:asciiTheme="minorHAnsi" w:eastAsiaTheme="minorEastAsia" w:hAnsiTheme="minorHAnsi" w:cstheme="minorBidi"/>
          <w:i w:val="0"/>
          <w:iCs w:val="0"/>
          <w:noProof/>
          <w:sz w:val="24"/>
          <w:szCs w:val="24"/>
          <w:lang w:val="en-US" w:eastAsia="en-GB"/>
        </w:rPr>
      </w:pPr>
      <w:hyperlink w:anchor="_Toc28188046" w:history="1">
        <w:r w:rsidR="00420C76" w:rsidRPr="00ED4D49">
          <w:rPr>
            <w:rStyle w:val="Hyperlink"/>
            <w:rFonts w:cs="Calibri"/>
            <w:noProof/>
            <w:lang w:val="en-US"/>
          </w:rPr>
          <w:t>Table 21: BD BiH level institutions responsible for water management and environmental issues relevant for this Project</w:t>
        </w:r>
        <w:r w:rsidR="00420C76" w:rsidRPr="00ED4D49">
          <w:rPr>
            <w:noProof/>
            <w:webHidden/>
            <w:lang w:val="en-US"/>
          </w:rPr>
          <w:tab/>
        </w:r>
        <w:r w:rsidR="00420C76" w:rsidRPr="00ED4D49">
          <w:rPr>
            <w:noProof/>
            <w:webHidden/>
            <w:lang w:val="en-US"/>
          </w:rPr>
          <w:fldChar w:fldCharType="begin"/>
        </w:r>
        <w:r w:rsidR="00420C76" w:rsidRPr="00ED4D49">
          <w:rPr>
            <w:noProof/>
            <w:webHidden/>
            <w:lang w:val="en-US"/>
          </w:rPr>
          <w:instrText xml:space="preserve"> PAGEREF _Toc28188046 \h </w:instrText>
        </w:r>
        <w:r w:rsidR="00420C76" w:rsidRPr="00ED4D49">
          <w:rPr>
            <w:noProof/>
            <w:webHidden/>
            <w:lang w:val="en-US"/>
          </w:rPr>
        </w:r>
        <w:r w:rsidR="00420C76" w:rsidRPr="00ED4D49">
          <w:rPr>
            <w:noProof/>
            <w:webHidden/>
            <w:lang w:val="en-US"/>
          </w:rPr>
          <w:fldChar w:fldCharType="separate"/>
        </w:r>
        <w:r w:rsidR="00F60130" w:rsidRPr="00ED4D49">
          <w:rPr>
            <w:noProof/>
            <w:webHidden/>
            <w:lang w:val="en-US"/>
          </w:rPr>
          <w:t>53</w:t>
        </w:r>
        <w:r w:rsidR="00420C76" w:rsidRPr="00ED4D49">
          <w:rPr>
            <w:noProof/>
            <w:webHidden/>
            <w:lang w:val="en-US"/>
          </w:rPr>
          <w:fldChar w:fldCharType="end"/>
        </w:r>
      </w:hyperlink>
    </w:p>
    <w:p w14:paraId="354736AF" w14:textId="00DA4CF2" w:rsidR="00420C76" w:rsidRPr="00ED4D49" w:rsidRDefault="00000000">
      <w:pPr>
        <w:pStyle w:val="TableofFigures"/>
        <w:tabs>
          <w:tab w:val="right" w:leader="dot" w:pos="9010"/>
        </w:tabs>
        <w:rPr>
          <w:rFonts w:asciiTheme="minorHAnsi" w:eastAsiaTheme="minorEastAsia" w:hAnsiTheme="minorHAnsi" w:cstheme="minorBidi"/>
          <w:i w:val="0"/>
          <w:iCs w:val="0"/>
          <w:noProof/>
          <w:sz w:val="24"/>
          <w:szCs w:val="24"/>
          <w:lang w:val="en-US" w:eastAsia="en-GB"/>
        </w:rPr>
      </w:pPr>
      <w:hyperlink w:anchor="_Toc28188047" w:history="1">
        <w:r w:rsidR="00420C76" w:rsidRPr="00ED4D49">
          <w:rPr>
            <w:rStyle w:val="Hyperlink"/>
            <w:rFonts w:cs="Calibri"/>
            <w:noProof/>
            <w:lang w:val="en-US"/>
          </w:rPr>
          <w:t>Table 22: ESSs considered relevant for the SDIP at the time of the Program appraisal</w:t>
        </w:r>
        <w:r w:rsidR="00420C76" w:rsidRPr="00ED4D49">
          <w:rPr>
            <w:noProof/>
            <w:webHidden/>
            <w:lang w:val="en-US"/>
          </w:rPr>
          <w:tab/>
        </w:r>
        <w:r w:rsidR="00420C76" w:rsidRPr="00ED4D49">
          <w:rPr>
            <w:noProof/>
            <w:webHidden/>
            <w:lang w:val="en-US"/>
          </w:rPr>
          <w:fldChar w:fldCharType="begin"/>
        </w:r>
        <w:r w:rsidR="00420C76" w:rsidRPr="00ED4D49">
          <w:rPr>
            <w:noProof/>
            <w:webHidden/>
            <w:lang w:val="en-US"/>
          </w:rPr>
          <w:instrText xml:space="preserve"> PAGEREF _Toc28188047 \h </w:instrText>
        </w:r>
        <w:r w:rsidR="00420C76" w:rsidRPr="00ED4D49">
          <w:rPr>
            <w:noProof/>
            <w:webHidden/>
            <w:lang w:val="en-US"/>
          </w:rPr>
        </w:r>
        <w:r w:rsidR="00420C76" w:rsidRPr="00ED4D49">
          <w:rPr>
            <w:noProof/>
            <w:webHidden/>
            <w:lang w:val="en-US"/>
          </w:rPr>
          <w:fldChar w:fldCharType="separate"/>
        </w:r>
        <w:r w:rsidR="00F60130" w:rsidRPr="00ED4D49">
          <w:rPr>
            <w:noProof/>
            <w:webHidden/>
            <w:lang w:val="en-US"/>
          </w:rPr>
          <w:t>54</w:t>
        </w:r>
        <w:r w:rsidR="00420C76" w:rsidRPr="00ED4D49">
          <w:rPr>
            <w:noProof/>
            <w:webHidden/>
            <w:lang w:val="en-US"/>
          </w:rPr>
          <w:fldChar w:fldCharType="end"/>
        </w:r>
      </w:hyperlink>
    </w:p>
    <w:p w14:paraId="08099ADD" w14:textId="0AFA053D" w:rsidR="00420C76" w:rsidRPr="00ED4D49" w:rsidRDefault="00000000">
      <w:pPr>
        <w:pStyle w:val="TableofFigures"/>
        <w:tabs>
          <w:tab w:val="right" w:leader="dot" w:pos="9010"/>
        </w:tabs>
        <w:rPr>
          <w:rFonts w:asciiTheme="minorHAnsi" w:eastAsiaTheme="minorEastAsia" w:hAnsiTheme="minorHAnsi" w:cstheme="minorBidi"/>
          <w:i w:val="0"/>
          <w:iCs w:val="0"/>
          <w:noProof/>
          <w:sz w:val="24"/>
          <w:szCs w:val="24"/>
          <w:lang w:val="en-US" w:eastAsia="en-GB"/>
        </w:rPr>
      </w:pPr>
      <w:hyperlink w:anchor="_Toc28188048" w:history="1">
        <w:r w:rsidR="00420C76" w:rsidRPr="00ED4D49">
          <w:rPr>
            <w:rStyle w:val="Hyperlink"/>
            <w:rFonts w:cs="Calibri"/>
            <w:noProof/>
            <w:lang w:val="en-US"/>
          </w:rPr>
          <w:t>Table 23: Description of project components</w:t>
        </w:r>
        <w:r w:rsidR="00420C76" w:rsidRPr="00ED4D49">
          <w:rPr>
            <w:noProof/>
            <w:webHidden/>
            <w:lang w:val="en-US"/>
          </w:rPr>
          <w:tab/>
        </w:r>
        <w:r w:rsidR="00420C76" w:rsidRPr="00ED4D49">
          <w:rPr>
            <w:noProof/>
            <w:webHidden/>
            <w:lang w:val="en-US"/>
          </w:rPr>
          <w:fldChar w:fldCharType="begin"/>
        </w:r>
        <w:r w:rsidR="00420C76" w:rsidRPr="00ED4D49">
          <w:rPr>
            <w:noProof/>
            <w:webHidden/>
            <w:lang w:val="en-US"/>
          </w:rPr>
          <w:instrText xml:space="preserve"> PAGEREF _Toc28188048 \h </w:instrText>
        </w:r>
        <w:r w:rsidR="00420C76" w:rsidRPr="00ED4D49">
          <w:rPr>
            <w:noProof/>
            <w:webHidden/>
            <w:lang w:val="en-US"/>
          </w:rPr>
        </w:r>
        <w:r w:rsidR="00420C76" w:rsidRPr="00ED4D49">
          <w:rPr>
            <w:noProof/>
            <w:webHidden/>
            <w:lang w:val="en-US"/>
          </w:rPr>
          <w:fldChar w:fldCharType="separate"/>
        </w:r>
        <w:r w:rsidR="00F60130" w:rsidRPr="00ED4D49">
          <w:rPr>
            <w:noProof/>
            <w:webHidden/>
            <w:lang w:val="en-US"/>
          </w:rPr>
          <w:t>55</w:t>
        </w:r>
        <w:r w:rsidR="00420C76" w:rsidRPr="00ED4D49">
          <w:rPr>
            <w:noProof/>
            <w:webHidden/>
            <w:lang w:val="en-US"/>
          </w:rPr>
          <w:fldChar w:fldCharType="end"/>
        </w:r>
      </w:hyperlink>
    </w:p>
    <w:p w14:paraId="7386C81B" w14:textId="6DBB8162" w:rsidR="00420C76" w:rsidRPr="00ED4D49" w:rsidRDefault="00000000">
      <w:pPr>
        <w:pStyle w:val="TableofFigures"/>
        <w:tabs>
          <w:tab w:val="right" w:leader="dot" w:pos="9010"/>
        </w:tabs>
        <w:rPr>
          <w:rFonts w:asciiTheme="minorHAnsi" w:eastAsiaTheme="minorEastAsia" w:hAnsiTheme="minorHAnsi" w:cstheme="minorBidi"/>
          <w:i w:val="0"/>
          <w:iCs w:val="0"/>
          <w:noProof/>
          <w:sz w:val="24"/>
          <w:szCs w:val="24"/>
          <w:lang w:val="en-US" w:eastAsia="en-GB"/>
        </w:rPr>
      </w:pPr>
      <w:hyperlink w:anchor="_Toc28188049" w:history="1">
        <w:r w:rsidR="00420C76" w:rsidRPr="00ED4D49">
          <w:rPr>
            <w:rStyle w:val="Hyperlink"/>
            <w:rFonts w:cs="Calibri"/>
            <w:noProof/>
            <w:lang w:val="en-US"/>
          </w:rPr>
          <w:t>Table 24: Preliminary identification of environmental and social impacts of proposed subprojects</w:t>
        </w:r>
        <w:r w:rsidR="00420C76" w:rsidRPr="00ED4D49">
          <w:rPr>
            <w:noProof/>
            <w:webHidden/>
            <w:lang w:val="en-US"/>
          </w:rPr>
          <w:tab/>
        </w:r>
        <w:r w:rsidR="00420C76" w:rsidRPr="00ED4D49">
          <w:rPr>
            <w:noProof/>
            <w:webHidden/>
            <w:lang w:val="en-US"/>
          </w:rPr>
          <w:fldChar w:fldCharType="begin"/>
        </w:r>
        <w:r w:rsidR="00420C76" w:rsidRPr="00ED4D49">
          <w:rPr>
            <w:noProof/>
            <w:webHidden/>
            <w:lang w:val="en-US"/>
          </w:rPr>
          <w:instrText xml:space="preserve"> PAGEREF _Toc28188049 \h </w:instrText>
        </w:r>
        <w:r w:rsidR="00420C76" w:rsidRPr="00ED4D49">
          <w:rPr>
            <w:noProof/>
            <w:webHidden/>
            <w:lang w:val="en-US"/>
          </w:rPr>
        </w:r>
        <w:r w:rsidR="00420C76" w:rsidRPr="00ED4D49">
          <w:rPr>
            <w:noProof/>
            <w:webHidden/>
            <w:lang w:val="en-US"/>
          </w:rPr>
          <w:fldChar w:fldCharType="separate"/>
        </w:r>
        <w:r w:rsidR="00F60130" w:rsidRPr="00ED4D49">
          <w:rPr>
            <w:noProof/>
            <w:webHidden/>
            <w:lang w:val="en-US"/>
          </w:rPr>
          <w:t>59</w:t>
        </w:r>
        <w:r w:rsidR="00420C76" w:rsidRPr="00ED4D49">
          <w:rPr>
            <w:noProof/>
            <w:webHidden/>
            <w:lang w:val="en-US"/>
          </w:rPr>
          <w:fldChar w:fldCharType="end"/>
        </w:r>
      </w:hyperlink>
    </w:p>
    <w:p w14:paraId="14B79A04" w14:textId="48A2DEF5" w:rsidR="00420C76" w:rsidRPr="00ED4D49" w:rsidRDefault="00000000">
      <w:pPr>
        <w:pStyle w:val="TableofFigures"/>
        <w:tabs>
          <w:tab w:val="right" w:leader="dot" w:pos="9010"/>
        </w:tabs>
        <w:rPr>
          <w:rFonts w:asciiTheme="minorHAnsi" w:eastAsiaTheme="minorEastAsia" w:hAnsiTheme="minorHAnsi" w:cstheme="minorBidi"/>
          <w:i w:val="0"/>
          <w:iCs w:val="0"/>
          <w:noProof/>
          <w:sz w:val="24"/>
          <w:szCs w:val="24"/>
          <w:lang w:val="en-US" w:eastAsia="en-GB"/>
        </w:rPr>
      </w:pPr>
      <w:hyperlink w:anchor="_Toc28188050" w:history="1">
        <w:r w:rsidR="00420C76" w:rsidRPr="00ED4D49">
          <w:rPr>
            <w:rStyle w:val="Hyperlink"/>
            <w:rFonts w:cs="Calibri"/>
            <w:noProof/>
            <w:lang w:val="en-US"/>
          </w:rPr>
          <w:t>Table 25: Environmental and social requirements for the Phase I of the Program</w:t>
        </w:r>
        <w:r w:rsidR="00420C76" w:rsidRPr="00ED4D49">
          <w:rPr>
            <w:noProof/>
            <w:webHidden/>
            <w:lang w:val="en-US"/>
          </w:rPr>
          <w:tab/>
        </w:r>
        <w:r w:rsidR="00420C76" w:rsidRPr="00ED4D49">
          <w:rPr>
            <w:noProof/>
            <w:webHidden/>
            <w:lang w:val="en-US"/>
          </w:rPr>
          <w:fldChar w:fldCharType="begin"/>
        </w:r>
        <w:r w:rsidR="00420C76" w:rsidRPr="00ED4D49">
          <w:rPr>
            <w:noProof/>
            <w:webHidden/>
            <w:lang w:val="en-US"/>
          </w:rPr>
          <w:instrText xml:space="preserve"> PAGEREF _Toc28188050 \h </w:instrText>
        </w:r>
        <w:r w:rsidR="00420C76" w:rsidRPr="00ED4D49">
          <w:rPr>
            <w:noProof/>
            <w:webHidden/>
            <w:lang w:val="en-US"/>
          </w:rPr>
        </w:r>
        <w:r w:rsidR="00420C76" w:rsidRPr="00ED4D49">
          <w:rPr>
            <w:noProof/>
            <w:webHidden/>
            <w:lang w:val="en-US"/>
          </w:rPr>
          <w:fldChar w:fldCharType="separate"/>
        </w:r>
        <w:r w:rsidR="00F60130" w:rsidRPr="00ED4D49">
          <w:rPr>
            <w:noProof/>
            <w:webHidden/>
            <w:lang w:val="en-US"/>
          </w:rPr>
          <w:t>69</w:t>
        </w:r>
        <w:r w:rsidR="00420C76" w:rsidRPr="00ED4D49">
          <w:rPr>
            <w:noProof/>
            <w:webHidden/>
            <w:lang w:val="en-US"/>
          </w:rPr>
          <w:fldChar w:fldCharType="end"/>
        </w:r>
      </w:hyperlink>
    </w:p>
    <w:p w14:paraId="2DBFC407" w14:textId="629C35A3" w:rsidR="00A67FEE" w:rsidRPr="00ED4D49" w:rsidRDefault="00A76BEC" w:rsidP="00A76BEC">
      <w:pPr>
        <w:tabs>
          <w:tab w:val="left" w:pos="720"/>
          <w:tab w:val="left" w:pos="810"/>
        </w:tabs>
        <w:rPr>
          <w:rFonts w:cs="Calibri"/>
          <w:bCs/>
          <w:color w:val="1F497D"/>
          <w:sz w:val="24"/>
          <w:szCs w:val="28"/>
          <w:lang w:val="en-US"/>
        </w:rPr>
      </w:pPr>
      <w:r w:rsidRPr="00ED4D49">
        <w:rPr>
          <w:rFonts w:cs="Calibri"/>
          <w:bCs/>
          <w:color w:val="1F497D"/>
          <w:sz w:val="24"/>
          <w:szCs w:val="28"/>
          <w:lang w:val="en-US"/>
        </w:rPr>
        <w:fldChar w:fldCharType="end"/>
      </w:r>
    </w:p>
    <w:p w14:paraId="261967BD" w14:textId="77777777" w:rsidR="00A67FEE" w:rsidRPr="00ED4D49" w:rsidRDefault="00A67FEE">
      <w:pPr>
        <w:spacing w:before="0" w:after="0" w:line="240" w:lineRule="auto"/>
        <w:rPr>
          <w:rFonts w:cs="Calibri"/>
          <w:bCs/>
          <w:color w:val="1F497D"/>
          <w:sz w:val="24"/>
          <w:szCs w:val="28"/>
          <w:lang w:val="en-US"/>
        </w:rPr>
      </w:pPr>
      <w:r w:rsidRPr="00ED4D49">
        <w:rPr>
          <w:rFonts w:cs="Calibri"/>
          <w:bCs/>
          <w:color w:val="1F497D"/>
          <w:sz w:val="24"/>
          <w:szCs w:val="28"/>
          <w:lang w:val="en-US"/>
        </w:rPr>
        <w:br w:type="page"/>
      </w:r>
    </w:p>
    <w:p w14:paraId="3697610E" w14:textId="77777777" w:rsidR="00A67FEE" w:rsidRPr="00ED4D49" w:rsidRDefault="00A67FEE" w:rsidP="00A76BEC">
      <w:pPr>
        <w:tabs>
          <w:tab w:val="left" w:pos="720"/>
          <w:tab w:val="left" w:pos="810"/>
        </w:tabs>
        <w:rPr>
          <w:rFonts w:cs="Calibri"/>
          <w:bCs/>
          <w:color w:val="1F497D"/>
          <w:sz w:val="24"/>
          <w:szCs w:val="28"/>
          <w:lang w:val="en-US"/>
        </w:rPr>
      </w:pPr>
    </w:p>
    <w:p w14:paraId="14A9C0A9" w14:textId="1671FB3B" w:rsidR="00A76BEC" w:rsidRPr="00ED4D49" w:rsidRDefault="00A76BEC" w:rsidP="00A76BEC">
      <w:pPr>
        <w:tabs>
          <w:tab w:val="left" w:pos="720"/>
          <w:tab w:val="left" w:pos="810"/>
        </w:tabs>
        <w:rPr>
          <w:rFonts w:cs="Calibri"/>
          <w:bCs/>
          <w:color w:val="1F497D"/>
          <w:sz w:val="24"/>
          <w:szCs w:val="28"/>
          <w:lang w:val="en-US"/>
        </w:rPr>
      </w:pPr>
      <w:r w:rsidRPr="00ED4D49">
        <w:rPr>
          <w:rFonts w:cs="Calibri"/>
          <w:bCs/>
          <w:color w:val="1F497D"/>
          <w:sz w:val="24"/>
          <w:szCs w:val="28"/>
          <w:lang w:val="en-US"/>
        </w:rPr>
        <w:t>List of Figures</w:t>
      </w:r>
    </w:p>
    <w:p w14:paraId="13155F09" w14:textId="179D7882" w:rsidR="00603E6E" w:rsidRPr="00ED4D49" w:rsidRDefault="00A76BEC">
      <w:pPr>
        <w:pStyle w:val="TableofFigures"/>
        <w:tabs>
          <w:tab w:val="right" w:leader="dot" w:pos="9010"/>
        </w:tabs>
        <w:rPr>
          <w:rFonts w:asciiTheme="minorHAnsi" w:eastAsiaTheme="minorEastAsia" w:hAnsiTheme="minorHAnsi" w:cstheme="minorBidi"/>
          <w:i w:val="0"/>
          <w:iCs w:val="0"/>
          <w:noProof/>
          <w:sz w:val="24"/>
          <w:szCs w:val="24"/>
          <w:lang w:val="en-US" w:eastAsia="en-GB"/>
        </w:rPr>
      </w:pPr>
      <w:r w:rsidRPr="00ED4D49">
        <w:rPr>
          <w:rFonts w:cs="Calibri"/>
          <w:bCs/>
          <w:i w:val="0"/>
          <w:iCs w:val="0"/>
          <w:color w:val="1F497D"/>
          <w:sz w:val="24"/>
          <w:szCs w:val="28"/>
          <w:lang w:val="en-US"/>
        </w:rPr>
        <w:fldChar w:fldCharType="begin"/>
      </w:r>
      <w:r w:rsidRPr="00ED4D49">
        <w:rPr>
          <w:rFonts w:cs="Calibri"/>
          <w:bCs/>
          <w:i w:val="0"/>
          <w:iCs w:val="0"/>
          <w:color w:val="1F497D"/>
          <w:sz w:val="24"/>
          <w:szCs w:val="28"/>
          <w:lang w:val="en-US"/>
        </w:rPr>
        <w:instrText xml:space="preserve"> TOC \h \z \c "Figure" </w:instrText>
      </w:r>
      <w:r w:rsidRPr="00ED4D49">
        <w:rPr>
          <w:rFonts w:cs="Calibri"/>
          <w:bCs/>
          <w:i w:val="0"/>
          <w:iCs w:val="0"/>
          <w:color w:val="1F497D"/>
          <w:sz w:val="24"/>
          <w:szCs w:val="28"/>
          <w:lang w:val="en-US"/>
        </w:rPr>
        <w:fldChar w:fldCharType="separate"/>
      </w:r>
      <w:hyperlink w:anchor="_Toc25582647" w:history="1">
        <w:r w:rsidR="00603E6E" w:rsidRPr="00ED4D49">
          <w:rPr>
            <w:rStyle w:val="Hyperlink"/>
            <w:noProof/>
            <w:lang w:val="en-US"/>
          </w:rPr>
          <w:t>Figure 1: Geographical map of BiH</w:t>
        </w:r>
        <w:r w:rsidR="00603E6E" w:rsidRPr="00ED4D49">
          <w:rPr>
            <w:noProof/>
            <w:webHidden/>
            <w:lang w:val="en-US"/>
          </w:rPr>
          <w:tab/>
        </w:r>
        <w:r w:rsidR="00603E6E" w:rsidRPr="00ED4D49">
          <w:rPr>
            <w:noProof/>
            <w:webHidden/>
            <w:lang w:val="en-US"/>
          </w:rPr>
          <w:fldChar w:fldCharType="begin"/>
        </w:r>
        <w:r w:rsidR="00603E6E" w:rsidRPr="00ED4D49">
          <w:rPr>
            <w:noProof/>
            <w:webHidden/>
            <w:lang w:val="en-US"/>
          </w:rPr>
          <w:instrText xml:space="preserve"> PAGEREF _Toc25582647 \h </w:instrText>
        </w:r>
        <w:r w:rsidR="00603E6E" w:rsidRPr="00ED4D49">
          <w:rPr>
            <w:noProof/>
            <w:webHidden/>
            <w:lang w:val="en-US"/>
          </w:rPr>
        </w:r>
        <w:r w:rsidR="00603E6E" w:rsidRPr="00ED4D49">
          <w:rPr>
            <w:noProof/>
            <w:webHidden/>
            <w:lang w:val="en-US"/>
          </w:rPr>
          <w:fldChar w:fldCharType="separate"/>
        </w:r>
        <w:r w:rsidR="00F60130" w:rsidRPr="00ED4D49">
          <w:rPr>
            <w:noProof/>
            <w:webHidden/>
            <w:lang w:val="en-US"/>
          </w:rPr>
          <w:t>9</w:t>
        </w:r>
        <w:r w:rsidR="00603E6E" w:rsidRPr="00ED4D49">
          <w:rPr>
            <w:noProof/>
            <w:webHidden/>
            <w:lang w:val="en-US"/>
          </w:rPr>
          <w:fldChar w:fldCharType="end"/>
        </w:r>
      </w:hyperlink>
    </w:p>
    <w:p w14:paraId="35EBA40D" w14:textId="48078350" w:rsidR="00603E6E" w:rsidRPr="00ED4D49" w:rsidRDefault="00000000">
      <w:pPr>
        <w:pStyle w:val="TableofFigures"/>
        <w:tabs>
          <w:tab w:val="right" w:leader="dot" w:pos="9010"/>
        </w:tabs>
        <w:rPr>
          <w:rFonts w:asciiTheme="minorHAnsi" w:eastAsiaTheme="minorEastAsia" w:hAnsiTheme="minorHAnsi" w:cstheme="minorBidi"/>
          <w:i w:val="0"/>
          <w:iCs w:val="0"/>
          <w:noProof/>
          <w:sz w:val="24"/>
          <w:szCs w:val="24"/>
          <w:lang w:val="en-US" w:eastAsia="en-GB"/>
        </w:rPr>
      </w:pPr>
      <w:hyperlink w:anchor="_Toc25582648" w:history="1">
        <w:r w:rsidR="00603E6E" w:rsidRPr="00ED4D49">
          <w:rPr>
            <w:rStyle w:val="Hyperlink"/>
            <w:noProof/>
            <w:lang w:val="en-US"/>
          </w:rPr>
          <w:t>Figure 2: Drina River Basin in BiH</w:t>
        </w:r>
        <w:r w:rsidR="00603E6E" w:rsidRPr="00ED4D49">
          <w:rPr>
            <w:noProof/>
            <w:webHidden/>
            <w:lang w:val="en-US"/>
          </w:rPr>
          <w:tab/>
        </w:r>
        <w:r w:rsidR="00603E6E" w:rsidRPr="00ED4D49">
          <w:rPr>
            <w:noProof/>
            <w:webHidden/>
            <w:lang w:val="en-US"/>
          </w:rPr>
          <w:fldChar w:fldCharType="begin"/>
        </w:r>
        <w:r w:rsidR="00603E6E" w:rsidRPr="00ED4D49">
          <w:rPr>
            <w:noProof/>
            <w:webHidden/>
            <w:lang w:val="en-US"/>
          </w:rPr>
          <w:instrText xml:space="preserve"> PAGEREF _Toc25582648 \h </w:instrText>
        </w:r>
        <w:r w:rsidR="00603E6E" w:rsidRPr="00ED4D49">
          <w:rPr>
            <w:noProof/>
            <w:webHidden/>
            <w:lang w:val="en-US"/>
          </w:rPr>
        </w:r>
        <w:r w:rsidR="00603E6E" w:rsidRPr="00ED4D49">
          <w:rPr>
            <w:noProof/>
            <w:webHidden/>
            <w:lang w:val="en-US"/>
          </w:rPr>
          <w:fldChar w:fldCharType="separate"/>
        </w:r>
        <w:r w:rsidR="00F60130" w:rsidRPr="00ED4D49">
          <w:rPr>
            <w:noProof/>
            <w:webHidden/>
            <w:lang w:val="en-US"/>
          </w:rPr>
          <w:t>10</w:t>
        </w:r>
        <w:r w:rsidR="00603E6E" w:rsidRPr="00ED4D49">
          <w:rPr>
            <w:noProof/>
            <w:webHidden/>
            <w:lang w:val="en-US"/>
          </w:rPr>
          <w:fldChar w:fldCharType="end"/>
        </w:r>
      </w:hyperlink>
    </w:p>
    <w:p w14:paraId="2C016103" w14:textId="77D690BF" w:rsidR="00603E6E" w:rsidRPr="00ED4D49" w:rsidRDefault="00000000">
      <w:pPr>
        <w:pStyle w:val="TableofFigures"/>
        <w:tabs>
          <w:tab w:val="right" w:leader="dot" w:pos="9010"/>
        </w:tabs>
        <w:rPr>
          <w:rFonts w:asciiTheme="minorHAnsi" w:eastAsiaTheme="minorEastAsia" w:hAnsiTheme="minorHAnsi" w:cstheme="minorBidi"/>
          <w:i w:val="0"/>
          <w:iCs w:val="0"/>
          <w:noProof/>
          <w:sz w:val="24"/>
          <w:szCs w:val="24"/>
          <w:lang w:val="en-US" w:eastAsia="en-GB"/>
        </w:rPr>
      </w:pPr>
      <w:hyperlink w:anchor="_Toc25582649" w:history="1">
        <w:r w:rsidR="00603E6E" w:rsidRPr="00ED4D49">
          <w:rPr>
            <w:rStyle w:val="Hyperlink"/>
            <w:noProof/>
            <w:lang w:val="en-US"/>
          </w:rPr>
          <w:t>Figure 3: The geotectonic position of central part of Balkan Peninsula between Moesia plate and Adriatic Sea</w:t>
        </w:r>
        <w:r w:rsidR="00603E6E" w:rsidRPr="00ED4D49">
          <w:rPr>
            <w:noProof/>
            <w:webHidden/>
            <w:lang w:val="en-US"/>
          </w:rPr>
          <w:tab/>
        </w:r>
        <w:r w:rsidR="00603E6E" w:rsidRPr="00ED4D49">
          <w:rPr>
            <w:noProof/>
            <w:webHidden/>
            <w:lang w:val="en-US"/>
          </w:rPr>
          <w:fldChar w:fldCharType="begin"/>
        </w:r>
        <w:r w:rsidR="00603E6E" w:rsidRPr="00ED4D49">
          <w:rPr>
            <w:noProof/>
            <w:webHidden/>
            <w:lang w:val="en-US"/>
          </w:rPr>
          <w:instrText xml:space="preserve"> PAGEREF _Toc25582649 \h </w:instrText>
        </w:r>
        <w:r w:rsidR="00603E6E" w:rsidRPr="00ED4D49">
          <w:rPr>
            <w:noProof/>
            <w:webHidden/>
            <w:lang w:val="en-US"/>
          </w:rPr>
        </w:r>
        <w:r w:rsidR="00603E6E" w:rsidRPr="00ED4D49">
          <w:rPr>
            <w:noProof/>
            <w:webHidden/>
            <w:lang w:val="en-US"/>
          </w:rPr>
          <w:fldChar w:fldCharType="separate"/>
        </w:r>
        <w:r w:rsidR="00F60130" w:rsidRPr="00ED4D49">
          <w:rPr>
            <w:noProof/>
            <w:webHidden/>
            <w:lang w:val="en-US"/>
          </w:rPr>
          <w:t>11</w:t>
        </w:r>
        <w:r w:rsidR="00603E6E" w:rsidRPr="00ED4D49">
          <w:rPr>
            <w:noProof/>
            <w:webHidden/>
            <w:lang w:val="en-US"/>
          </w:rPr>
          <w:fldChar w:fldCharType="end"/>
        </w:r>
      </w:hyperlink>
    </w:p>
    <w:p w14:paraId="4BF38535" w14:textId="498D72BA" w:rsidR="00603E6E" w:rsidRPr="00ED4D49" w:rsidRDefault="00000000">
      <w:pPr>
        <w:pStyle w:val="TableofFigures"/>
        <w:tabs>
          <w:tab w:val="right" w:leader="dot" w:pos="9010"/>
        </w:tabs>
        <w:rPr>
          <w:rFonts w:asciiTheme="minorHAnsi" w:eastAsiaTheme="minorEastAsia" w:hAnsiTheme="minorHAnsi" w:cstheme="minorBidi"/>
          <w:i w:val="0"/>
          <w:iCs w:val="0"/>
          <w:noProof/>
          <w:sz w:val="24"/>
          <w:szCs w:val="24"/>
          <w:lang w:val="en-US" w:eastAsia="en-GB"/>
        </w:rPr>
      </w:pPr>
      <w:hyperlink w:anchor="_Toc25582650" w:history="1">
        <w:r w:rsidR="00603E6E" w:rsidRPr="00ED4D49">
          <w:rPr>
            <w:rStyle w:val="Hyperlink"/>
            <w:noProof/>
            <w:lang w:val="en-US"/>
          </w:rPr>
          <w:t>Figure 4: Average concentrations of BOD5, ammonia, phosphate and nitrate in Drina River</w:t>
        </w:r>
        <w:r w:rsidR="00603E6E" w:rsidRPr="00ED4D49">
          <w:rPr>
            <w:noProof/>
            <w:webHidden/>
            <w:lang w:val="en-US"/>
          </w:rPr>
          <w:tab/>
        </w:r>
        <w:r w:rsidR="00603E6E" w:rsidRPr="00ED4D49">
          <w:rPr>
            <w:noProof/>
            <w:webHidden/>
            <w:lang w:val="en-US"/>
          </w:rPr>
          <w:fldChar w:fldCharType="begin"/>
        </w:r>
        <w:r w:rsidR="00603E6E" w:rsidRPr="00ED4D49">
          <w:rPr>
            <w:noProof/>
            <w:webHidden/>
            <w:lang w:val="en-US"/>
          </w:rPr>
          <w:instrText xml:space="preserve"> PAGEREF _Toc25582650 \h </w:instrText>
        </w:r>
        <w:r w:rsidR="00603E6E" w:rsidRPr="00ED4D49">
          <w:rPr>
            <w:noProof/>
            <w:webHidden/>
            <w:lang w:val="en-US"/>
          </w:rPr>
        </w:r>
        <w:r w:rsidR="00603E6E" w:rsidRPr="00ED4D49">
          <w:rPr>
            <w:noProof/>
            <w:webHidden/>
            <w:lang w:val="en-US"/>
          </w:rPr>
          <w:fldChar w:fldCharType="separate"/>
        </w:r>
        <w:r w:rsidR="00F60130" w:rsidRPr="00ED4D49">
          <w:rPr>
            <w:noProof/>
            <w:webHidden/>
            <w:lang w:val="en-US"/>
          </w:rPr>
          <w:t>14</w:t>
        </w:r>
        <w:r w:rsidR="00603E6E" w:rsidRPr="00ED4D49">
          <w:rPr>
            <w:noProof/>
            <w:webHidden/>
            <w:lang w:val="en-US"/>
          </w:rPr>
          <w:fldChar w:fldCharType="end"/>
        </w:r>
      </w:hyperlink>
    </w:p>
    <w:p w14:paraId="584A2947" w14:textId="2C21D4D5" w:rsidR="00603E6E" w:rsidRPr="00ED4D49" w:rsidRDefault="00000000">
      <w:pPr>
        <w:pStyle w:val="TableofFigures"/>
        <w:tabs>
          <w:tab w:val="right" w:leader="dot" w:pos="9010"/>
        </w:tabs>
        <w:rPr>
          <w:rFonts w:asciiTheme="minorHAnsi" w:eastAsiaTheme="minorEastAsia" w:hAnsiTheme="minorHAnsi" w:cstheme="minorBidi"/>
          <w:i w:val="0"/>
          <w:iCs w:val="0"/>
          <w:noProof/>
          <w:sz w:val="24"/>
          <w:szCs w:val="24"/>
          <w:lang w:val="en-US" w:eastAsia="en-GB"/>
        </w:rPr>
      </w:pPr>
      <w:hyperlink w:anchor="_Toc25582651" w:history="1">
        <w:r w:rsidR="00603E6E" w:rsidRPr="00ED4D49">
          <w:rPr>
            <w:rStyle w:val="Hyperlink"/>
            <w:noProof/>
            <w:lang w:val="en-US"/>
          </w:rPr>
          <w:t>Figure 5: Protected areas in the Drina River Basin in BiH</w:t>
        </w:r>
        <w:r w:rsidR="00603E6E" w:rsidRPr="00ED4D49">
          <w:rPr>
            <w:noProof/>
            <w:webHidden/>
            <w:lang w:val="en-US"/>
          </w:rPr>
          <w:tab/>
        </w:r>
        <w:r w:rsidR="00603E6E" w:rsidRPr="00ED4D49">
          <w:rPr>
            <w:noProof/>
            <w:webHidden/>
            <w:lang w:val="en-US"/>
          </w:rPr>
          <w:fldChar w:fldCharType="begin"/>
        </w:r>
        <w:r w:rsidR="00603E6E" w:rsidRPr="00ED4D49">
          <w:rPr>
            <w:noProof/>
            <w:webHidden/>
            <w:lang w:val="en-US"/>
          </w:rPr>
          <w:instrText xml:space="preserve"> PAGEREF _Toc25582651 \h </w:instrText>
        </w:r>
        <w:r w:rsidR="00603E6E" w:rsidRPr="00ED4D49">
          <w:rPr>
            <w:noProof/>
            <w:webHidden/>
            <w:lang w:val="en-US"/>
          </w:rPr>
        </w:r>
        <w:r w:rsidR="00603E6E" w:rsidRPr="00ED4D49">
          <w:rPr>
            <w:noProof/>
            <w:webHidden/>
            <w:lang w:val="en-US"/>
          </w:rPr>
          <w:fldChar w:fldCharType="separate"/>
        </w:r>
        <w:r w:rsidR="00F60130" w:rsidRPr="00ED4D49">
          <w:rPr>
            <w:noProof/>
            <w:webHidden/>
            <w:lang w:val="en-US"/>
          </w:rPr>
          <w:t>17</w:t>
        </w:r>
        <w:r w:rsidR="00603E6E" w:rsidRPr="00ED4D49">
          <w:rPr>
            <w:noProof/>
            <w:webHidden/>
            <w:lang w:val="en-US"/>
          </w:rPr>
          <w:fldChar w:fldCharType="end"/>
        </w:r>
      </w:hyperlink>
    </w:p>
    <w:p w14:paraId="301E7FA1" w14:textId="06679061" w:rsidR="00603E6E" w:rsidRPr="00ED4D49" w:rsidRDefault="00000000">
      <w:pPr>
        <w:pStyle w:val="TableofFigures"/>
        <w:tabs>
          <w:tab w:val="right" w:leader="dot" w:pos="9010"/>
        </w:tabs>
        <w:rPr>
          <w:rFonts w:asciiTheme="minorHAnsi" w:eastAsiaTheme="minorEastAsia" w:hAnsiTheme="minorHAnsi" w:cstheme="minorBidi"/>
          <w:i w:val="0"/>
          <w:iCs w:val="0"/>
          <w:noProof/>
          <w:sz w:val="24"/>
          <w:szCs w:val="24"/>
          <w:lang w:val="en-US" w:eastAsia="en-GB"/>
        </w:rPr>
      </w:pPr>
      <w:hyperlink w:anchor="_Toc25582652" w:history="1">
        <w:r w:rsidR="00603E6E" w:rsidRPr="00ED4D49">
          <w:rPr>
            <w:rStyle w:val="Hyperlink"/>
            <w:noProof/>
            <w:lang w:val="en-US"/>
          </w:rPr>
          <w:t>Figure 6: Sava River Basin in BiH</w:t>
        </w:r>
        <w:r w:rsidR="00603E6E" w:rsidRPr="00ED4D49">
          <w:rPr>
            <w:noProof/>
            <w:webHidden/>
            <w:lang w:val="en-US"/>
          </w:rPr>
          <w:tab/>
        </w:r>
        <w:r w:rsidR="00603E6E" w:rsidRPr="00ED4D49">
          <w:rPr>
            <w:noProof/>
            <w:webHidden/>
            <w:lang w:val="en-US"/>
          </w:rPr>
          <w:fldChar w:fldCharType="begin"/>
        </w:r>
        <w:r w:rsidR="00603E6E" w:rsidRPr="00ED4D49">
          <w:rPr>
            <w:noProof/>
            <w:webHidden/>
            <w:lang w:val="en-US"/>
          </w:rPr>
          <w:instrText xml:space="preserve"> PAGEREF _Toc25582652 \h </w:instrText>
        </w:r>
        <w:r w:rsidR="00603E6E" w:rsidRPr="00ED4D49">
          <w:rPr>
            <w:noProof/>
            <w:webHidden/>
            <w:lang w:val="en-US"/>
          </w:rPr>
        </w:r>
        <w:r w:rsidR="00603E6E" w:rsidRPr="00ED4D49">
          <w:rPr>
            <w:noProof/>
            <w:webHidden/>
            <w:lang w:val="en-US"/>
          </w:rPr>
          <w:fldChar w:fldCharType="separate"/>
        </w:r>
        <w:r w:rsidR="00F60130" w:rsidRPr="00ED4D49">
          <w:rPr>
            <w:noProof/>
            <w:webHidden/>
            <w:lang w:val="en-US"/>
          </w:rPr>
          <w:t>19</w:t>
        </w:r>
        <w:r w:rsidR="00603E6E" w:rsidRPr="00ED4D49">
          <w:rPr>
            <w:noProof/>
            <w:webHidden/>
            <w:lang w:val="en-US"/>
          </w:rPr>
          <w:fldChar w:fldCharType="end"/>
        </w:r>
      </w:hyperlink>
    </w:p>
    <w:p w14:paraId="1D13207A" w14:textId="2C80D910" w:rsidR="00603E6E" w:rsidRPr="00ED4D49" w:rsidRDefault="00000000">
      <w:pPr>
        <w:pStyle w:val="TableofFigures"/>
        <w:tabs>
          <w:tab w:val="right" w:leader="dot" w:pos="9010"/>
        </w:tabs>
        <w:rPr>
          <w:rFonts w:asciiTheme="minorHAnsi" w:eastAsiaTheme="minorEastAsia" w:hAnsiTheme="minorHAnsi" w:cstheme="minorBidi"/>
          <w:i w:val="0"/>
          <w:iCs w:val="0"/>
          <w:noProof/>
          <w:sz w:val="24"/>
          <w:szCs w:val="24"/>
          <w:lang w:val="en-US" w:eastAsia="en-GB"/>
        </w:rPr>
      </w:pPr>
      <w:hyperlink w:anchor="_Toc25582653" w:history="1">
        <w:r w:rsidR="00603E6E" w:rsidRPr="00ED4D49">
          <w:rPr>
            <w:rStyle w:val="Hyperlink"/>
            <w:noProof/>
            <w:lang w:val="en-US"/>
          </w:rPr>
          <w:t>Figure 7: Average concentrations of BOD</w:t>
        </w:r>
        <w:r w:rsidR="00603E6E" w:rsidRPr="00ED4D49">
          <w:rPr>
            <w:rStyle w:val="Hyperlink"/>
            <w:noProof/>
            <w:vertAlign w:val="subscript"/>
            <w:lang w:val="en-US"/>
          </w:rPr>
          <w:t>5</w:t>
        </w:r>
        <w:r w:rsidR="00603E6E" w:rsidRPr="00ED4D49">
          <w:rPr>
            <w:rStyle w:val="Hyperlink"/>
            <w:noProof/>
            <w:lang w:val="en-US"/>
          </w:rPr>
          <w:t>, ammonia, phosphate and nitrate in Sava River</w:t>
        </w:r>
        <w:r w:rsidR="00603E6E" w:rsidRPr="00ED4D49">
          <w:rPr>
            <w:noProof/>
            <w:webHidden/>
            <w:lang w:val="en-US"/>
          </w:rPr>
          <w:tab/>
        </w:r>
        <w:r w:rsidR="00603E6E" w:rsidRPr="00ED4D49">
          <w:rPr>
            <w:noProof/>
            <w:webHidden/>
            <w:lang w:val="en-US"/>
          </w:rPr>
          <w:fldChar w:fldCharType="begin"/>
        </w:r>
        <w:r w:rsidR="00603E6E" w:rsidRPr="00ED4D49">
          <w:rPr>
            <w:noProof/>
            <w:webHidden/>
            <w:lang w:val="en-US"/>
          </w:rPr>
          <w:instrText xml:space="preserve"> PAGEREF _Toc25582653 \h </w:instrText>
        </w:r>
        <w:r w:rsidR="00603E6E" w:rsidRPr="00ED4D49">
          <w:rPr>
            <w:noProof/>
            <w:webHidden/>
            <w:lang w:val="en-US"/>
          </w:rPr>
        </w:r>
        <w:r w:rsidR="00603E6E" w:rsidRPr="00ED4D49">
          <w:rPr>
            <w:noProof/>
            <w:webHidden/>
            <w:lang w:val="en-US"/>
          </w:rPr>
          <w:fldChar w:fldCharType="separate"/>
        </w:r>
        <w:r w:rsidR="00F60130" w:rsidRPr="00ED4D49">
          <w:rPr>
            <w:noProof/>
            <w:webHidden/>
            <w:lang w:val="en-US"/>
          </w:rPr>
          <w:t>23</w:t>
        </w:r>
        <w:r w:rsidR="00603E6E" w:rsidRPr="00ED4D49">
          <w:rPr>
            <w:noProof/>
            <w:webHidden/>
            <w:lang w:val="en-US"/>
          </w:rPr>
          <w:fldChar w:fldCharType="end"/>
        </w:r>
      </w:hyperlink>
    </w:p>
    <w:p w14:paraId="01D1ABC3" w14:textId="5B481F55" w:rsidR="00603E6E" w:rsidRPr="00ED4D49" w:rsidRDefault="00000000">
      <w:pPr>
        <w:pStyle w:val="TableofFigures"/>
        <w:tabs>
          <w:tab w:val="right" w:leader="dot" w:pos="9010"/>
        </w:tabs>
        <w:rPr>
          <w:rFonts w:asciiTheme="minorHAnsi" w:eastAsiaTheme="minorEastAsia" w:hAnsiTheme="minorHAnsi" w:cstheme="minorBidi"/>
          <w:i w:val="0"/>
          <w:iCs w:val="0"/>
          <w:noProof/>
          <w:sz w:val="24"/>
          <w:szCs w:val="24"/>
          <w:lang w:val="en-US" w:eastAsia="en-GB"/>
        </w:rPr>
      </w:pPr>
      <w:hyperlink w:anchor="_Toc25582654" w:history="1">
        <w:r w:rsidR="00603E6E" w:rsidRPr="00ED4D49">
          <w:rPr>
            <w:rStyle w:val="Hyperlink"/>
            <w:noProof/>
            <w:lang w:val="en-US"/>
          </w:rPr>
          <w:t>Figure 8: Protected areas in the Sava River Basin in BiH</w:t>
        </w:r>
        <w:r w:rsidR="00603E6E" w:rsidRPr="00ED4D49">
          <w:rPr>
            <w:noProof/>
            <w:webHidden/>
            <w:lang w:val="en-US"/>
          </w:rPr>
          <w:tab/>
        </w:r>
        <w:r w:rsidR="00603E6E" w:rsidRPr="00ED4D49">
          <w:rPr>
            <w:noProof/>
            <w:webHidden/>
            <w:lang w:val="en-US"/>
          </w:rPr>
          <w:fldChar w:fldCharType="begin"/>
        </w:r>
        <w:r w:rsidR="00603E6E" w:rsidRPr="00ED4D49">
          <w:rPr>
            <w:noProof/>
            <w:webHidden/>
            <w:lang w:val="en-US"/>
          </w:rPr>
          <w:instrText xml:space="preserve"> PAGEREF _Toc25582654 \h </w:instrText>
        </w:r>
        <w:r w:rsidR="00603E6E" w:rsidRPr="00ED4D49">
          <w:rPr>
            <w:noProof/>
            <w:webHidden/>
            <w:lang w:val="en-US"/>
          </w:rPr>
        </w:r>
        <w:r w:rsidR="00603E6E" w:rsidRPr="00ED4D49">
          <w:rPr>
            <w:noProof/>
            <w:webHidden/>
            <w:lang w:val="en-US"/>
          </w:rPr>
          <w:fldChar w:fldCharType="separate"/>
        </w:r>
        <w:r w:rsidR="00F60130" w:rsidRPr="00ED4D49">
          <w:rPr>
            <w:noProof/>
            <w:webHidden/>
            <w:lang w:val="en-US"/>
          </w:rPr>
          <w:t>27</w:t>
        </w:r>
        <w:r w:rsidR="00603E6E" w:rsidRPr="00ED4D49">
          <w:rPr>
            <w:noProof/>
            <w:webHidden/>
            <w:lang w:val="en-US"/>
          </w:rPr>
          <w:fldChar w:fldCharType="end"/>
        </w:r>
      </w:hyperlink>
    </w:p>
    <w:p w14:paraId="63B6F73C" w14:textId="73531B16" w:rsidR="00603E6E" w:rsidRPr="00ED4D49" w:rsidRDefault="00000000">
      <w:pPr>
        <w:pStyle w:val="TableofFigures"/>
        <w:tabs>
          <w:tab w:val="right" w:leader="dot" w:pos="9010"/>
        </w:tabs>
        <w:rPr>
          <w:rFonts w:asciiTheme="minorHAnsi" w:eastAsiaTheme="minorEastAsia" w:hAnsiTheme="minorHAnsi" w:cstheme="minorBidi"/>
          <w:i w:val="0"/>
          <w:iCs w:val="0"/>
          <w:noProof/>
          <w:sz w:val="24"/>
          <w:szCs w:val="24"/>
          <w:lang w:val="en-US" w:eastAsia="en-GB"/>
        </w:rPr>
      </w:pPr>
      <w:hyperlink w:anchor="_Toc25582655" w:history="1">
        <w:r w:rsidR="00603E6E" w:rsidRPr="00ED4D49">
          <w:rPr>
            <w:rStyle w:val="Hyperlink"/>
            <w:rFonts w:cs="Calibri"/>
            <w:noProof/>
            <w:lang w:val="en-US"/>
          </w:rPr>
          <w:t>Figure 9: Assessing Due Diligence on Subprojects</w:t>
        </w:r>
        <w:r w:rsidR="00603E6E" w:rsidRPr="00ED4D49">
          <w:rPr>
            <w:noProof/>
            <w:webHidden/>
            <w:lang w:val="en-US"/>
          </w:rPr>
          <w:tab/>
        </w:r>
        <w:r w:rsidR="00603E6E" w:rsidRPr="00ED4D49">
          <w:rPr>
            <w:noProof/>
            <w:webHidden/>
            <w:lang w:val="en-US"/>
          </w:rPr>
          <w:fldChar w:fldCharType="begin"/>
        </w:r>
        <w:r w:rsidR="00603E6E" w:rsidRPr="00ED4D49">
          <w:rPr>
            <w:noProof/>
            <w:webHidden/>
            <w:lang w:val="en-US"/>
          </w:rPr>
          <w:instrText xml:space="preserve"> PAGEREF _Toc25582655 \h </w:instrText>
        </w:r>
        <w:r w:rsidR="00603E6E" w:rsidRPr="00ED4D49">
          <w:rPr>
            <w:noProof/>
            <w:webHidden/>
            <w:lang w:val="en-US"/>
          </w:rPr>
        </w:r>
        <w:r w:rsidR="00603E6E" w:rsidRPr="00ED4D49">
          <w:rPr>
            <w:noProof/>
            <w:webHidden/>
            <w:lang w:val="en-US"/>
          </w:rPr>
          <w:fldChar w:fldCharType="separate"/>
        </w:r>
        <w:r w:rsidR="00F60130" w:rsidRPr="00ED4D49">
          <w:rPr>
            <w:noProof/>
            <w:webHidden/>
            <w:lang w:val="en-US"/>
          </w:rPr>
          <w:t>72</w:t>
        </w:r>
        <w:r w:rsidR="00603E6E" w:rsidRPr="00ED4D49">
          <w:rPr>
            <w:noProof/>
            <w:webHidden/>
            <w:lang w:val="en-US"/>
          </w:rPr>
          <w:fldChar w:fldCharType="end"/>
        </w:r>
      </w:hyperlink>
    </w:p>
    <w:p w14:paraId="64AB24A5" w14:textId="7D3796C2" w:rsidR="00A76BEC" w:rsidRPr="00ED4D49" w:rsidRDefault="00A76BEC" w:rsidP="004B40B5">
      <w:pPr>
        <w:spacing w:before="0" w:after="360"/>
        <w:rPr>
          <w:rFonts w:cs="Calibri"/>
          <w:bCs/>
          <w:color w:val="1F497D"/>
          <w:sz w:val="24"/>
          <w:szCs w:val="28"/>
          <w:lang w:val="en-US"/>
        </w:rPr>
      </w:pPr>
      <w:r w:rsidRPr="00ED4D49">
        <w:rPr>
          <w:rFonts w:cs="Calibri"/>
          <w:bCs/>
          <w:color w:val="1F497D"/>
          <w:sz w:val="24"/>
          <w:szCs w:val="28"/>
          <w:lang w:val="en-US"/>
        </w:rPr>
        <w:fldChar w:fldCharType="end"/>
      </w:r>
      <w:r w:rsidR="001D58ED" w:rsidRPr="00ED4D49">
        <w:rPr>
          <w:rFonts w:cs="Calibri"/>
          <w:bCs/>
          <w:color w:val="1F497D"/>
          <w:sz w:val="24"/>
          <w:szCs w:val="28"/>
          <w:lang w:val="en-US"/>
        </w:rPr>
        <w:tab/>
      </w:r>
      <w:r w:rsidR="008A0FEC" w:rsidRPr="00ED4D49">
        <w:rPr>
          <w:rFonts w:cs="Calibri"/>
          <w:bCs/>
          <w:color w:val="1F497D"/>
          <w:sz w:val="24"/>
          <w:szCs w:val="28"/>
          <w:lang w:val="en-US"/>
        </w:rPr>
        <w:br w:type="page"/>
      </w:r>
    </w:p>
    <w:p w14:paraId="72BF46B6" w14:textId="710B96F5" w:rsidR="00C71170" w:rsidRPr="00ED4D49" w:rsidRDefault="00E96E36" w:rsidP="004B40B5">
      <w:pPr>
        <w:spacing w:before="0" w:after="360"/>
        <w:rPr>
          <w:rFonts w:cs="Calibri"/>
          <w:bCs/>
          <w:color w:val="1F497D"/>
          <w:sz w:val="24"/>
          <w:szCs w:val="28"/>
          <w:lang w:val="en-US"/>
        </w:rPr>
      </w:pPr>
      <w:r w:rsidRPr="00ED4D49">
        <w:rPr>
          <w:rFonts w:cs="Calibri"/>
          <w:bCs/>
          <w:color w:val="1F497D"/>
          <w:sz w:val="24"/>
          <w:szCs w:val="28"/>
          <w:lang w:val="en-US"/>
        </w:rPr>
        <w:lastRenderedPageBreak/>
        <w:t xml:space="preserve">Abbreviations </w:t>
      </w:r>
    </w:p>
    <w:tbl>
      <w:tblPr>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1559"/>
        <w:gridCol w:w="7451"/>
      </w:tblGrid>
      <w:tr w:rsidR="005323C6" w:rsidRPr="00ED4D49" w14:paraId="6C58AB2F" w14:textId="77777777" w:rsidTr="008C5289">
        <w:tc>
          <w:tcPr>
            <w:tcW w:w="865" w:type="pct"/>
            <w:shd w:val="clear" w:color="auto" w:fill="auto"/>
          </w:tcPr>
          <w:p w14:paraId="4783CF61" w14:textId="7A57EE8D" w:rsidR="005323C6" w:rsidRPr="00ED4D49" w:rsidRDefault="005323C6" w:rsidP="007B2B4B">
            <w:pPr>
              <w:spacing w:before="0" w:after="0"/>
              <w:ind w:left="144" w:right="144"/>
              <w:rPr>
                <w:rFonts w:cs="Calibri"/>
                <w:szCs w:val="20"/>
                <w:lang w:val="en-US"/>
              </w:rPr>
            </w:pPr>
            <w:proofErr w:type="spellStart"/>
            <w:r w:rsidRPr="00ED4D49">
              <w:rPr>
                <w:rFonts w:cs="Calibri"/>
                <w:szCs w:val="20"/>
                <w:lang w:val="en-US"/>
              </w:rPr>
              <w:t>a.s.l</w:t>
            </w:r>
            <w:proofErr w:type="spellEnd"/>
            <w:r w:rsidRPr="00ED4D49">
              <w:rPr>
                <w:rFonts w:cs="Calibri"/>
                <w:szCs w:val="20"/>
                <w:lang w:val="en-US"/>
              </w:rPr>
              <w:t>.</w:t>
            </w:r>
          </w:p>
        </w:tc>
        <w:tc>
          <w:tcPr>
            <w:tcW w:w="4135" w:type="pct"/>
            <w:shd w:val="clear" w:color="auto" w:fill="auto"/>
          </w:tcPr>
          <w:p w14:paraId="26B79841" w14:textId="5A491208" w:rsidR="005323C6" w:rsidRPr="00ED4D49" w:rsidRDefault="005323C6" w:rsidP="007B2B4B">
            <w:pPr>
              <w:spacing w:before="0" w:after="0"/>
              <w:ind w:left="144" w:right="144"/>
              <w:rPr>
                <w:rFonts w:cs="Calibri"/>
                <w:szCs w:val="20"/>
                <w:lang w:val="en-US"/>
              </w:rPr>
            </w:pPr>
            <w:r w:rsidRPr="00ED4D49">
              <w:rPr>
                <w:rFonts w:cs="Calibri"/>
                <w:szCs w:val="20"/>
                <w:lang w:val="en-US"/>
              </w:rPr>
              <w:t>Above sea level</w:t>
            </w:r>
          </w:p>
        </w:tc>
      </w:tr>
      <w:tr w:rsidR="00D368B6" w:rsidRPr="00ED4D49" w14:paraId="26DF8FAE" w14:textId="77777777" w:rsidTr="008C5289">
        <w:tc>
          <w:tcPr>
            <w:tcW w:w="865" w:type="pct"/>
            <w:shd w:val="clear" w:color="auto" w:fill="auto"/>
          </w:tcPr>
          <w:p w14:paraId="66C41840" w14:textId="77777777" w:rsidR="00D368B6" w:rsidRPr="00ED4D49" w:rsidRDefault="00D368B6" w:rsidP="007B2B4B">
            <w:pPr>
              <w:spacing w:before="0" w:after="0"/>
              <w:ind w:left="144" w:right="144"/>
              <w:rPr>
                <w:rFonts w:cs="Calibri"/>
                <w:szCs w:val="20"/>
                <w:lang w:val="en-US"/>
              </w:rPr>
            </w:pPr>
            <w:r w:rsidRPr="00ED4D49">
              <w:rPr>
                <w:rFonts w:cs="Calibri"/>
                <w:szCs w:val="20"/>
                <w:lang w:val="en-US"/>
              </w:rPr>
              <w:t>BD</w:t>
            </w:r>
          </w:p>
        </w:tc>
        <w:tc>
          <w:tcPr>
            <w:tcW w:w="4135" w:type="pct"/>
            <w:shd w:val="clear" w:color="auto" w:fill="auto"/>
          </w:tcPr>
          <w:p w14:paraId="0BE337C7" w14:textId="77777777" w:rsidR="00D368B6" w:rsidRPr="00ED4D49" w:rsidRDefault="00D368B6" w:rsidP="007B2B4B">
            <w:pPr>
              <w:spacing w:before="0" w:after="0"/>
              <w:ind w:left="144" w:right="144"/>
              <w:rPr>
                <w:rFonts w:cs="Calibri"/>
                <w:szCs w:val="20"/>
                <w:lang w:val="en-US"/>
              </w:rPr>
            </w:pPr>
            <w:r w:rsidRPr="00ED4D49">
              <w:rPr>
                <w:rFonts w:cs="Calibri"/>
                <w:szCs w:val="20"/>
                <w:lang w:val="en-US"/>
              </w:rPr>
              <w:t>Brcko District</w:t>
            </w:r>
          </w:p>
        </w:tc>
      </w:tr>
      <w:tr w:rsidR="00D368B6" w:rsidRPr="00ED4D49" w14:paraId="23D5FFCD" w14:textId="77777777" w:rsidTr="008C5289">
        <w:tc>
          <w:tcPr>
            <w:tcW w:w="865" w:type="pct"/>
            <w:shd w:val="clear" w:color="auto" w:fill="auto"/>
          </w:tcPr>
          <w:p w14:paraId="6997DD80" w14:textId="77777777" w:rsidR="00D368B6" w:rsidRPr="00ED4D49" w:rsidRDefault="00D368B6" w:rsidP="007B2B4B">
            <w:pPr>
              <w:spacing w:before="0" w:after="0"/>
              <w:ind w:left="144" w:right="144"/>
              <w:rPr>
                <w:rFonts w:cs="Calibri"/>
                <w:szCs w:val="20"/>
                <w:lang w:val="en-US"/>
              </w:rPr>
            </w:pPr>
            <w:r w:rsidRPr="00ED4D49">
              <w:rPr>
                <w:rFonts w:cs="Calibri"/>
                <w:szCs w:val="20"/>
                <w:lang w:val="en-US"/>
              </w:rPr>
              <w:t>BiH</w:t>
            </w:r>
          </w:p>
        </w:tc>
        <w:tc>
          <w:tcPr>
            <w:tcW w:w="4135" w:type="pct"/>
            <w:shd w:val="clear" w:color="auto" w:fill="auto"/>
          </w:tcPr>
          <w:p w14:paraId="021968CC" w14:textId="77777777" w:rsidR="00D368B6" w:rsidRPr="00ED4D49" w:rsidRDefault="00D368B6" w:rsidP="007B2B4B">
            <w:pPr>
              <w:spacing w:before="0" w:after="0"/>
              <w:ind w:left="144" w:right="144"/>
              <w:rPr>
                <w:rFonts w:cs="Calibri"/>
                <w:szCs w:val="20"/>
                <w:lang w:val="en-US"/>
              </w:rPr>
            </w:pPr>
            <w:r w:rsidRPr="00ED4D49">
              <w:rPr>
                <w:rFonts w:cs="Calibri"/>
                <w:szCs w:val="20"/>
                <w:lang w:val="en-US"/>
              </w:rPr>
              <w:t xml:space="preserve">Bosnia and Herzegovina </w:t>
            </w:r>
          </w:p>
        </w:tc>
      </w:tr>
      <w:tr w:rsidR="001A6DE7" w:rsidRPr="00ED4D49" w14:paraId="2011E161" w14:textId="77777777" w:rsidTr="008C5289">
        <w:tc>
          <w:tcPr>
            <w:tcW w:w="865" w:type="pct"/>
            <w:shd w:val="clear" w:color="auto" w:fill="auto"/>
          </w:tcPr>
          <w:p w14:paraId="207E439F" w14:textId="33C8BD68" w:rsidR="001A6DE7" w:rsidRPr="00ED4D49" w:rsidRDefault="001A6DE7" w:rsidP="007B2B4B">
            <w:pPr>
              <w:spacing w:before="0" w:after="0"/>
              <w:ind w:left="144" w:right="144"/>
              <w:rPr>
                <w:rFonts w:cs="Calibri"/>
                <w:szCs w:val="20"/>
                <w:lang w:val="en-US"/>
              </w:rPr>
            </w:pPr>
            <w:r w:rsidRPr="00ED4D49">
              <w:rPr>
                <w:rFonts w:cs="Calibri"/>
                <w:szCs w:val="20"/>
                <w:lang w:val="en-US"/>
              </w:rPr>
              <w:t>BOD</w:t>
            </w:r>
          </w:p>
        </w:tc>
        <w:tc>
          <w:tcPr>
            <w:tcW w:w="4135" w:type="pct"/>
            <w:shd w:val="clear" w:color="auto" w:fill="auto"/>
          </w:tcPr>
          <w:p w14:paraId="26F5001B" w14:textId="2E6939E8" w:rsidR="001A6DE7" w:rsidRPr="00ED4D49" w:rsidRDefault="001A6DE7" w:rsidP="007B2B4B">
            <w:pPr>
              <w:spacing w:before="0" w:after="0"/>
              <w:ind w:left="144" w:right="144"/>
              <w:rPr>
                <w:rFonts w:cs="Calibri"/>
                <w:szCs w:val="20"/>
                <w:lang w:val="en-US"/>
              </w:rPr>
            </w:pPr>
            <w:r w:rsidRPr="00ED4D49">
              <w:rPr>
                <w:rFonts w:cs="Calibri"/>
                <w:szCs w:val="20"/>
                <w:lang w:val="en-US"/>
              </w:rPr>
              <w:t>Biological Oxygen Demand</w:t>
            </w:r>
          </w:p>
        </w:tc>
      </w:tr>
      <w:tr w:rsidR="006D467A" w:rsidRPr="00ED4D49" w14:paraId="4AB069BC" w14:textId="77777777" w:rsidTr="008C5289">
        <w:tc>
          <w:tcPr>
            <w:tcW w:w="865" w:type="pct"/>
            <w:shd w:val="clear" w:color="auto" w:fill="auto"/>
          </w:tcPr>
          <w:p w14:paraId="27B3472B" w14:textId="1497C7F2" w:rsidR="006D467A" w:rsidRPr="00ED4D49" w:rsidRDefault="006D467A" w:rsidP="007B2B4B">
            <w:pPr>
              <w:spacing w:before="0" w:after="0"/>
              <w:ind w:left="144" w:right="144"/>
              <w:rPr>
                <w:rFonts w:cs="Calibri"/>
                <w:szCs w:val="20"/>
                <w:lang w:val="en-US"/>
              </w:rPr>
            </w:pPr>
            <w:r w:rsidRPr="00ED4D49">
              <w:rPr>
                <w:rFonts w:cs="Calibri"/>
                <w:szCs w:val="20"/>
                <w:lang w:val="en-US"/>
              </w:rPr>
              <w:t>DSPPA</w:t>
            </w:r>
          </w:p>
        </w:tc>
        <w:tc>
          <w:tcPr>
            <w:tcW w:w="4135" w:type="pct"/>
            <w:shd w:val="clear" w:color="auto" w:fill="auto"/>
          </w:tcPr>
          <w:p w14:paraId="23BDFD70" w14:textId="0997085B" w:rsidR="006D467A" w:rsidRPr="00ED4D49" w:rsidRDefault="006D467A" w:rsidP="007B2B4B">
            <w:pPr>
              <w:spacing w:before="0" w:after="0"/>
              <w:ind w:left="144" w:right="144"/>
              <w:rPr>
                <w:rFonts w:cs="Calibri"/>
                <w:szCs w:val="20"/>
                <w:lang w:val="en-US"/>
              </w:rPr>
            </w:pPr>
            <w:r w:rsidRPr="00ED4D49">
              <w:rPr>
                <w:rFonts w:cs="Calibri"/>
                <w:szCs w:val="20"/>
                <w:lang w:val="en-US"/>
              </w:rPr>
              <w:t>Department of Spatial Planning and Property Affairs of Brcko District</w:t>
            </w:r>
          </w:p>
        </w:tc>
      </w:tr>
      <w:tr w:rsidR="001A6DE7" w:rsidRPr="00ED4D49" w14:paraId="7F69C741" w14:textId="77777777" w:rsidTr="008C5289">
        <w:tc>
          <w:tcPr>
            <w:tcW w:w="865" w:type="pct"/>
            <w:shd w:val="clear" w:color="auto" w:fill="auto"/>
          </w:tcPr>
          <w:p w14:paraId="06C0760B" w14:textId="0555FB43" w:rsidR="001A6DE7" w:rsidRPr="00ED4D49" w:rsidRDefault="001A6DE7" w:rsidP="007B2B4B">
            <w:pPr>
              <w:spacing w:before="0" w:after="0"/>
              <w:ind w:left="144" w:right="144"/>
              <w:rPr>
                <w:rFonts w:cs="Calibri"/>
                <w:szCs w:val="20"/>
                <w:lang w:val="en-US"/>
              </w:rPr>
            </w:pPr>
            <w:r w:rsidRPr="00ED4D49">
              <w:rPr>
                <w:rFonts w:cs="Calibri"/>
                <w:szCs w:val="20"/>
                <w:lang w:val="en-US"/>
              </w:rPr>
              <w:t>DRB</w:t>
            </w:r>
          </w:p>
        </w:tc>
        <w:tc>
          <w:tcPr>
            <w:tcW w:w="4135" w:type="pct"/>
            <w:shd w:val="clear" w:color="auto" w:fill="auto"/>
          </w:tcPr>
          <w:p w14:paraId="207D3BBF" w14:textId="4A9D88C4" w:rsidR="001A6DE7" w:rsidRPr="00ED4D49" w:rsidRDefault="001A6DE7" w:rsidP="007B2B4B">
            <w:pPr>
              <w:spacing w:before="0" w:after="0"/>
              <w:ind w:left="144" w:right="144"/>
              <w:rPr>
                <w:rFonts w:cs="Calibri"/>
                <w:szCs w:val="20"/>
                <w:lang w:val="en-US"/>
              </w:rPr>
            </w:pPr>
            <w:r w:rsidRPr="00ED4D49">
              <w:rPr>
                <w:rFonts w:cs="Calibri"/>
                <w:szCs w:val="20"/>
                <w:lang w:val="en-US"/>
              </w:rPr>
              <w:t>Drina River Basin</w:t>
            </w:r>
          </w:p>
        </w:tc>
      </w:tr>
      <w:tr w:rsidR="00D368B6" w:rsidRPr="00ED4D49" w14:paraId="23338285" w14:textId="77777777" w:rsidTr="008C5289">
        <w:tc>
          <w:tcPr>
            <w:tcW w:w="865" w:type="pct"/>
            <w:shd w:val="clear" w:color="auto" w:fill="auto"/>
          </w:tcPr>
          <w:p w14:paraId="63C31CF6" w14:textId="77777777" w:rsidR="00D368B6" w:rsidRPr="00ED4D49" w:rsidRDefault="00D368B6" w:rsidP="007B2B4B">
            <w:pPr>
              <w:spacing w:before="0" w:after="0"/>
              <w:ind w:left="144" w:right="144"/>
              <w:rPr>
                <w:rFonts w:cs="Calibri"/>
                <w:szCs w:val="20"/>
                <w:lang w:val="en-US"/>
              </w:rPr>
            </w:pPr>
            <w:r w:rsidRPr="00ED4D49">
              <w:rPr>
                <w:rStyle w:val="tlid-translation"/>
                <w:rFonts w:cs="Calibri"/>
                <w:lang w:val="en-US"/>
              </w:rPr>
              <w:t>E&amp;S</w:t>
            </w:r>
          </w:p>
        </w:tc>
        <w:tc>
          <w:tcPr>
            <w:tcW w:w="4135" w:type="pct"/>
            <w:shd w:val="clear" w:color="auto" w:fill="auto"/>
          </w:tcPr>
          <w:p w14:paraId="4F3AF0C5" w14:textId="77777777" w:rsidR="00D368B6" w:rsidRPr="00ED4D49" w:rsidRDefault="00D368B6" w:rsidP="007B2B4B">
            <w:pPr>
              <w:spacing w:before="0" w:after="0"/>
              <w:ind w:left="144" w:right="144"/>
              <w:rPr>
                <w:rFonts w:cs="Calibri"/>
                <w:szCs w:val="20"/>
                <w:lang w:val="en-US"/>
              </w:rPr>
            </w:pPr>
            <w:r w:rsidRPr="00ED4D49">
              <w:rPr>
                <w:rFonts w:cs="Calibri"/>
                <w:szCs w:val="20"/>
                <w:lang w:val="en-US"/>
              </w:rPr>
              <w:t>E</w:t>
            </w:r>
            <w:r w:rsidRPr="00ED4D49">
              <w:rPr>
                <w:szCs w:val="20"/>
                <w:lang w:val="en-US"/>
              </w:rPr>
              <w:t>nvironmental and Social</w:t>
            </w:r>
          </w:p>
        </w:tc>
      </w:tr>
      <w:tr w:rsidR="001A6DE7" w:rsidRPr="00ED4D49" w14:paraId="24496007" w14:textId="77777777" w:rsidTr="008C5289">
        <w:tc>
          <w:tcPr>
            <w:tcW w:w="865" w:type="pct"/>
            <w:shd w:val="clear" w:color="auto" w:fill="auto"/>
          </w:tcPr>
          <w:p w14:paraId="6A64B6E4" w14:textId="3388F7E2" w:rsidR="001A6DE7" w:rsidRPr="00ED4D49" w:rsidRDefault="001A6DE7" w:rsidP="007B2B4B">
            <w:pPr>
              <w:spacing w:before="0" w:after="0"/>
              <w:ind w:left="144" w:right="144"/>
              <w:rPr>
                <w:rStyle w:val="tlid-translation"/>
                <w:rFonts w:cs="Calibri"/>
                <w:lang w:val="en-US"/>
              </w:rPr>
            </w:pPr>
            <w:r w:rsidRPr="00ED4D49">
              <w:rPr>
                <w:rStyle w:val="tlid-translation"/>
                <w:rFonts w:cs="Calibri"/>
                <w:lang w:val="en-US"/>
              </w:rPr>
              <w:t>EEA</w:t>
            </w:r>
          </w:p>
        </w:tc>
        <w:tc>
          <w:tcPr>
            <w:tcW w:w="4135" w:type="pct"/>
            <w:shd w:val="clear" w:color="auto" w:fill="auto"/>
          </w:tcPr>
          <w:p w14:paraId="34C9297D" w14:textId="2E6D49FE" w:rsidR="001A6DE7" w:rsidRPr="00ED4D49" w:rsidRDefault="001A6DE7" w:rsidP="007B2B4B">
            <w:pPr>
              <w:spacing w:before="0" w:after="0"/>
              <w:ind w:left="144" w:right="144"/>
              <w:rPr>
                <w:rFonts w:cs="Calibri"/>
                <w:szCs w:val="20"/>
                <w:lang w:val="en-US"/>
              </w:rPr>
            </w:pPr>
            <w:r w:rsidRPr="00ED4D49">
              <w:rPr>
                <w:rFonts w:cs="Calibri"/>
                <w:szCs w:val="20"/>
                <w:lang w:val="en-US"/>
              </w:rPr>
              <w:t>European Environmental Agency</w:t>
            </w:r>
          </w:p>
        </w:tc>
      </w:tr>
      <w:tr w:rsidR="00DA00BD" w:rsidRPr="00ED4D49" w14:paraId="5485B013" w14:textId="77777777" w:rsidTr="008C5289">
        <w:tc>
          <w:tcPr>
            <w:tcW w:w="865" w:type="pct"/>
            <w:shd w:val="clear" w:color="auto" w:fill="auto"/>
          </w:tcPr>
          <w:p w14:paraId="1367FB21" w14:textId="648E71B0" w:rsidR="00DA00BD" w:rsidRPr="00ED4D49" w:rsidRDefault="00DA00BD" w:rsidP="00DA00BD">
            <w:pPr>
              <w:spacing w:before="0" w:after="0"/>
              <w:ind w:left="144" w:right="144"/>
              <w:rPr>
                <w:rStyle w:val="tlid-translation"/>
                <w:rFonts w:cs="Calibri"/>
                <w:lang w:val="en-US"/>
              </w:rPr>
            </w:pPr>
            <w:r w:rsidRPr="00ED4D49">
              <w:rPr>
                <w:rFonts w:cs="Calibri"/>
                <w:szCs w:val="20"/>
                <w:lang w:val="en-US"/>
              </w:rPr>
              <w:t>EIA</w:t>
            </w:r>
          </w:p>
        </w:tc>
        <w:tc>
          <w:tcPr>
            <w:tcW w:w="4135" w:type="pct"/>
            <w:shd w:val="clear" w:color="auto" w:fill="auto"/>
          </w:tcPr>
          <w:p w14:paraId="1719D178" w14:textId="47AC4F3E" w:rsidR="00DA00BD" w:rsidRPr="00ED4D49" w:rsidRDefault="00DA00BD" w:rsidP="00DA00BD">
            <w:pPr>
              <w:spacing w:before="0" w:after="0"/>
              <w:ind w:left="144" w:right="144"/>
              <w:rPr>
                <w:rFonts w:cs="Calibri"/>
                <w:szCs w:val="20"/>
                <w:lang w:val="en-US"/>
              </w:rPr>
            </w:pPr>
            <w:r w:rsidRPr="00ED4D49">
              <w:rPr>
                <w:rFonts w:cs="Calibri"/>
                <w:szCs w:val="20"/>
                <w:lang w:val="en-US"/>
              </w:rPr>
              <w:t xml:space="preserve">Environmental Impact Assessment </w:t>
            </w:r>
          </w:p>
        </w:tc>
      </w:tr>
      <w:tr w:rsidR="00A05FF7" w:rsidRPr="00ED4D49" w14:paraId="154208AF" w14:textId="77777777" w:rsidTr="008C5289">
        <w:tc>
          <w:tcPr>
            <w:tcW w:w="865" w:type="pct"/>
            <w:shd w:val="clear" w:color="auto" w:fill="auto"/>
          </w:tcPr>
          <w:p w14:paraId="77144F3A" w14:textId="7087D9D8" w:rsidR="00A05FF7" w:rsidRPr="00ED4D49" w:rsidRDefault="00A05FF7" w:rsidP="00A05FF7">
            <w:pPr>
              <w:spacing w:before="0" w:after="0"/>
              <w:ind w:left="144" w:right="144"/>
              <w:rPr>
                <w:rFonts w:cs="Calibri"/>
                <w:szCs w:val="20"/>
                <w:lang w:val="en-US"/>
              </w:rPr>
            </w:pPr>
            <w:r w:rsidRPr="00ED4D49">
              <w:rPr>
                <w:rFonts w:cs="Calibri"/>
                <w:szCs w:val="20"/>
                <w:lang w:val="en-US"/>
              </w:rPr>
              <w:t>EHSG</w:t>
            </w:r>
          </w:p>
        </w:tc>
        <w:tc>
          <w:tcPr>
            <w:tcW w:w="4135" w:type="pct"/>
            <w:shd w:val="clear" w:color="auto" w:fill="auto"/>
          </w:tcPr>
          <w:p w14:paraId="61304E8B" w14:textId="281B9221" w:rsidR="00A05FF7" w:rsidRPr="00ED4D49" w:rsidRDefault="00A05FF7" w:rsidP="00A05FF7">
            <w:pPr>
              <w:spacing w:before="0" w:after="0"/>
              <w:ind w:left="144" w:right="144"/>
              <w:rPr>
                <w:rFonts w:cs="Calibri"/>
                <w:szCs w:val="20"/>
                <w:lang w:val="en-US"/>
              </w:rPr>
            </w:pPr>
            <w:r w:rsidRPr="00ED4D49">
              <w:rPr>
                <w:lang w:val="en-US"/>
              </w:rPr>
              <w:t>World Bank Group Environmental, Health and Safety Guidelines</w:t>
            </w:r>
          </w:p>
        </w:tc>
      </w:tr>
      <w:tr w:rsidR="00DA00BD" w:rsidRPr="00ED4D49" w14:paraId="78A84280" w14:textId="77777777" w:rsidTr="008C5289">
        <w:tc>
          <w:tcPr>
            <w:tcW w:w="865" w:type="pct"/>
            <w:shd w:val="clear" w:color="auto" w:fill="auto"/>
          </w:tcPr>
          <w:p w14:paraId="17857926" w14:textId="6A0C28DA" w:rsidR="00DA00BD" w:rsidRPr="00ED4D49" w:rsidRDefault="00DA00BD" w:rsidP="00DA00BD">
            <w:pPr>
              <w:spacing w:before="0" w:after="0"/>
              <w:ind w:left="144" w:right="144"/>
              <w:rPr>
                <w:rStyle w:val="tlid-translation"/>
                <w:rFonts w:cs="Calibri"/>
                <w:lang w:val="en-US"/>
              </w:rPr>
            </w:pPr>
            <w:r w:rsidRPr="00ED4D49">
              <w:rPr>
                <w:rFonts w:cs="Calibri"/>
                <w:szCs w:val="20"/>
                <w:lang w:val="en-US"/>
              </w:rPr>
              <w:t>ESCP</w:t>
            </w:r>
          </w:p>
        </w:tc>
        <w:tc>
          <w:tcPr>
            <w:tcW w:w="4135" w:type="pct"/>
            <w:shd w:val="clear" w:color="auto" w:fill="auto"/>
          </w:tcPr>
          <w:p w14:paraId="76857361" w14:textId="6E4730D3" w:rsidR="00DA00BD" w:rsidRPr="00ED4D49" w:rsidRDefault="00DA00BD" w:rsidP="00DA00BD">
            <w:pPr>
              <w:spacing w:before="0" w:after="0"/>
              <w:ind w:left="144" w:right="144"/>
              <w:rPr>
                <w:rFonts w:cs="Calibri"/>
                <w:szCs w:val="20"/>
                <w:lang w:val="en-US"/>
              </w:rPr>
            </w:pPr>
            <w:r w:rsidRPr="00ED4D49">
              <w:rPr>
                <w:rFonts w:eastAsia="Corbel" w:cs="Calibri"/>
                <w:szCs w:val="20"/>
                <w:lang w:val="en-US"/>
              </w:rPr>
              <w:t>Environmental and Social Commitment Plan</w:t>
            </w:r>
          </w:p>
        </w:tc>
      </w:tr>
      <w:tr w:rsidR="00DA00BD" w:rsidRPr="00ED4D49" w14:paraId="6C3CCBD2" w14:textId="77777777" w:rsidTr="008C5289">
        <w:tc>
          <w:tcPr>
            <w:tcW w:w="865" w:type="pct"/>
            <w:shd w:val="clear" w:color="auto" w:fill="auto"/>
          </w:tcPr>
          <w:p w14:paraId="756FD8E4" w14:textId="35704B4B" w:rsidR="00DA00BD" w:rsidRPr="00ED4D49" w:rsidRDefault="00DA00BD" w:rsidP="00DA00BD">
            <w:pPr>
              <w:spacing w:before="0" w:after="0"/>
              <w:ind w:left="144" w:right="144"/>
              <w:rPr>
                <w:rStyle w:val="tlid-translation"/>
                <w:rFonts w:cs="Calibri"/>
                <w:lang w:val="en-US"/>
              </w:rPr>
            </w:pPr>
            <w:r w:rsidRPr="00ED4D49">
              <w:rPr>
                <w:rStyle w:val="tlid-translation"/>
                <w:rFonts w:cs="Calibri"/>
                <w:lang w:val="en-US"/>
              </w:rPr>
              <w:t>ESMF</w:t>
            </w:r>
          </w:p>
        </w:tc>
        <w:tc>
          <w:tcPr>
            <w:tcW w:w="4135" w:type="pct"/>
            <w:shd w:val="clear" w:color="auto" w:fill="auto"/>
          </w:tcPr>
          <w:p w14:paraId="5EE0AC3F" w14:textId="65238732" w:rsidR="00DA00BD" w:rsidRPr="00ED4D49" w:rsidRDefault="00DA00BD" w:rsidP="00DA00BD">
            <w:pPr>
              <w:spacing w:before="0" w:after="0"/>
              <w:ind w:left="144" w:right="144"/>
              <w:rPr>
                <w:rFonts w:cs="Calibri"/>
                <w:szCs w:val="20"/>
                <w:lang w:val="en-US"/>
              </w:rPr>
            </w:pPr>
            <w:r w:rsidRPr="00ED4D49">
              <w:rPr>
                <w:rFonts w:cs="Calibri"/>
                <w:szCs w:val="20"/>
                <w:lang w:val="en-US"/>
              </w:rPr>
              <w:t>E</w:t>
            </w:r>
            <w:r w:rsidRPr="00ED4D49">
              <w:rPr>
                <w:szCs w:val="20"/>
                <w:lang w:val="en-US"/>
              </w:rPr>
              <w:t>nvironmental and Social Management Framework</w:t>
            </w:r>
          </w:p>
        </w:tc>
      </w:tr>
      <w:tr w:rsidR="001A6DE7" w:rsidRPr="00ED4D49" w14:paraId="7A9896FB" w14:textId="77777777" w:rsidTr="008C5289">
        <w:tc>
          <w:tcPr>
            <w:tcW w:w="865" w:type="pct"/>
            <w:shd w:val="clear" w:color="auto" w:fill="auto"/>
          </w:tcPr>
          <w:p w14:paraId="3A6EEE66" w14:textId="142F8B4D" w:rsidR="001A6DE7" w:rsidRPr="00ED4D49" w:rsidRDefault="001A6DE7" w:rsidP="00DA00BD">
            <w:pPr>
              <w:spacing w:before="0" w:after="0"/>
              <w:ind w:left="144" w:right="144"/>
              <w:rPr>
                <w:rFonts w:cs="Calibri"/>
                <w:szCs w:val="20"/>
                <w:lang w:val="en-US"/>
              </w:rPr>
            </w:pPr>
            <w:r w:rsidRPr="00ED4D49">
              <w:rPr>
                <w:rFonts w:cs="Calibri"/>
                <w:szCs w:val="20"/>
                <w:lang w:val="en-US"/>
              </w:rPr>
              <w:t>ESMAP</w:t>
            </w:r>
          </w:p>
        </w:tc>
        <w:tc>
          <w:tcPr>
            <w:tcW w:w="4135" w:type="pct"/>
            <w:shd w:val="clear" w:color="auto" w:fill="auto"/>
          </w:tcPr>
          <w:p w14:paraId="4CBC9B24" w14:textId="06EC487D" w:rsidR="001A6DE7" w:rsidRPr="00ED4D49" w:rsidRDefault="001A6DE7" w:rsidP="00DA00BD">
            <w:pPr>
              <w:spacing w:before="0" w:after="0"/>
              <w:ind w:left="144" w:right="144"/>
              <w:rPr>
                <w:rFonts w:cs="Calibri"/>
                <w:szCs w:val="20"/>
                <w:lang w:val="en-US"/>
              </w:rPr>
            </w:pPr>
            <w:r w:rsidRPr="00ED4D49">
              <w:rPr>
                <w:rFonts w:cs="Calibri"/>
                <w:szCs w:val="20"/>
                <w:lang w:val="en-US"/>
              </w:rPr>
              <w:t>Energy Sector Management Assistance Program</w:t>
            </w:r>
          </w:p>
        </w:tc>
      </w:tr>
      <w:tr w:rsidR="00DA00BD" w:rsidRPr="00ED4D49" w14:paraId="1C4BC21F" w14:textId="77777777" w:rsidTr="008C5289">
        <w:tc>
          <w:tcPr>
            <w:tcW w:w="865" w:type="pct"/>
            <w:shd w:val="clear" w:color="auto" w:fill="auto"/>
          </w:tcPr>
          <w:p w14:paraId="48558069" w14:textId="5D74DFCB" w:rsidR="00DA00BD" w:rsidRPr="00ED4D49" w:rsidRDefault="00DA00BD" w:rsidP="00DA00BD">
            <w:pPr>
              <w:spacing w:before="0" w:after="0"/>
              <w:ind w:left="144" w:right="144"/>
              <w:rPr>
                <w:rStyle w:val="tlid-translation"/>
                <w:rFonts w:cs="Calibri"/>
                <w:lang w:val="en-US"/>
              </w:rPr>
            </w:pPr>
            <w:r w:rsidRPr="00ED4D49">
              <w:rPr>
                <w:rFonts w:cs="Calibri"/>
                <w:szCs w:val="20"/>
                <w:lang w:val="en-US"/>
              </w:rPr>
              <w:t>ESMP</w:t>
            </w:r>
          </w:p>
        </w:tc>
        <w:tc>
          <w:tcPr>
            <w:tcW w:w="4135" w:type="pct"/>
            <w:shd w:val="clear" w:color="auto" w:fill="auto"/>
          </w:tcPr>
          <w:p w14:paraId="132C0F18" w14:textId="67BA59E4" w:rsidR="00DA00BD" w:rsidRPr="00ED4D49" w:rsidRDefault="00DA00BD" w:rsidP="00DA00BD">
            <w:pPr>
              <w:spacing w:before="0" w:after="0"/>
              <w:ind w:left="144" w:right="144"/>
              <w:rPr>
                <w:rFonts w:cs="Calibri"/>
                <w:szCs w:val="20"/>
                <w:lang w:val="en-US"/>
              </w:rPr>
            </w:pPr>
            <w:r w:rsidRPr="00ED4D49">
              <w:rPr>
                <w:rFonts w:cs="Calibri"/>
                <w:szCs w:val="20"/>
                <w:lang w:val="en-US"/>
              </w:rPr>
              <w:t xml:space="preserve">Environmental and Social Management Plan </w:t>
            </w:r>
          </w:p>
        </w:tc>
      </w:tr>
      <w:tr w:rsidR="00DA00BD" w:rsidRPr="00ED4D49" w14:paraId="036BDF70" w14:textId="77777777" w:rsidTr="008C5289">
        <w:tc>
          <w:tcPr>
            <w:tcW w:w="865" w:type="pct"/>
            <w:shd w:val="clear" w:color="auto" w:fill="auto"/>
          </w:tcPr>
          <w:p w14:paraId="6B8B1A75" w14:textId="3D195E26" w:rsidR="00DA00BD" w:rsidRPr="00ED4D49" w:rsidRDefault="00DA00BD" w:rsidP="00DA00BD">
            <w:pPr>
              <w:spacing w:before="0" w:after="0"/>
              <w:ind w:left="144" w:right="144"/>
              <w:rPr>
                <w:rStyle w:val="tlid-translation"/>
                <w:rFonts w:cs="Calibri"/>
                <w:lang w:val="en-US"/>
              </w:rPr>
            </w:pPr>
            <w:r w:rsidRPr="00ED4D49">
              <w:rPr>
                <w:rFonts w:cs="Calibri"/>
                <w:szCs w:val="20"/>
                <w:lang w:val="en-US"/>
              </w:rPr>
              <w:t>ESSs</w:t>
            </w:r>
          </w:p>
        </w:tc>
        <w:tc>
          <w:tcPr>
            <w:tcW w:w="4135" w:type="pct"/>
            <w:shd w:val="clear" w:color="auto" w:fill="auto"/>
          </w:tcPr>
          <w:p w14:paraId="5282EA85" w14:textId="268DF0DA" w:rsidR="00DA00BD" w:rsidRPr="00ED4D49" w:rsidRDefault="00DA00BD" w:rsidP="00DA00BD">
            <w:pPr>
              <w:spacing w:before="0" w:after="0"/>
              <w:ind w:left="144" w:right="144"/>
              <w:rPr>
                <w:rFonts w:cs="Calibri"/>
                <w:szCs w:val="20"/>
                <w:lang w:val="en-US"/>
              </w:rPr>
            </w:pPr>
            <w:r w:rsidRPr="00ED4D49">
              <w:rPr>
                <w:rFonts w:eastAsia="Corbel" w:cs="Calibri"/>
                <w:szCs w:val="20"/>
                <w:lang w:val="en-US"/>
              </w:rPr>
              <w:t>Environmental and Social Standards</w:t>
            </w:r>
          </w:p>
        </w:tc>
      </w:tr>
      <w:tr w:rsidR="001A6DE7" w:rsidRPr="00ED4D49" w14:paraId="48B3AF99" w14:textId="77777777" w:rsidTr="008C5289">
        <w:tc>
          <w:tcPr>
            <w:tcW w:w="865" w:type="pct"/>
            <w:shd w:val="clear" w:color="auto" w:fill="auto"/>
          </w:tcPr>
          <w:p w14:paraId="426ED493" w14:textId="0058A02B" w:rsidR="001A6DE7" w:rsidRPr="00ED4D49" w:rsidRDefault="001A6DE7" w:rsidP="00DA00BD">
            <w:pPr>
              <w:spacing w:before="0" w:after="0"/>
              <w:ind w:left="144" w:right="144"/>
              <w:rPr>
                <w:rFonts w:cs="Calibri"/>
                <w:szCs w:val="20"/>
                <w:lang w:val="en-US"/>
              </w:rPr>
            </w:pPr>
            <w:r w:rsidRPr="00ED4D49">
              <w:rPr>
                <w:rFonts w:cs="Calibri"/>
                <w:szCs w:val="20"/>
                <w:lang w:val="en-US"/>
              </w:rPr>
              <w:t>FAO</w:t>
            </w:r>
          </w:p>
        </w:tc>
        <w:tc>
          <w:tcPr>
            <w:tcW w:w="4135" w:type="pct"/>
            <w:shd w:val="clear" w:color="auto" w:fill="auto"/>
          </w:tcPr>
          <w:p w14:paraId="30DDD150" w14:textId="4BD42F6A" w:rsidR="001A6DE7" w:rsidRPr="00ED4D49" w:rsidRDefault="001A6DE7" w:rsidP="00DA00BD">
            <w:pPr>
              <w:spacing w:before="0" w:after="0"/>
              <w:ind w:left="144" w:right="144"/>
              <w:rPr>
                <w:rFonts w:eastAsia="Corbel" w:cs="Calibri"/>
                <w:szCs w:val="20"/>
                <w:lang w:val="en-US"/>
              </w:rPr>
            </w:pPr>
            <w:r w:rsidRPr="00ED4D49">
              <w:rPr>
                <w:rFonts w:eastAsia="Corbel" w:cs="Calibri"/>
                <w:szCs w:val="20"/>
                <w:lang w:val="en-US"/>
              </w:rPr>
              <w:t>Food and Agriculture Organi</w:t>
            </w:r>
            <w:r w:rsidR="00C6478C" w:rsidRPr="00ED4D49">
              <w:rPr>
                <w:rFonts w:eastAsia="Corbel" w:cs="Calibri"/>
                <w:szCs w:val="20"/>
                <w:lang w:val="en-US"/>
              </w:rPr>
              <w:t>z</w:t>
            </w:r>
            <w:r w:rsidRPr="00ED4D49">
              <w:rPr>
                <w:rFonts w:eastAsia="Corbel" w:cs="Calibri"/>
                <w:szCs w:val="20"/>
                <w:lang w:val="en-US"/>
              </w:rPr>
              <w:t>ation</w:t>
            </w:r>
          </w:p>
        </w:tc>
      </w:tr>
      <w:tr w:rsidR="00DA00BD" w:rsidRPr="00ED4D49" w14:paraId="29AA65C2" w14:textId="77777777" w:rsidTr="008C5289">
        <w:tc>
          <w:tcPr>
            <w:tcW w:w="865" w:type="pct"/>
            <w:shd w:val="clear" w:color="auto" w:fill="auto"/>
          </w:tcPr>
          <w:p w14:paraId="0A22F0B3" w14:textId="77777777" w:rsidR="00DA00BD" w:rsidRPr="00ED4D49" w:rsidRDefault="00DA00BD" w:rsidP="00DA00BD">
            <w:pPr>
              <w:spacing w:before="0" w:after="0"/>
              <w:ind w:left="144" w:right="144"/>
              <w:rPr>
                <w:rFonts w:cs="Calibri"/>
                <w:szCs w:val="20"/>
                <w:lang w:val="en-US"/>
              </w:rPr>
            </w:pPr>
            <w:r w:rsidRPr="00ED4D49">
              <w:rPr>
                <w:rFonts w:cs="Calibri"/>
                <w:szCs w:val="20"/>
                <w:lang w:val="en-US"/>
              </w:rPr>
              <w:t>FBiH</w:t>
            </w:r>
          </w:p>
        </w:tc>
        <w:tc>
          <w:tcPr>
            <w:tcW w:w="4135" w:type="pct"/>
            <w:shd w:val="clear" w:color="auto" w:fill="auto"/>
          </w:tcPr>
          <w:p w14:paraId="7978C855" w14:textId="77777777" w:rsidR="00DA00BD" w:rsidRPr="00ED4D49" w:rsidRDefault="00DA00BD" w:rsidP="00DA00BD">
            <w:pPr>
              <w:spacing w:before="0" w:after="0"/>
              <w:ind w:left="144" w:right="144"/>
              <w:rPr>
                <w:rFonts w:cs="Calibri"/>
                <w:szCs w:val="20"/>
                <w:lang w:val="en-US"/>
              </w:rPr>
            </w:pPr>
            <w:r w:rsidRPr="00ED4D49">
              <w:rPr>
                <w:rFonts w:cs="Calibri"/>
                <w:szCs w:val="20"/>
                <w:lang w:val="en-US"/>
              </w:rPr>
              <w:t xml:space="preserve">Federation of Bosnia and Herzegovina </w:t>
            </w:r>
          </w:p>
        </w:tc>
      </w:tr>
      <w:tr w:rsidR="00ED5B2D" w:rsidRPr="00ED4D49" w14:paraId="6131ABF6" w14:textId="77777777" w:rsidTr="008C5289">
        <w:tc>
          <w:tcPr>
            <w:tcW w:w="865" w:type="pct"/>
            <w:shd w:val="clear" w:color="auto" w:fill="auto"/>
          </w:tcPr>
          <w:p w14:paraId="4CF4C48D" w14:textId="660593FB" w:rsidR="00ED5B2D" w:rsidRPr="00ED4D49" w:rsidRDefault="00ED5B2D" w:rsidP="00DA00BD">
            <w:pPr>
              <w:spacing w:before="0" w:after="0"/>
              <w:ind w:left="144" w:right="144"/>
              <w:rPr>
                <w:rFonts w:cs="Calibri"/>
                <w:szCs w:val="20"/>
                <w:lang w:val="en-US"/>
              </w:rPr>
            </w:pPr>
            <w:r w:rsidRPr="00ED4D49">
              <w:rPr>
                <w:rFonts w:cs="Calibri"/>
                <w:szCs w:val="20"/>
                <w:lang w:val="en-US"/>
              </w:rPr>
              <w:t>FMET</w:t>
            </w:r>
          </w:p>
        </w:tc>
        <w:tc>
          <w:tcPr>
            <w:tcW w:w="4135" w:type="pct"/>
            <w:shd w:val="clear" w:color="auto" w:fill="auto"/>
          </w:tcPr>
          <w:p w14:paraId="652540BE" w14:textId="264AB29B" w:rsidR="00ED5B2D" w:rsidRPr="00ED4D49" w:rsidRDefault="00ED5B2D" w:rsidP="00DA00BD">
            <w:pPr>
              <w:spacing w:before="0" w:after="0"/>
              <w:ind w:left="144" w:right="144"/>
              <w:rPr>
                <w:rFonts w:cs="Calibri"/>
                <w:szCs w:val="20"/>
                <w:lang w:val="en-US"/>
              </w:rPr>
            </w:pPr>
            <w:r w:rsidRPr="00ED4D49">
              <w:rPr>
                <w:rFonts w:cs="Calibri"/>
                <w:szCs w:val="20"/>
                <w:lang w:val="en-US"/>
              </w:rPr>
              <w:t>Federal Ministry of Environment and Tourism</w:t>
            </w:r>
          </w:p>
        </w:tc>
      </w:tr>
      <w:tr w:rsidR="001A6DE7" w:rsidRPr="00ED4D49" w14:paraId="35049FB6" w14:textId="77777777" w:rsidTr="008C5289">
        <w:tc>
          <w:tcPr>
            <w:tcW w:w="865" w:type="pct"/>
            <w:shd w:val="clear" w:color="auto" w:fill="auto"/>
          </w:tcPr>
          <w:p w14:paraId="0B19E778" w14:textId="1BEE4EE2" w:rsidR="001A6DE7" w:rsidRPr="00ED4D49" w:rsidRDefault="001A6DE7" w:rsidP="00DA00BD">
            <w:pPr>
              <w:spacing w:before="0" w:after="0"/>
              <w:ind w:left="144" w:right="144"/>
              <w:rPr>
                <w:rFonts w:cs="Calibri"/>
                <w:szCs w:val="20"/>
                <w:lang w:val="en-US"/>
              </w:rPr>
            </w:pPr>
            <w:r w:rsidRPr="00ED4D49">
              <w:rPr>
                <w:rFonts w:cs="Calibri"/>
                <w:szCs w:val="20"/>
                <w:lang w:val="en-US"/>
              </w:rPr>
              <w:t>GEF</w:t>
            </w:r>
          </w:p>
        </w:tc>
        <w:tc>
          <w:tcPr>
            <w:tcW w:w="4135" w:type="pct"/>
            <w:shd w:val="clear" w:color="auto" w:fill="auto"/>
          </w:tcPr>
          <w:p w14:paraId="7BD1A71B" w14:textId="3F42ACF4" w:rsidR="001A6DE7" w:rsidRPr="00ED4D49" w:rsidRDefault="001A6DE7" w:rsidP="00DA00BD">
            <w:pPr>
              <w:spacing w:before="0" w:after="0"/>
              <w:ind w:left="144" w:right="144"/>
              <w:rPr>
                <w:rFonts w:cs="Calibri"/>
                <w:szCs w:val="20"/>
                <w:lang w:val="en-US"/>
              </w:rPr>
            </w:pPr>
            <w:r w:rsidRPr="00ED4D49">
              <w:rPr>
                <w:rFonts w:cs="Calibri"/>
                <w:szCs w:val="20"/>
                <w:lang w:val="en-US"/>
              </w:rPr>
              <w:t>Global Environment Facility</w:t>
            </w:r>
          </w:p>
        </w:tc>
      </w:tr>
      <w:tr w:rsidR="00F76B90" w:rsidRPr="00ED4D49" w14:paraId="5B0EEB9E" w14:textId="77777777" w:rsidTr="008C5289">
        <w:tc>
          <w:tcPr>
            <w:tcW w:w="865" w:type="pct"/>
            <w:shd w:val="clear" w:color="auto" w:fill="auto"/>
          </w:tcPr>
          <w:p w14:paraId="7D1C9B6F" w14:textId="7A5797B7" w:rsidR="00F76B90" w:rsidRPr="00ED4D49" w:rsidRDefault="00F76B90" w:rsidP="00DA00BD">
            <w:pPr>
              <w:spacing w:before="0" w:after="0"/>
              <w:ind w:left="144" w:right="144"/>
              <w:rPr>
                <w:rFonts w:cs="Calibri"/>
                <w:szCs w:val="20"/>
                <w:lang w:val="en-US"/>
              </w:rPr>
            </w:pPr>
            <w:r w:rsidRPr="00ED4D49">
              <w:rPr>
                <w:lang w:val="en-US"/>
              </w:rPr>
              <w:t>ICPDR</w:t>
            </w:r>
          </w:p>
        </w:tc>
        <w:tc>
          <w:tcPr>
            <w:tcW w:w="4135" w:type="pct"/>
            <w:shd w:val="clear" w:color="auto" w:fill="auto"/>
          </w:tcPr>
          <w:p w14:paraId="4D83F9B1" w14:textId="3B2BCA97" w:rsidR="00F76B90" w:rsidRPr="00ED4D49" w:rsidRDefault="00F76B90" w:rsidP="00DA00BD">
            <w:pPr>
              <w:spacing w:before="0" w:after="0"/>
              <w:ind w:left="144" w:right="144"/>
              <w:rPr>
                <w:rFonts w:cs="Calibri"/>
                <w:szCs w:val="20"/>
                <w:lang w:val="en-US"/>
              </w:rPr>
            </w:pPr>
            <w:r w:rsidRPr="00ED4D49">
              <w:rPr>
                <w:lang w:val="en-US"/>
              </w:rPr>
              <w:t xml:space="preserve">The International Commission for the Protection of the Danube River </w:t>
            </w:r>
          </w:p>
        </w:tc>
      </w:tr>
      <w:tr w:rsidR="00DA00BD" w:rsidRPr="00ED4D49" w14:paraId="5E4D8126" w14:textId="77777777" w:rsidTr="008C5289">
        <w:tc>
          <w:tcPr>
            <w:tcW w:w="865" w:type="pct"/>
            <w:shd w:val="clear" w:color="auto" w:fill="auto"/>
          </w:tcPr>
          <w:p w14:paraId="524B9EBB" w14:textId="28E3C8CC" w:rsidR="00DA00BD" w:rsidRPr="00ED4D49" w:rsidRDefault="00DA00BD" w:rsidP="00DA00BD">
            <w:pPr>
              <w:spacing w:before="0" w:after="0"/>
              <w:ind w:left="144" w:right="144"/>
              <w:rPr>
                <w:rFonts w:cs="Calibri"/>
                <w:szCs w:val="20"/>
                <w:lang w:val="en-US"/>
              </w:rPr>
            </w:pPr>
            <w:r w:rsidRPr="00ED4D49">
              <w:rPr>
                <w:rFonts w:cs="Calibri"/>
                <w:szCs w:val="20"/>
                <w:lang w:val="en-US"/>
              </w:rPr>
              <w:t>LMP</w:t>
            </w:r>
          </w:p>
        </w:tc>
        <w:tc>
          <w:tcPr>
            <w:tcW w:w="4135" w:type="pct"/>
            <w:shd w:val="clear" w:color="auto" w:fill="auto"/>
          </w:tcPr>
          <w:p w14:paraId="3A154D91" w14:textId="459B0064" w:rsidR="00DA00BD" w:rsidRPr="00ED4D49" w:rsidRDefault="00DA00BD" w:rsidP="00DA00BD">
            <w:pPr>
              <w:spacing w:before="0" w:after="0"/>
              <w:ind w:left="144" w:right="144"/>
              <w:rPr>
                <w:rFonts w:cs="Calibri"/>
                <w:szCs w:val="20"/>
                <w:lang w:val="en-US"/>
              </w:rPr>
            </w:pPr>
            <w:r w:rsidRPr="00ED4D49">
              <w:rPr>
                <w:rFonts w:cs="Calibri"/>
                <w:szCs w:val="20"/>
                <w:lang w:val="en-US"/>
              </w:rPr>
              <w:t xml:space="preserve">Labor Management Procedure </w:t>
            </w:r>
          </w:p>
        </w:tc>
      </w:tr>
      <w:tr w:rsidR="00EC6184" w:rsidRPr="00ED4D49" w14:paraId="42B8C46C" w14:textId="77777777" w:rsidTr="008C5289">
        <w:tc>
          <w:tcPr>
            <w:tcW w:w="865" w:type="pct"/>
            <w:shd w:val="clear" w:color="auto" w:fill="auto"/>
          </w:tcPr>
          <w:p w14:paraId="75BE1CBC" w14:textId="4B9DF4BD" w:rsidR="00EC6184" w:rsidRPr="00ED4D49" w:rsidRDefault="00EC6184" w:rsidP="00DA00BD">
            <w:pPr>
              <w:spacing w:before="0" w:after="0"/>
              <w:ind w:left="144" w:right="144"/>
              <w:rPr>
                <w:rFonts w:cs="Calibri"/>
                <w:szCs w:val="20"/>
                <w:lang w:val="en-US"/>
              </w:rPr>
            </w:pPr>
            <w:r w:rsidRPr="00ED4D49">
              <w:rPr>
                <w:rFonts w:cs="Calibri"/>
                <w:szCs w:val="20"/>
                <w:lang w:val="en-US"/>
              </w:rPr>
              <w:t>OP</w:t>
            </w:r>
          </w:p>
        </w:tc>
        <w:tc>
          <w:tcPr>
            <w:tcW w:w="4135" w:type="pct"/>
            <w:shd w:val="clear" w:color="auto" w:fill="auto"/>
          </w:tcPr>
          <w:p w14:paraId="19613EF4" w14:textId="3CF085F5" w:rsidR="00EC6184" w:rsidRPr="00ED4D49" w:rsidRDefault="00EC6184" w:rsidP="00DA00BD">
            <w:pPr>
              <w:spacing w:before="0" w:after="0"/>
              <w:ind w:left="144" w:right="144"/>
              <w:rPr>
                <w:rFonts w:cs="Calibri"/>
                <w:szCs w:val="20"/>
                <w:lang w:val="en-US"/>
              </w:rPr>
            </w:pPr>
            <w:r w:rsidRPr="00ED4D49">
              <w:rPr>
                <w:rFonts w:cs="Calibri"/>
                <w:szCs w:val="20"/>
                <w:lang w:val="en-US"/>
              </w:rPr>
              <w:t>Operational Procedure</w:t>
            </w:r>
          </w:p>
        </w:tc>
      </w:tr>
      <w:tr w:rsidR="00633607" w:rsidRPr="00ED4D49" w14:paraId="45ADB450" w14:textId="77777777" w:rsidTr="008C5289">
        <w:tc>
          <w:tcPr>
            <w:tcW w:w="865" w:type="pct"/>
            <w:shd w:val="clear" w:color="auto" w:fill="auto"/>
          </w:tcPr>
          <w:p w14:paraId="76EA2303" w14:textId="35ACAC3A" w:rsidR="00633607" w:rsidRPr="00ED4D49" w:rsidRDefault="00633607" w:rsidP="00DA00BD">
            <w:pPr>
              <w:spacing w:before="0" w:after="0"/>
              <w:ind w:left="144" w:right="144"/>
              <w:rPr>
                <w:rFonts w:cs="Calibri"/>
                <w:szCs w:val="20"/>
                <w:lang w:val="en-US"/>
              </w:rPr>
            </w:pPr>
            <w:r w:rsidRPr="00ED4D49">
              <w:rPr>
                <w:rFonts w:cs="Calibri"/>
                <w:szCs w:val="20"/>
                <w:lang w:val="en-US"/>
              </w:rPr>
              <w:t>O&amp;M</w:t>
            </w:r>
          </w:p>
        </w:tc>
        <w:tc>
          <w:tcPr>
            <w:tcW w:w="4135" w:type="pct"/>
            <w:shd w:val="clear" w:color="auto" w:fill="auto"/>
          </w:tcPr>
          <w:p w14:paraId="0F4E30AA" w14:textId="030C216D" w:rsidR="00633607" w:rsidRPr="00ED4D49" w:rsidRDefault="00633607" w:rsidP="00DA00BD">
            <w:pPr>
              <w:spacing w:before="0" w:after="0"/>
              <w:ind w:left="144" w:right="144"/>
              <w:rPr>
                <w:rFonts w:cs="Calibri"/>
                <w:szCs w:val="20"/>
                <w:lang w:val="en-US"/>
              </w:rPr>
            </w:pPr>
            <w:r w:rsidRPr="00ED4D49">
              <w:rPr>
                <w:rFonts w:cs="Calibri"/>
                <w:szCs w:val="20"/>
                <w:lang w:val="en-US"/>
              </w:rPr>
              <w:t>Operation and Maintenance</w:t>
            </w:r>
          </w:p>
        </w:tc>
      </w:tr>
      <w:tr w:rsidR="009E6567" w:rsidRPr="00ED4D49" w14:paraId="2EED4179" w14:textId="77777777" w:rsidTr="008C5289">
        <w:tc>
          <w:tcPr>
            <w:tcW w:w="865" w:type="pct"/>
            <w:shd w:val="clear" w:color="auto" w:fill="auto"/>
          </w:tcPr>
          <w:p w14:paraId="497B080F" w14:textId="0F0D7A9F" w:rsidR="009E6567" w:rsidRPr="00ED4D49" w:rsidRDefault="009E6567" w:rsidP="00DA00BD">
            <w:pPr>
              <w:spacing w:before="0" w:after="0"/>
              <w:ind w:left="144" w:right="144"/>
              <w:rPr>
                <w:rFonts w:cs="Calibri"/>
                <w:szCs w:val="20"/>
                <w:lang w:val="en-US"/>
              </w:rPr>
            </w:pPr>
            <w:r w:rsidRPr="00ED4D49">
              <w:rPr>
                <w:rFonts w:cs="Calibri"/>
                <w:szCs w:val="20"/>
                <w:lang w:val="en-US"/>
              </w:rPr>
              <w:t>PE</w:t>
            </w:r>
          </w:p>
        </w:tc>
        <w:tc>
          <w:tcPr>
            <w:tcW w:w="4135" w:type="pct"/>
            <w:shd w:val="clear" w:color="auto" w:fill="auto"/>
          </w:tcPr>
          <w:p w14:paraId="0FF11632" w14:textId="397C97F1" w:rsidR="009E6567" w:rsidRPr="00ED4D49" w:rsidRDefault="009E6567" w:rsidP="00DA00BD">
            <w:pPr>
              <w:spacing w:before="0" w:after="0"/>
              <w:ind w:left="144" w:right="144"/>
              <w:rPr>
                <w:rFonts w:cs="Calibri"/>
                <w:szCs w:val="20"/>
                <w:lang w:val="en-US"/>
              </w:rPr>
            </w:pPr>
            <w:r w:rsidRPr="00ED4D49">
              <w:rPr>
                <w:rFonts w:cs="Calibri"/>
                <w:szCs w:val="20"/>
                <w:lang w:val="en-US"/>
              </w:rPr>
              <w:t>Population Equivalent</w:t>
            </w:r>
          </w:p>
        </w:tc>
      </w:tr>
      <w:tr w:rsidR="00DA00BD" w:rsidRPr="00ED4D49" w14:paraId="2A3A35B3" w14:textId="77777777" w:rsidTr="008C5289">
        <w:tc>
          <w:tcPr>
            <w:tcW w:w="865" w:type="pct"/>
            <w:shd w:val="clear" w:color="auto" w:fill="auto"/>
          </w:tcPr>
          <w:p w14:paraId="0939BB6E" w14:textId="6B596840" w:rsidR="00DA00BD" w:rsidRPr="00ED4D49" w:rsidRDefault="00DA00BD" w:rsidP="00DA00BD">
            <w:pPr>
              <w:spacing w:before="0" w:after="0"/>
              <w:ind w:left="144" w:right="144"/>
              <w:rPr>
                <w:rFonts w:cs="Calibri"/>
                <w:szCs w:val="20"/>
                <w:lang w:val="en-US"/>
              </w:rPr>
            </w:pPr>
            <w:r w:rsidRPr="00ED4D49">
              <w:rPr>
                <w:rFonts w:cs="Calibri"/>
                <w:szCs w:val="20"/>
                <w:lang w:val="en-US"/>
              </w:rPr>
              <w:t>PIU</w:t>
            </w:r>
          </w:p>
        </w:tc>
        <w:tc>
          <w:tcPr>
            <w:tcW w:w="4135" w:type="pct"/>
            <w:shd w:val="clear" w:color="auto" w:fill="auto"/>
          </w:tcPr>
          <w:p w14:paraId="06D81214" w14:textId="61F7A826" w:rsidR="00DA00BD" w:rsidRPr="00ED4D49" w:rsidRDefault="00DA00BD" w:rsidP="00DA00BD">
            <w:pPr>
              <w:spacing w:before="0" w:after="0"/>
              <w:ind w:left="144" w:right="144"/>
              <w:rPr>
                <w:rFonts w:cs="Calibri"/>
                <w:szCs w:val="20"/>
                <w:lang w:val="en-US"/>
              </w:rPr>
            </w:pPr>
            <w:r w:rsidRPr="00ED4D49">
              <w:rPr>
                <w:rFonts w:cs="Calibri"/>
                <w:szCs w:val="20"/>
                <w:lang w:val="en-US"/>
              </w:rPr>
              <w:t>Project Implementation Unit</w:t>
            </w:r>
          </w:p>
        </w:tc>
      </w:tr>
      <w:tr w:rsidR="00A05FF7" w:rsidRPr="00ED4D49" w14:paraId="76471A93" w14:textId="77777777" w:rsidTr="008C5289">
        <w:tc>
          <w:tcPr>
            <w:tcW w:w="865" w:type="pct"/>
            <w:shd w:val="clear" w:color="auto" w:fill="auto"/>
          </w:tcPr>
          <w:p w14:paraId="1C8EE33D" w14:textId="4D1A0C87" w:rsidR="00A05FF7" w:rsidRPr="00ED4D49" w:rsidRDefault="00A05FF7" w:rsidP="00DA00BD">
            <w:pPr>
              <w:spacing w:before="0" w:after="0"/>
              <w:ind w:left="144" w:right="144"/>
              <w:rPr>
                <w:rFonts w:cs="Calibri"/>
                <w:szCs w:val="20"/>
                <w:lang w:val="en-US"/>
              </w:rPr>
            </w:pPr>
            <w:r w:rsidRPr="00ED4D49">
              <w:rPr>
                <w:rFonts w:cs="Calibri"/>
                <w:szCs w:val="20"/>
                <w:lang w:val="en-US"/>
              </w:rPr>
              <w:t>RP</w:t>
            </w:r>
          </w:p>
        </w:tc>
        <w:tc>
          <w:tcPr>
            <w:tcW w:w="4135" w:type="pct"/>
            <w:shd w:val="clear" w:color="auto" w:fill="auto"/>
          </w:tcPr>
          <w:p w14:paraId="30B04B57" w14:textId="236AC2F8" w:rsidR="00A05FF7" w:rsidRPr="00ED4D49" w:rsidRDefault="00A05FF7" w:rsidP="00DA00BD">
            <w:pPr>
              <w:spacing w:before="0" w:after="0"/>
              <w:ind w:left="144" w:right="144"/>
              <w:rPr>
                <w:rFonts w:cs="Calibri"/>
                <w:szCs w:val="20"/>
                <w:lang w:val="en-US"/>
              </w:rPr>
            </w:pPr>
            <w:r w:rsidRPr="00ED4D49">
              <w:rPr>
                <w:rFonts w:cs="Calibri"/>
                <w:szCs w:val="20"/>
                <w:lang w:val="en-US"/>
              </w:rPr>
              <w:t xml:space="preserve">Resettlement Plan </w:t>
            </w:r>
          </w:p>
        </w:tc>
      </w:tr>
      <w:tr w:rsidR="00A05FF7" w:rsidRPr="00ED4D49" w14:paraId="523A9D12" w14:textId="77777777" w:rsidTr="008C5289">
        <w:tc>
          <w:tcPr>
            <w:tcW w:w="865" w:type="pct"/>
            <w:shd w:val="clear" w:color="auto" w:fill="auto"/>
          </w:tcPr>
          <w:p w14:paraId="2A3130D3" w14:textId="664C13A0" w:rsidR="00A05FF7" w:rsidRPr="00ED4D49" w:rsidRDefault="00A05FF7" w:rsidP="00DA00BD">
            <w:pPr>
              <w:spacing w:before="0" w:after="0"/>
              <w:ind w:left="144" w:right="144"/>
              <w:rPr>
                <w:rFonts w:cs="Calibri"/>
                <w:szCs w:val="20"/>
                <w:lang w:val="en-US"/>
              </w:rPr>
            </w:pPr>
            <w:r w:rsidRPr="00ED4D49">
              <w:rPr>
                <w:rFonts w:cs="Calibri"/>
                <w:szCs w:val="20"/>
                <w:lang w:val="en-US"/>
              </w:rPr>
              <w:t>RPF</w:t>
            </w:r>
          </w:p>
        </w:tc>
        <w:tc>
          <w:tcPr>
            <w:tcW w:w="4135" w:type="pct"/>
            <w:shd w:val="clear" w:color="auto" w:fill="auto"/>
          </w:tcPr>
          <w:p w14:paraId="3C2AD503" w14:textId="4364FFA0" w:rsidR="00A05FF7" w:rsidRPr="00ED4D49" w:rsidRDefault="00A05FF7" w:rsidP="00DA00BD">
            <w:pPr>
              <w:spacing w:before="0" w:after="0"/>
              <w:ind w:left="144" w:right="144"/>
              <w:rPr>
                <w:rFonts w:cs="Calibri"/>
                <w:szCs w:val="20"/>
                <w:lang w:val="en-US"/>
              </w:rPr>
            </w:pPr>
            <w:r w:rsidRPr="00ED4D49">
              <w:rPr>
                <w:rFonts w:cs="Calibri"/>
                <w:szCs w:val="20"/>
                <w:lang w:val="en-US"/>
              </w:rPr>
              <w:t>Resettlement Process Framework</w:t>
            </w:r>
          </w:p>
        </w:tc>
      </w:tr>
      <w:tr w:rsidR="00DA00BD" w:rsidRPr="00ED4D49" w14:paraId="2F776ED6" w14:textId="77777777" w:rsidTr="008C5289">
        <w:tc>
          <w:tcPr>
            <w:tcW w:w="865" w:type="pct"/>
            <w:shd w:val="clear" w:color="auto" w:fill="auto"/>
          </w:tcPr>
          <w:p w14:paraId="090E8724" w14:textId="77777777" w:rsidR="00DA00BD" w:rsidRPr="00ED4D49" w:rsidRDefault="00DA00BD" w:rsidP="00DA00BD">
            <w:pPr>
              <w:spacing w:before="0" w:after="0"/>
              <w:ind w:left="144" w:right="144"/>
              <w:rPr>
                <w:rFonts w:cs="Calibri"/>
                <w:szCs w:val="20"/>
                <w:lang w:val="en-US"/>
              </w:rPr>
            </w:pPr>
            <w:r w:rsidRPr="00ED4D49">
              <w:rPr>
                <w:rFonts w:cs="Calibri"/>
                <w:szCs w:val="20"/>
                <w:lang w:val="en-US"/>
              </w:rPr>
              <w:t>RS</w:t>
            </w:r>
          </w:p>
        </w:tc>
        <w:tc>
          <w:tcPr>
            <w:tcW w:w="4135" w:type="pct"/>
            <w:shd w:val="clear" w:color="auto" w:fill="auto"/>
          </w:tcPr>
          <w:p w14:paraId="0D632462" w14:textId="77777777" w:rsidR="00DA00BD" w:rsidRPr="00ED4D49" w:rsidRDefault="00DA00BD" w:rsidP="00DA00BD">
            <w:pPr>
              <w:spacing w:before="0" w:after="0"/>
              <w:ind w:left="144" w:right="144"/>
              <w:rPr>
                <w:rFonts w:cs="Calibri"/>
                <w:szCs w:val="20"/>
                <w:lang w:val="en-US"/>
              </w:rPr>
            </w:pPr>
            <w:proofErr w:type="spellStart"/>
            <w:r w:rsidRPr="00ED4D49">
              <w:rPr>
                <w:rFonts w:cs="Calibri"/>
                <w:szCs w:val="20"/>
                <w:lang w:val="en-US"/>
              </w:rPr>
              <w:t>Republika</w:t>
            </w:r>
            <w:proofErr w:type="spellEnd"/>
            <w:r w:rsidRPr="00ED4D49">
              <w:rPr>
                <w:rFonts w:cs="Calibri"/>
                <w:szCs w:val="20"/>
                <w:lang w:val="en-US"/>
              </w:rPr>
              <w:t xml:space="preserve"> Srpska</w:t>
            </w:r>
          </w:p>
        </w:tc>
      </w:tr>
      <w:tr w:rsidR="00CF0969" w:rsidRPr="00ED4D49" w14:paraId="1FEB26D2" w14:textId="77777777" w:rsidTr="008C5289">
        <w:tc>
          <w:tcPr>
            <w:tcW w:w="865" w:type="pct"/>
            <w:shd w:val="clear" w:color="auto" w:fill="auto"/>
          </w:tcPr>
          <w:p w14:paraId="281F5A43" w14:textId="76FD75B0" w:rsidR="00CF0969" w:rsidRPr="00ED4D49" w:rsidRDefault="001A6DE7" w:rsidP="00DA00BD">
            <w:pPr>
              <w:spacing w:before="0" w:after="0"/>
              <w:ind w:left="144" w:right="144"/>
              <w:rPr>
                <w:rFonts w:cs="Calibri"/>
                <w:szCs w:val="20"/>
                <w:lang w:val="en-US"/>
              </w:rPr>
            </w:pPr>
            <w:r w:rsidRPr="00ED4D49">
              <w:rPr>
                <w:rFonts w:cs="Calibri"/>
                <w:szCs w:val="20"/>
                <w:lang w:val="en-US"/>
              </w:rPr>
              <w:t>SCCF</w:t>
            </w:r>
          </w:p>
        </w:tc>
        <w:tc>
          <w:tcPr>
            <w:tcW w:w="4135" w:type="pct"/>
            <w:shd w:val="clear" w:color="auto" w:fill="auto"/>
          </w:tcPr>
          <w:p w14:paraId="55D678F5" w14:textId="734CEC7E" w:rsidR="00CF0969" w:rsidRPr="00ED4D49" w:rsidRDefault="001A6DE7" w:rsidP="00DA00BD">
            <w:pPr>
              <w:spacing w:before="0" w:after="0"/>
              <w:ind w:left="144" w:right="144"/>
              <w:rPr>
                <w:rFonts w:cs="Calibri"/>
                <w:szCs w:val="20"/>
                <w:lang w:val="en-US"/>
              </w:rPr>
            </w:pPr>
            <w:r w:rsidRPr="00ED4D49">
              <w:rPr>
                <w:rFonts w:cs="Calibri"/>
                <w:szCs w:val="20"/>
                <w:lang w:val="en-US"/>
              </w:rPr>
              <w:t>Special Climate Change Fund</w:t>
            </w:r>
          </w:p>
        </w:tc>
      </w:tr>
      <w:tr w:rsidR="00292B1B" w:rsidRPr="00ED4D49" w14:paraId="29850C18" w14:textId="77777777" w:rsidTr="008C5289">
        <w:tc>
          <w:tcPr>
            <w:tcW w:w="865" w:type="pct"/>
            <w:shd w:val="clear" w:color="auto" w:fill="auto"/>
          </w:tcPr>
          <w:p w14:paraId="60C7CA1B" w14:textId="041198DB" w:rsidR="00292B1B" w:rsidRPr="00ED4D49" w:rsidRDefault="00292B1B" w:rsidP="00DA00BD">
            <w:pPr>
              <w:spacing w:before="0" w:after="0"/>
              <w:ind w:left="144" w:right="144"/>
              <w:rPr>
                <w:rFonts w:cs="Calibri"/>
                <w:szCs w:val="20"/>
                <w:lang w:val="en-US"/>
              </w:rPr>
            </w:pPr>
            <w:r w:rsidRPr="00ED4D49">
              <w:rPr>
                <w:rFonts w:cs="Calibri"/>
                <w:szCs w:val="20"/>
                <w:lang w:val="en-US"/>
              </w:rPr>
              <w:t>SEA</w:t>
            </w:r>
          </w:p>
        </w:tc>
        <w:tc>
          <w:tcPr>
            <w:tcW w:w="4135" w:type="pct"/>
            <w:shd w:val="clear" w:color="auto" w:fill="auto"/>
          </w:tcPr>
          <w:p w14:paraId="6BA163F8" w14:textId="6F8F83D5" w:rsidR="00292B1B" w:rsidRPr="00ED4D49" w:rsidRDefault="00292B1B" w:rsidP="00DA00BD">
            <w:pPr>
              <w:spacing w:before="0" w:after="0"/>
              <w:ind w:left="144" w:right="144"/>
              <w:rPr>
                <w:rFonts w:cs="Calibri"/>
                <w:szCs w:val="20"/>
                <w:lang w:val="en-US"/>
              </w:rPr>
            </w:pPr>
            <w:r w:rsidRPr="00ED4D49">
              <w:rPr>
                <w:rFonts w:cs="Calibri"/>
                <w:szCs w:val="20"/>
                <w:lang w:val="en-US"/>
              </w:rPr>
              <w:t>Strategic Environmental Assessment</w:t>
            </w:r>
          </w:p>
        </w:tc>
      </w:tr>
      <w:tr w:rsidR="00FB14DF" w:rsidRPr="00ED4D49" w14:paraId="3D54B53A" w14:textId="77777777" w:rsidTr="008C5289">
        <w:tc>
          <w:tcPr>
            <w:tcW w:w="865" w:type="pct"/>
            <w:shd w:val="clear" w:color="auto" w:fill="auto"/>
          </w:tcPr>
          <w:p w14:paraId="4BF7BE5D" w14:textId="2520C2F3" w:rsidR="00FB14DF" w:rsidRPr="00ED4D49" w:rsidRDefault="00FB14DF" w:rsidP="00DA00BD">
            <w:pPr>
              <w:spacing w:before="0" w:after="0"/>
              <w:ind w:left="144" w:right="144"/>
              <w:rPr>
                <w:rFonts w:cs="Calibri"/>
                <w:szCs w:val="20"/>
                <w:lang w:val="en-US"/>
              </w:rPr>
            </w:pPr>
            <w:r w:rsidRPr="00ED4D49">
              <w:rPr>
                <w:rFonts w:cs="Calibri"/>
                <w:szCs w:val="20"/>
                <w:lang w:val="en-US"/>
              </w:rPr>
              <w:t>SESA</w:t>
            </w:r>
          </w:p>
        </w:tc>
        <w:tc>
          <w:tcPr>
            <w:tcW w:w="4135" w:type="pct"/>
            <w:shd w:val="clear" w:color="auto" w:fill="auto"/>
          </w:tcPr>
          <w:p w14:paraId="7A4ED52A" w14:textId="6A576425" w:rsidR="00FB14DF" w:rsidRPr="00ED4D49" w:rsidRDefault="00FB14DF" w:rsidP="00DA00BD">
            <w:pPr>
              <w:spacing w:before="0" w:after="0"/>
              <w:ind w:left="144" w:right="144"/>
              <w:rPr>
                <w:rFonts w:cs="Calibri"/>
                <w:szCs w:val="20"/>
                <w:lang w:val="en-US"/>
              </w:rPr>
            </w:pPr>
            <w:r w:rsidRPr="00ED4D49">
              <w:rPr>
                <w:rFonts w:cs="Calibri"/>
                <w:szCs w:val="20"/>
                <w:lang w:val="en-US"/>
              </w:rPr>
              <w:t>Strategic Environmental and Social Assessment</w:t>
            </w:r>
          </w:p>
        </w:tc>
      </w:tr>
      <w:tr w:rsidR="001A6DE7" w:rsidRPr="00ED4D49" w14:paraId="491CF398" w14:textId="77777777" w:rsidTr="008C5289">
        <w:tc>
          <w:tcPr>
            <w:tcW w:w="865" w:type="pct"/>
            <w:shd w:val="clear" w:color="auto" w:fill="auto"/>
          </w:tcPr>
          <w:p w14:paraId="1A369F82" w14:textId="44F6BE61" w:rsidR="001A6DE7" w:rsidRPr="00ED4D49" w:rsidRDefault="001A6DE7" w:rsidP="001A6DE7">
            <w:pPr>
              <w:spacing w:before="0" w:after="0"/>
              <w:ind w:left="144" w:right="144"/>
              <w:rPr>
                <w:bCs/>
                <w:szCs w:val="24"/>
                <w:lang w:val="en-US"/>
              </w:rPr>
            </w:pPr>
            <w:r w:rsidRPr="00ED4D49">
              <w:rPr>
                <w:bCs/>
                <w:szCs w:val="24"/>
                <w:lang w:val="en-US"/>
              </w:rPr>
              <w:t>SFRY</w:t>
            </w:r>
          </w:p>
        </w:tc>
        <w:tc>
          <w:tcPr>
            <w:tcW w:w="4135" w:type="pct"/>
            <w:shd w:val="clear" w:color="auto" w:fill="auto"/>
          </w:tcPr>
          <w:p w14:paraId="3C9206D5" w14:textId="48F25B71" w:rsidR="001A6DE7" w:rsidRPr="00ED4D49" w:rsidRDefault="001A6DE7" w:rsidP="001A6DE7">
            <w:pPr>
              <w:spacing w:before="0" w:after="0"/>
              <w:ind w:left="144" w:right="144"/>
              <w:rPr>
                <w:bCs/>
                <w:szCs w:val="24"/>
                <w:lang w:val="en-US"/>
              </w:rPr>
            </w:pPr>
            <w:r w:rsidRPr="00ED4D49">
              <w:rPr>
                <w:bCs/>
                <w:szCs w:val="24"/>
                <w:lang w:val="en-US"/>
              </w:rPr>
              <w:t>Socialist Federal Republic of Yugoslavia</w:t>
            </w:r>
          </w:p>
        </w:tc>
      </w:tr>
      <w:tr w:rsidR="001A6DE7" w:rsidRPr="00ED4D49" w14:paraId="3C05B47D" w14:textId="77777777" w:rsidTr="008C5289">
        <w:tc>
          <w:tcPr>
            <w:tcW w:w="865" w:type="pct"/>
            <w:shd w:val="clear" w:color="auto" w:fill="auto"/>
          </w:tcPr>
          <w:p w14:paraId="3A79B931" w14:textId="5F5DE0C1" w:rsidR="001A6DE7" w:rsidRPr="00ED4D49" w:rsidRDefault="001A6DE7" w:rsidP="001A6DE7">
            <w:pPr>
              <w:spacing w:before="0" w:after="0"/>
              <w:ind w:left="144" w:right="144"/>
              <w:rPr>
                <w:bCs/>
                <w:szCs w:val="24"/>
                <w:lang w:val="en-US"/>
              </w:rPr>
            </w:pPr>
            <w:r w:rsidRPr="00ED4D49">
              <w:rPr>
                <w:bCs/>
                <w:szCs w:val="24"/>
                <w:lang w:val="en-US"/>
              </w:rPr>
              <w:t>SRB</w:t>
            </w:r>
          </w:p>
        </w:tc>
        <w:tc>
          <w:tcPr>
            <w:tcW w:w="4135" w:type="pct"/>
            <w:shd w:val="clear" w:color="auto" w:fill="auto"/>
          </w:tcPr>
          <w:p w14:paraId="6AC25362" w14:textId="3B6CAC66" w:rsidR="001A6DE7" w:rsidRPr="00ED4D49" w:rsidRDefault="001A6DE7" w:rsidP="001A6DE7">
            <w:pPr>
              <w:spacing w:before="0" w:after="0"/>
              <w:ind w:left="144" w:right="144"/>
              <w:rPr>
                <w:bCs/>
                <w:szCs w:val="24"/>
                <w:lang w:val="en-US"/>
              </w:rPr>
            </w:pPr>
            <w:r w:rsidRPr="00ED4D49">
              <w:rPr>
                <w:bCs/>
                <w:szCs w:val="24"/>
                <w:lang w:val="en-US"/>
              </w:rPr>
              <w:t>Sava River Basin</w:t>
            </w:r>
          </w:p>
        </w:tc>
      </w:tr>
      <w:tr w:rsidR="00C6478C" w:rsidRPr="00ED4D49" w14:paraId="6B2D47EB" w14:textId="77777777" w:rsidTr="008C5289">
        <w:tc>
          <w:tcPr>
            <w:tcW w:w="865" w:type="pct"/>
            <w:shd w:val="clear" w:color="auto" w:fill="auto"/>
          </w:tcPr>
          <w:p w14:paraId="0C5E6A8A" w14:textId="432CFB28" w:rsidR="00C6478C" w:rsidRPr="00ED4D49" w:rsidRDefault="00C6478C" w:rsidP="001A6DE7">
            <w:pPr>
              <w:spacing w:before="0" w:after="0"/>
              <w:ind w:left="144" w:right="144"/>
              <w:rPr>
                <w:rFonts w:cs="Calibri"/>
                <w:szCs w:val="20"/>
                <w:lang w:val="en-US"/>
              </w:rPr>
            </w:pPr>
            <w:proofErr w:type="spellStart"/>
            <w:r w:rsidRPr="00ED4D49">
              <w:rPr>
                <w:szCs w:val="23"/>
                <w:lang w:val="en-US"/>
              </w:rPr>
              <w:t>MoFTER</w:t>
            </w:r>
            <w:proofErr w:type="spellEnd"/>
          </w:p>
        </w:tc>
        <w:tc>
          <w:tcPr>
            <w:tcW w:w="4135" w:type="pct"/>
            <w:shd w:val="clear" w:color="auto" w:fill="auto"/>
          </w:tcPr>
          <w:p w14:paraId="1D29E46F" w14:textId="0CB71C67" w:rsidR="00C6478C" w:rsidRPr="00ED4D49" w:rsidRDefault="00C6478C" w:rsidP="001A6DE7">
            <w:pPr>
              <w:spacing w:before="0" w:after="0"/>
              <w:ind w:left="144" w:right="144"/>
              <w:rPr>
                <w:rFonts w:cs="Calibri"/>
                <w:szCs w:val="20"/>
                <w:lang w:val="en-US"/>
              </w:rPr>
            </w:pPr>
            <w:r w:rsidRPr="00ED4D49">
              <w:rPr>
                <w:szCs w:val="23"/>
                <w:lang w:val="en-US"/>
              </w:rPr>
              <w:t>Ministry of Foreign Trade and Economic Relations</w:t>
            </w:r>
          </w:p>
        </w:tc>
      </w:tr>
      <w:tr w:rsidR="001A6DE7" w:rsidRPr="00ED4D49" w14:paraId="48DED7AC" w14:textId="77777777" w:rsidTr="008C5289">
        <w:tc>
          <w:tcPr>
            <w:tcW w:w="865" w:type="pct"/>
            <w:shd w:val="clear" w:color="auto" w:fill="auto"/>
          </w:tcPr>
          <w:p w14:paraId="06CF43B7" w14:textId="2A9F467A" w:rsidR="001A6DE7" w:rsidRPr="00ED4D49" w:rsidRDefault="001A6DE7" w:rsidP="001A6DE7">
            <w:pPr>
              <w:spacing w:before="0" w:after="0"/>
              <w:ind w:left="144" w:right="144"/>
              <w:rPr>
                <w:rFonts w:cs="Calibri"/>
                <w:szCs w:val="20"/>
                <w:lang w:val="en-US"/>
              </w:rPr>
            </w:pPr>
            <w:r w:rsidRPr="00ED4D49">
              <w:rPr>
                <w:rFonts w:cs="Calibri"/>
                <w:szCs w:val="20"/>
                <w:lang w:val="en-US"/>
              </w:rPr>
              <w:t>MPPCEE</w:t>
            </w:r>
          </w:p>
        </w:tc>
        <w:tc>
          <w:tcPr>
            <w:tcW w:w="4135" w:type="pct"/>
            <w:shd w:val="clear" w:color="auto" w:fill="auto"/>
          </w:tcPr>
          <w:p w14:paraId="58657FA6" w14:textId="3B5F7303" w:rsidR="001A6DE7" w:rsidRPr="00ED4D49" w:rsidRDefault="001A6DE7" w:rsidP="001A6DE7">
            <w:pPr>
              <w:spacing w:before="0" w:after="0"/>
              <w:ind w:left="144" w:right="144"/>
              <w:rPr>
                <w:rFonts w:cs="Calibri"/>
                <w:szCs w:val="20"/>
                <w:lang w:val="en-US"/>
              </w:rPr>
            </w:pPr>
            <w:r w:rsidRPr="00ED4D49">
              <w:rPr>
                <w:rFonts w:cs="Calibri"/>
                <w:szCs w:val="20"/>
                <w:lang w:val="en-US"/>
              </w:rPr>
              <w:t>Ministry of Physical Planning, Civil Engineering and Ecology</w:t>
            </w:r>
          </w:p>
        </w:tc>
      </w:tr>
      <w:tr w:rsidR="001A6DE7" w:rsidRPr="00ED4D49" w14:paraId="433BB8B0" w14:textId="77777777" w:rsidTr="008C5289">
        <w:tc>
          <w:tcPr>
            <w:tcW w:w="865" w:type="pct"/>
            <w:shd w:val="clear" w:color="auto" w:fill="auto"/>
          </w:tcPr>
          <w:p w14:paraId="13E3DA2B" w14:textId="77777777" w:rsidR="001A6DE7" w:rsidRPr="00ED4D49" w:rsidRDefault="001A6DE7" w:rsidP="001A6DE7">
            <w:pPr>
              <w:spacing w:before="0" w:after="0"/>
              <w:ind w:left="144" w:right="144"/>
              <w:rPr>
                <w:rFonts w:cs="Calibri"/>
                <w:szCs w:val="20"/>
                <w:lang w:val="en-US"/>
              </w:rPr>
            </w:pPr>
            <w:r w:rsidRPr="00ED4D49">
              <w:rPr>
                <w:bCs/>
                <w:lang w:val="en-US"/>
              </w:rPr>
              <w:t>SDIP</w:t>
            </w:r>
          </w:p>
        </w:tc>
        <w:tc>
          <w:tcPr>
            <w:tcW w:w="4135" w:type="pct"/>
            <w:shd w:val="clear" w:color="auto" w:fill="auto"/>
          </w:tcPr>
          <w:p w14:paraId="27354F9B" w14:textId="4C2C9245" w:rsidR="001A6DE7" w:rsidRPr="00ED4D49" w:rsidRDefault="001A6DE7" w:rsidP="001A6DE7">
            <w:pPr>
              <w:spacing w:before="0" w:after="0"/>
              <w:ind w:left="144" w:right="144"/>
              <w:rPr>
                <w:rFonts w:cs="Calibri"/>
                <w:szCs w:val="20"/>
                <w:lang w:val="en-US"/>
              </w:rPr>
            </w:pPr>
            <w:r w:rsidRPr="00ED4D49">
              <w:rPr>
                <w:bCs/>
                <w:lang w:val="en-US"/>
              </w:rPr>
              <w:t>Sava</w:t>
            </w:r>
            <w:r w:rsidR="00A05261" w:rsidRPr="00ED4D49">
              <w:rPr>
                <w:bCs/>
                <w:lang w:val="en-US"/>
              </w:rPr>
              <w:t xml:space="preserve"> and </w:t>
            </w:r>
            <w:r w:rsidRPr="00ED4D49">
              <w:rPr>
                <w:bCs/>
                <w:lang w:val="en-US"/>
              </w:rPr>
              <w:t>Drina River</w:t>
            </w:r>
            <w:r w:rsidR="00A05261" w:rsidRPr="00ED4D49">
              <w:rPr>
                <w:bCs/>
                <w:lang w:val="en-US"/>
              </w:rPr>
              <w:t>s</w:t>
            </w:r>
            <w:r w:rsidRPr="00ED4D49">
              <w:rPr>
                <w:bCs/>
                <w:lang w:val="en-US"/>
              </w:rPr>
              <w:t xml:space="preserve"> Corridor</w:t>
            </w:r>
            <w:r w:rsidR="00A05261" w:rsidRPr="00ED4D49">
              <w:rPr>
                <w:bCs/>
                <w:lang w:val="en-US"/>
              </w:rPr>
              <w:t>s</w:t>
            </w:r>
            <w:r w:rsidRPr="00ED4D49">
              <w:rPr>
                <w:bCs/>
                <w:lang w:val="en-US"/>
              </w:rPr>
              <w:t xml:space="preserve"> Integrated Development Program</w:t>
            </w:r>
          </w:p>
        </w:tc>
      </w:tr>
    </w:tbl>
    <w:p w14:paraId="291ECD3A" w14:textId="2B1DA18C" w:rsidR="000825D3" w:rsidRPr="00ED4D49" w:rsidRDefault="000825D3" w:rsidP="00E8721A">
      <w:pPr>
        <w:spacing w:before="0" w:after="0"/>
        <w:rPr>
          <w:rFonts w:cs="Calibri"/>
          <w:color w:val="1F497D"/>
          <w:sz w:val="18"/>
          <w:szCs w:val="18"/>
          <w:lang w:val="en-US"/>
        </w:rPr>
      </w:pPr>
    </w:p>
    <w:p w14:paraId="02277602" w14:textId="77777777" w:rsidR="000B2E9A" w:rsidRPr="00ED4D49" w:rsidRDefault="000B2E9A" w:rsidP="00E8721A">
      <w:pPr>
        <w:spacing w:before="0" w:after="0"/>
        <w:rPr>
          <w:rFonts w:cs="Calibri"/>
          <w:color w:val="1F497D"/>
          <w:sz w:val="18"/>
          <w:szCs w:val="18"/>
          <w:lang w:val="en-US"/>
        </w:rPr>
        <w:sectPr w:rsidR="000B2E9A" w:rsidRPr="00ED4D49" w:rsidSect="000B2E9A">
          <w:headerReference w:type="default" r:id="rId17"/>
          <w:footerReference w:type="default" r:id="rId18"/>
          <w:pgSz w:w="11900" w:h="16840"/>
          <w:pgMar w:top="1440" w:right="1440" w:bottom="1440" w:left="1440" w:header="720" w:footer="720" w:gutter="0"/>
          <w:pgNumType w:fmt="lowerRoman" w:start="1"/>
          <w:cols w:space="720"/>
          <w:docGrid w:linePitch="360"/>
        </w:sectPr>
      </w:pPr>
    </w:p>
    <w:p w14:paraId="3C11D2DE" w14:textId="3941C5C7" w:rsidR="001D71BE" w:rsidRPr="00ED4D49" w:rsidRDefault="001D71BE" w:rsidP="00460020">
      <w:pPr>
        <w:pStyle w:val="Heading1"/>
        <w:shd w:val="clear" w:color="auto" w:fill="F2F2F2"/>
        <w:spacing w:before="0"/>
        <w:rPr>
          <w:rFonts w:cs="Calibri"/>
          <w:lang w:val="en-US"/>
        </w:rPr>
      </w:pPr>
      <w:bookmarkStart w:id="0" w:name="_Toc31811042"/>
      <w:bookmarkStart w:id="1" w:name="_Ref22286195"/>
      <w:bookmarkStart w:id="2" w:name="_Toc481062943"/>
      <w:r w:rsidRPr="00ED4D49">
        <w:rPr>
          <w:rFonts w:cs="Calibri"/>
          <w:lang w:val="en-US"/>
        </w:rPr>
        <w:lastRenderedPageBreak/>
        <w:t>EXECUTIVE SUMMARY</w:t>
      </w:r>
      <w:bookmarkEnd w:id="0"/>
    </w:p>
    <w:p w14:paraId="6A6C9A56" w14:textId="06ACC982" w:rsidR="003309A6" w:rsidRPr="00ED4D49" w:rsidRDefault="003309A6" w:rsidP="003309A6">
      <w:pPr>
        <w:jc w:val="both"/>
        <w:rPr>
          <w:color w:val="1F497C"/>
          <w:lang w:val="en-US"/>
        </w:rPr>
      </w:pPr>
      <w:r w:rsidRPr="00ED4D49">
        <w:rPr>
          <w:color w:val="1F497C"/>
          <w:lang w:val="en-US"/>
        </w:rPr>
        <w:t>Program background</w:t>
      </w:r>
    </w:p>
    <w:p w14:paraId="5EE3ACA4" w14:textId="18441D1E" w:rsidR="003309A6" w:rsidRPr="00ED4D49" w:rsidRDefault="003309A6" w:rsidP="003309A6">
      <w:pPr>
        <w:jc w:val="both"/>
        <w:rPr>
          <w:lang w:val="en-US"/>
        </w:rPr>
      </w:pPr>
      <w:bookmarkStart w:id="3" w:name="_Hlk25257771"/>
      <w:r w:rsidRPr="00ED4D49">
        <w:rPr>
          <w:lang w:val="en-US"/>
        </w:rPr>
        <w:t xml:space="preserve">The Sava </w:t>
      </w:r>
      <w:r w:rsidR="00A05261" w:rsidRPr="00ED4D49">
        <w:rPr>
          <w:lang w:val="en-US"/>
        </w:rPr>
        <w:t xml:space="preserve">and </w:t>
      </w:r>
      <w:r w:rsidRPr="00ED4D49">
        <w:rPr>
          <w:lang w:val="en-US"/>
        </w:rPr>
        <w:t>Drina River</w:t>
      </w:r>
      <w:r w:rsidR="00A05261" w:rsidRPr="00ED4D49">
        <w:rPr>
          <w:lang w:val="en-US"/>
        </w:rPr>
        <w:t>s</w:t>
      </w:r>
      <w:r w:rsidRPr="00ED4D49">
        <w:rPr>
          <w:lang w:val="en-US"/>
        </w:rPr>
        <w:t xml:space="preserve"> Corridors Integrated Development Program (SDIP) represents </w:t>
      </w:r>
      <w:r w:rsidR="00967F7A" w:rsidRPr="00ED4D49">
        <w:rPr>
          <w:lang w:val="en-US"/>
        </w:rPr>
        <w:t xml:space="preserve">the </w:t>
      </w:r>
      <w:r w:rsidRPr="00ED4D49">
        <w:rPr>
          <w:lang w:val="en-US"/>
        </w:rPr>
        <w:t xml:space="preserve">World Bank’s long-term undertaking to address neglected infrastructure development in the region while promoting joint decision making and development along the two river corridors. </w:t>
      </w:r>
      <w:r w:rsidR="0070527B" w:rsidRPr="00ED4D49">
        <w:rPr>
          <w:lang w:val="en-US"/>
        </w:rPr>
        <w:t xml:space="preserve">The objective of the Program is to strengthen transboundary water cooperation and improve navigability and flood protection in the Sava and Drina Rivers Corridors.  SDIP will be implemented through two sequential and partially overlapping phases. </w:t>
      </w:r>
      <w:r w:rsidRPr="00ED4D49">
        <w:rPr>
          <w:lang w:val="en-US"/>
        </w:rPr>
        <w:t>The</w:t>
      </w:r>
      <w:r w:rsidRPr="00ED4D49">
        <w:rPr>
          <w:bCs/>
          <w:lang w:val="en-US"/>
        </w:rPr>
        <w:t xml:space="preserve"> </w:t>
      </w:r>
      <w:r w:rsidRPr="00ED4D49">
        <w:rPr>
          <w:bCs/>
          <w:color w:val="143E7C"/>
          <w:lang w:val="en-US"/>
        </w:rPr>
        <w:t>development objective</w:t>
      </w:r>
      <w:r w:rsidRPr="00ED4D49">
        <w:rPr>
          <w:color w:val="143E7C"/>
          <w:lang w:val="en-US"/>
        </w:rPr>
        <w:t xml:space="preserve"> of the Phase 1 of the Program</w:t>
      </w:r>
      <w:r w:rsidRPr="00ED4D49">
        <w:rPr>
          <w:lang w:val="en-US"/>
        </w:rPr>
        <w:t xml:space="preserve"> is to </w:t>
      </w:r>
      <w:r w:rsidR="00361C98" w:rsidRPr="00ED4D49">
        <w:rPr>
          <w:lang w:val="en-US"/>
        </w:rPr>
        <w:t>improve flood protection and enable transboundary water cooperation in the Sava and Drina Rivers Corridor</w:t>
      </w:r>
      <w:r w:rsidRPr="00ED4D49">
        <w:rPr>
          <w:lang w:val="en-US"/>
        </w:rPr>
        <w:t xml:space="preserve">. The Program consists of </w:t>
      </w:r>
      <w:r w:rsidR="00361C98" w:rsidRPr="00ED4D49">
        <w:rPr>
          <w:lang w:val="en-US"/>
        </w:rPr>
        <w:t>four</w:t>
      </w:r>
      <w:r w:rsidRPr="00ED4D49">
        <w:rPr>
          <w:lang w:val="en-US"/>
        </w:rPr>
        <w:t xml:space="preserve"> components and several sub-components as follows:</w:t>
      </w:r>
    </w:p>
    <w:tbl>
      <w:tblPr>
        <w:tblW w:w="0" w:type="auto"/>
        <w:tblInd w:w="10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2371"/>
        <w:gridCol w:w="6531"/>
      </w:tblGrid>
      <w:tr w:rsidR="003309A6" w:rsidRPr="00ED4D49" w14:paraId="254C33B3" w14:textId="77777777" w:rsidTr="00160717">
        <w:trPr>
          <w:tblHeader/>
        </w:trPr>
        <w:tc>
          <w:tcPr>
            <w:tcW w:w="2410" w:type="dxa"/>
            <w:shd w:val="clear" w:color="auto" w:fill="auto"/>
          </w:tcPr>
          <w:p w14:paraId="5F630703" w14:textId="77777777" w:rsidR="003309A6" w:rsidRPr="00ED4D49" w:rsidRDefault="003309A6" w:rsidP="00160717">
            <w:pPr>
              <w:spacing w:before="0" w:after="0"/>
              <w:ind w:left="144" w:right="144"/>
              <w:rPr>
                <w:rFonts w:cs="Calibri"/>
                <w:color w:val="336699"/>
                <w:sz w:val="16"/>
                <w:szCs w:val="16"/>
                <w:lang w:val="en-US"/>
              </w:rPr>
            </w:pPr>
            <w:r w:rsidRPr="00ED4D49">
              <w:rPr>
                <w:rFonts w:cs="Calibri"/>
                <w:color w:val="336699"/>
                <w:sz w:val="16"/>
                <w:szCs w:val="16"/>
                <w:lang w:val="en-US"/>
              </w:rPr>
              <w:t xml:space="preserve">Component </w:t>
            </w:r>
          </w:p>
        </w:tc>
        <w:tc>
          <w:tcPr>
            <w:tcW w:w="6718" w:type="dxa"/>
            <w:shd w:val="clear" w:color="auto" w:fill="auto"/>
          </w:tcPr>
          <w:p w14:paraId="7510EC75" w14:textId="687329B4" w:rsidR="003309A6" w:rsidRPr="00ED4D49" w:rsidRDefault="003309A6" w:rsidP="00160717">
            <w:pPr>
              <w:spacing w:before="0" w:after="0"/>
              <w:ind w:left="144" w:right="144"/>
              <w:rPr>
                <w:rFonts w:cs="Calibri"/>
                <w:color w:val="336699"/>
                <w:sz w:val="16"/>
                <w:szCs w:val="16"/>
                <w:lang w:val="en-US"/>
              </w:rPr>
            </w:pPr>
            <w:r w:rsidRPr="00ED4D49">
              <w:rPr>
                <w:rFonts w:cs="Calibri"/>
                <w:color w:val="336699"/>
                <w:sz w:val="16"/>
                <w:szCs w:val="16"/>
                <w:lang w:val="en-US"/>
              </w:rPr>
              <w:t>Sub</w:t>
            </w:r>
            <w:r w:rsidR="001229F1" w:rsidRPr="00ED4D49">
              <w:rPr>
                <w:rFonts w:cs="Calibri"/>
                <w:color w:val="336699"/>
                <w:sz w:val="16"/>
                <w:szCs w:val="16"/>
                <w:lang w:val="en-US"/>
              </w:rPr>
              <w:t>-</w:t>
            </w:r>
            <w:r w:rsidRPr="00ED4D49">
              <w:rPr>
                <w:rFonts w:cs="Calibri"/>
                <w:color w:val="336699"/>
                <w:sz w:val="16"/>
                <w:szCs w:val="16"/>
                <w:lang w:val="en-US"/>
              </w:rPr>
              <w:t>component</w:t>
            </w:r>
          </w:p>
        </w:tc>
      </w:tr>
      <w:tr w:rsidR="003309A6" w:rsidRPr="00ED4D49" w14:paraId="3954DC76" w14:textId="77777777" w:rsidTr="00160717">
        <w:tc>
          <w:tcPr>
            <w:tcW w:w="2410" w:type="dxa"/>
            <w:shd w:val="clear" w:color="auto" w:fill="auto"/>
            <w:vAlign w:val="center"/>
          </w:tcPr>
          <w:p w14:paraId="776822C8" w14:textId="4E2DF9FD" w:rsidR="003309A6" w:rsidRPr="00ED4D49" w:rsidRDefault="003309A6" w:rsidP="00160717">
            <w:pPr>
              <w:rPr>
                <w:rFonts w:cs="Calibri"/>
                <w:color w:val="000000"/>
                <w:sz w:val="16"/>
                <w:szCs w:val="16"/>
                <w:lang w:val="en-US" w:eastAsia="bs-Latn-BA"/>
              </w:rPr>
            </w:pPr>
            <w:r w:rsidRPr="00ED4D49">
              <w:rPr>
                <w:rFonts w:cs="Calibri"/>
                <w:color w:val="000000"/>
                <w:sz w:val="16"/>
                <w:szCs w:val="16"/>
                <w:lang w:val="en-US" w:eastAsia="bs-Latn-BA"/>
              </w:rPr>
              <w:t xml:space="preserve">Component 1: </w:t>
            </w:r>
            <w:r w:rsidR="00361C98" w:rsidRPr="00ED4D49">
              <w:rPr>
                <w:rFonts w:cs="Calibri"/>
                <w:color w:val="000000"/>
                <w:sz w:val="16"/>
                <w:szCs w:val="16"/>
                <w:lang w:val="en-US" w:eastAsia="bs-Latn-BA"/>
              </w:rPr>
              <w:t>Integrated Management and Development of the Sava River</w:t>
            </w:r>
          </w:p>
        </w:tc>
        <w:tc>
          <w:tcPr>
            <w:tcW w:w="6718" w:type="dxa"/>
            <w:shd w:val="clear" w:color="auto" w:fill="auto"/>
            <w:vAlign w:val="center"/>
          </w:tcPr>
          <w:p w14:paraId="710B3ACE" w14:textId="77777777" w:rsidR="003309A6" w:rsidRPr="00ED4D49" w:rsidRDefault="003309A6" w:rsidP="00160717">
            <w:pPr>
              <w:spacing w:before="0" w:after="0"/>
              <w:ind w:right="144"/>
              <w:rPr>
                <w:rFonts w:cs="Calibri"/>
                <w:sz w:val="16"/>
                <w:szCs w:val="16"/>
                <w:lang w:val="en-US"/>
              </w:rPr>
            </w:pPr>
            <w:r w:rsidRPr="00ED4D49">
              <w:rPr>
                <w:rFonts w:cs="Calibri"/>
                <w:sz w:val="16"/>
                <w:szCs w:val="16"/>
                <w:lang w:val="en-US"/>
              </w:rPr>
              <w:t>Sub-component 1.1: Flood protection and environmental management</w:t>
            </w:r>
          </w:p>
          <w:p w14:paraId="56DBDD42" w14:textId="3D032EEB" w:rsidR="003309A6" w:rsidRPr="00ED4D49" w:rsidRDefault="003309A6" w:rsidP="00160717">
            <w:pPr>
              <w:spacing w:before="0" w:after="0"/>
              <w:ind w:right="144"/>
              <w:rPr>
                <w:rFonts w:cs="Calibri"/>
                <w:sz w:val="16"/>
                <w:szCs w:val="16"/>
                <w:lang w:val="en-US"/>
              </w:rPr>
            </w:pPr>
            <w:r w:rsidRPr="00ED4D49">
              <w:rPr>
                <w:rFonts w:cs="Calibri"/>
                <w:sz w:val="16"/>
                <w:szCs w:val="16"/>
                <w:lang w:val="en-US"/>
              </w:rPr>
              <w:t>Sub-component 1.2:</w:t>
            </w:r>
            <w:r w:rsidR="00361C98" w:rsidRPr="00ED4D49">
              <w:rPr>
                <w:rFonts w:cs="Calibri"/>
                <w:sz w:val="16"/>
                <w:szCs w:val="16"/>
                <w:lang w:val="en-US"/>
              </w:rPr>
              <w:t xml:space="preserve"> Waterway Improvements</w:t>
            </w:r>
          </w:p>
          <w:p w14:paraId="4BC40085" w14:textId="5C344046" w:rsidR="003309A6" w:rsidRPr="00ED4D49" w:rsidRDefault="003309A6" w:rsidP="00160717">
            <w:pPr>
              <w:spacing w:before="0" w:after="0"/>
              <w:ind w:right="144"/>
              <w:rPr>
                <w:rFonts w:cs="Calibri"/>
                <w:sz w:val="16"/>
                <w:szCs w:val="16"/>
                <w:lang w:val="en-US"/>
              </w:rPr>
            </w:pPr>
          </w:p>
        </w:tc>
      </w:tr>
      <w:tr w:rsidR="003309A6" w:rsidRPr="00ED4D49" w14:paraId="6857CC5A" w14:textId="77777777" w:rsidTr="00160717">
        <w:tc>
          <w:tcPr>
            <w:tcW w:w="2410" w:type="dxa"/>
            <w:shd w:val="clear" w:color="auto" w:fill="auto"/>
            <w:vAlign w:val="center"/>
          </w:tcPr>
          <w:p w14:paraId="079A7529" w14:textId="67AC7C5A" w:rsidR="003309A6" w:rsidRPr="00ED4D49" w:rsidRDefault="003309A6" w:rsidP="00160717">
            <w:pPr>
              <w:rPr>
                <w:rFonts w:cs="Calibri"/>
                <w:color w:val="000000"/>
                <w:sz w:val="16"/>
                <w:szCs w:val="16"/>
                <w:lang w:val="en-US" w:eastAsia="bs-Latn-BA"/>
              </w:rPr>
            </w:pPr>
            <w:r w:rsidRPr="00ED4D49">
              <w:rPr>
                <w:rFonts w:cs="Calibri"/>
                <w:color w:val="000000"/>
                <w:sz w:val="16"/>
                <w:szCs w:val="16"/>
                <w:lang w:val="en-US" w:eastAsia="bs-Latn-BA"/>
              </w:rPr>
              <w:t xml:space="preserve">Component 2: </w:t>
            </w:r>
            <w:r w:rsidR="00361C98" w:rsidRPr="00ED4D49">
              <w:rPr>
                <w:rFonts w:cs="Calibri"/>
                <w:color w:val="000000"/>
                <w:sz w:val="16"/>
                <w:szCs w:val="16"/>
                <w:lang w:val="en-US" w:eastAsia="bs-Latn-BA"/>
              </w:rPr>
              <w:t>Integrated Management and Development of the Drina River Corridor</w:t>
            </w:r>
          </w:p>
        </w:tc>
        <w:tc>
          <w:tcPr>
            <w:tcW w:w="6718" w:type="dxa"/>
            <w:shd w:val="clear" w:color="auto" w:fill="auto"/>
            <w:vAlign w:val="center"/>
          </w:tcPr>
          <w:p w14:paraId="4B8D54A6" w14:textId="77777777" w:rsidR="003309A6" w:rsidRPr="00ED4D49" w:rsidRDefault="003309A6" w:rsidP="00160717">
            <w:pPr>
              <w:spacing w:before="0" w:after="0"/>
              <w:ind w:right="144"/>
              <w:rPr>
                <w:rFonts w:cs="Calibri"/>
                <w:sz w:val="16"/>
                <w:szCs w:val="16"/>
                <w:lang w:val="en-US"/>
              </w:rPr>
            </w:pPr>
            <w:r w:rsidRPr="00ED4D49">
              <w:rPr>
                <w:rFonts w:cs="Calibri"/>
                <w:sz w:val="16"/>
                <w:szCs w:val="16"/>
                <w:lang w:val="en-US"/>
              </w:rPr>
              <w:t>Sub-component 2.1: Flood protection and environmental management</w:t>
            </w:r>
          </w:p>
          <w:p w14:paraId="07F54B56" w14:textId="12262BF3" w:rsidR="003309A6" w:rsidRPr="00ED4D49" w:rsidRDefault="003309A6" w:rsidP="00160717">
            <w:pPr>
              <w:spacing w:before="0" w:after="0"/>
              <w:ind w:right="144"/>
              <w:rPr>
                <w:rFonts w:cs="Calibri"/>
                <w:sz w:val="16"/>
                <w:szCs w:val="16"/>
                <w:lang w:val="en-US"/>
              </w:rPr>
            </w:pPr>
            <w:r w:rsidRPr="00ED4D49">
              <w:rPr>
                <w:rFonts w:cs="Calibri"/>
                <w:sz w:val="16"/>
                <w:szCs w:val="16"/>
                <w:lang w:val="en-US"/>
              </w:rPr>
              <w:t xml:space="preserve">Sub-component 2.2: Integrated development of </w:t>
            </w:r>
            <w:r w:rsidR="00361C98" w:rsidRPr="00ED4D49">
              <w:rPr>
                <w:rFonts w:cs="Calibri"/>
                <w:sz w:val="16"/>
                <w:szCs w:val="16"/>
                <w:lang w:val="en-US"/>
              </w:rPr>
              <w:t>Drina</w:t>
            </w:r>
            <w:r w:rsidRPr="00ED4D49">
              <w:rPr>
                <w:rFonts w:cs="Calibri"/>
                <w:sz w:val="16"/>
                <w:szCs w:val="16"/>
                <w:lang w:val="en-US"/>
              </w:rPr>
              <w:t xml:space="preserve"> watershed</w:t>
            </w:r>
          </w:p>
        </w:tc>
      </w:tr>
      <w:tr w:rsidR="003309A6" w:rsidRPr="00ED4D49" w14:paraId="498293E8" w14:textId="77777777" w:rsidTr="00160717">
        <w:tc>
          <w:tcPr>
            <w:tcW w:w="2410" w:type="dxa"/>
            <w:shd w:val="clear" w:color="auto" w:fill="auto"/>
            <w:vAlign w:val="center"/>
          </w:tcPr>
          <w:p w14:paraId="0B4775AF" w14:textId="7B05311B" w:rsidR="003309A6" w:rsidRPr="00ED4D49" w:rsidRDefault="003309A6" w:rsidP="00160717">
            <w:pPr>
              <w:rPr>
                <w:rFonts w:cs="Calibri"/>
                <w:color w:val="000000"/>
                <w:sz w:val="16"/>
                <w:szCs w:val="16"/>
                <w:lang w:val="en-US" w:eastAsia="bs-Latn-BA"/>
              </w:rPr>
            </w:pPr>
            <w:r w:rsidRPr="00ED4D49">
              <w:rPr>
                <w:rFonts w:cs="Calibri"/>
                <w:color w:val="000000"/>
                <w:sz w:val="16"/>
                <w:szCs w:val="16"/>
                <w:lang w:val="en-US" w:eastAsia="bs-Latn-BA"/>
              </w:rPr>
              <w:t xml:space="preserve">Component 3: </w:t>
            </w:r>
            <w:r w:rsidR="00361C98" w:rsidRPr="00ED4D49">
              <w:rPr>
                <w:rFonts w:cs="Calibri"/>
                <w:color w:val="000000"/>
                <w:sz w:val="16"/>
                <w:szCs w:val="16"/>
                <w:lang w:val="en-US" w:eastAsia="bs-Latn-BA"/>
              </w:rPr>
              <w:t>Project preparation and management</w:t>
            </w:r>
          </w:p>
        </w:tc>
        <w:tc>
          <w:tcPr>
            <w:tcW w:w="6718" w:type="dxa"/>
            <w:shd w:val="clear" w:color="auto" w:fill="auto"/>
            <w:vAlign w:val="center"/>
          </w:tcPr>
          <w:p w14:paraId="4F7A7E02" w14:textId="77777777" w:rsidR="003309A6" w:rsidRPr="00ED4D49" w:rsidRDefault="003309A6" w:rsidP="00160717">
            <w:pPr>
              <w:spacing w:before="0" w:after="0"/>
              <w:ind w:right="144"/>
              <w:rPr>
                <w:rFonts w:cs="Calibri"/>
                <w:sz w:val="16"/>
                <w:szCs w:val="16"/>
                <w:lang w:val="en-US"/>
              </w:rPr>
            </w:pPr>
            <w:r w:rsidRPr="00ED4D49">
              <w:rPr>
                <w:rFonts w:cs="Calibri"/>
                <w:sz w:val="16"/>
                <w:szCs w:val="16"/>
                <w:lang w:val="en-US"/>
              </w:rPr>
              <w:t>Sub-component 3.1: Project preparation</w:t>
            </w:r>
          </w:p>
          <w:p w14:paraId="2940FEDA" w14:textId="0F351350" w:rsidR="003309A6" w:rsidRPr="00ED4D49" w:rsidRDefault="003309A6" w:rsidP="00160717">
            <w:pPr>
              <w:spacing w:before="0" w:after="0"/>
              <w:ind w:right="144"/>
              <w:rPr>
                <w:rFonts w:cs="Calibri"/>
                <w:sz w:val="16"/>
                <w:szCs w:val="16"/>
                <w:lang w:val="en-US"/>
              </w:rPr>
            </w:pPr>
            <w:r w:rsidRPr="00ED4D49">
              <w:rPr>
                <w:rFonts w:cs="Calibri"/>
                <w:sz w:val="16"/>
                <w:szCs w:val="16"/>
                <w:lang w:val="en-US"/>
              </w:rPr>
              <w:t xml:space="preserve">Sub-component 3.2: </w:t>
            </w:r>
            <w:r w:rsidR="00361C98" w:rsidRPr="00ED4D49">
              <w:rPr>
                <w:rFonts w:cs="Calibri"/>
                <w:sz w:val="16"/>
                <w:szCs w:val="16"/>
                <w:lang w:val="en-US"/>
              </w:rPr>
              <w:t>Institutional strengthening and project management</w:t>
            </w:r>
          </w:p>
          <w:p w14:paraId="18C1450C" w14:textId="274CC16B" w:rsidR="003309A6" w:rsidRPr="00ED4D49" w:rsidRDefault="003309A6" w:rsidP="00160717">
            <w:pPr>
              <w:spacing w:before="0" w:after="0"/>
              <w:ind w:right="144"/>
              <w:rPr>
                <w:rFonts w:cs="Calibri"/>
                <w:sz w:val="16"/>
                <w:szCs w:val="16"/>
                <w:lang w:val="en-US"/>
              </w:rPr>
            </w:pPr>
          </w:p>
        </w:tc>
      </w:tr>
      <w:tr w:rsidR="00361C98" w:rsidRPr="00ED4D49" w14:paraId="72971B6D" w14:textId="77777777" w:rsidTr="00160717">
        <w:tc>
          <w:tcPr>
            <w:tcW w:w="2410" w:type="dxa"/>
            <w:shd w:val="clear" w:color="auto" w:fill="auto"/>
            <w:vAlign w:val="center"/>
          </w:tcPr>
          <w:p w14:paraId="1E5AC366" w14:textId="7DA1390A" w:rsidR="00361C98" w:rsidRPr="00ED4D49" w:rsidRDefault="00361C98" w:rsidP="00160717">
            <w:pPr>
              <w:rPr>
                <w:rFonts w:cs="Calibri"/>
                <w:color w:val="000000"/>
                <w:sz w:val="16"/>
                <w:szCs w:val="16"/>
                <w:lang w:val="en-US" w:eastAsia="bs-Latn-BA"/>
              </w:rPr>
            </w:pPr>
            <w:r w:rsidRPr="00ED4D49">
              <w:rPr>
                <w:rFonts w:cs="Calibri"/>
                <w:color w:val="000000"/>
                <w:sz w:val="16"/>
                <w:szCs w:val="16"/>
                <w:lang w:val="en-US" w:eastAsia="bs-Latn-BA"/>
              </w:rPr>
              <w:t>Component 4: Regional activities</w:t>
            </w:r>
          </w:p>
        </w:tc>
        <w:tc>
          <w:tcPr>
            <w:tcW w:w="6718" w:type="dxa"/>
            <w:shd w:val="clear" w:color="auto" w:fill="auto"/>
            <w:vAlign w:val="center"/>
          </w:tcPr>
          <w:p w14:paraId="1B06E54A" w14:textId="697107BA" w:rsidR="00361C98" w:rsidRPr="00ED4D49" w:rsidRDefault="00361C98" w:rsidP="00160717">
            <w:pPr>
              <w:spacing w:before="0" w:after="0"/>
              <w:ind w:right="144"/>
              <w:rPr>
                <w:rFonts w:cs="Calibri"/>
                <w:sz w:val="16"/>
                <w:szCs w:val="16"/>
                <w:lang w:val="en-US"/>
              </w:rPr>
            </w:pPr>
            <w:r w:rsidRPr="00ED4D49">
              <w:rPr>
                <w:rFonts w:cs="Calibri"/>
                <w:sz w:val="16"/>
                <w:szCs w:val="16"/>
                <w:lang w:val="en-US"/>
              </w:rPr>
              <w:t>Regional Dialogues and Studies</w:t>
            </w:r>
          </w:p>
        </w:tc>
      </w:tr>
    </w:tbl>
    <w:p w14:paraId="2B4D2D40" w14:textId="48DCECB3" w:rsidR="001D71BE" w:rsidRPr="00ED4D49" w:rsidRDefault="003309A6" w:rsidP="003309A6">
      <w:pPr>
        <w:jc w:val="both"/>
        <w:rPr>
          <w:lang w:val="en-US"/>
        </w:rPr>
      </w:pPr>
      <w:r w:rsidRPr="00ED4D49">
        <w:rPr>
          <w:lang w:val="en-US"/>
        </w:rPr>
        <w:t>This Program will implement subprojects with high implementation readiness and relevance to the program objectives, with detail designs and tender documents likely</w:t>
      </w:r>
      <w:r w:rsidR="00967F7A" w:rsidRPr="00ED4D49">
        <w:rPr>
          <w:lang w:val="en-US"/>
        </w:rPr>
        <w:t xml:space="preserve"> to be</w:t>
      </w:r>
      <w:r w:rsidRPr="00ED4D49">
        <w:rPr>
          <w:lang w:val="en-US"/>
        </w:rPr>
        <w:t xml:space="preserve"> ready by Effectiveness in Montenegro, </w:t>
      </w:r>
      <w:r w:rsidR="002E4E35" w:rsidRPr="00ED4D49">
        <w:rPr>
          <w:lang w:val="en-US"/>
        </w:rPr>
        <w:t>Bosnia and Herzegovina (</w:t>
      </w:r>
      <w:r w:rsidRPr="00ED4D49">
        <w:rPr>
          <w:lang w:val="en-US"/>
        </w:rPr>
        <w:t>BiH</w:t>
      </w:r>
      <w:r w:rsidR="002E4E35" w:rsidRPr="00ED4D49">
        <w:rPr>
          <w:lang w:val="en-US"/>
        </w:rPr>
        <w:t>)</w:t>
      </w:r>
      <w:r w:rsidRPr="00ED4D49">
        <w:rPr>
          <w:lang w:val="en-US"/>
        </w:rPr>
        <w:t>, and Serbia, while simultaneously preparing subprojects that will be implemented during the second phase of the Regional Program.</w:t>
      </w:r>
    </w:p>
    <w:bookmarkEnd w:id="3"/>
    <w:p w14:paraId="58758C51" w14:textId="77777777" w:rsidR="00943B7F" w:rsidRPr="00ED4D49" w:rsidRDefault="00391F86" w:rsidP="00A422DD">
      <w:pPr>
        <w:jc w:val="both"/>
        <w:rPr>
          <w:lang w:val="en-US" w:eastAsia="x-none"/>
        </w:rPr>
      </w:pPr>
      <w:r w:rsidRPr="00ED4D49">
        <w:rPr>
          <w:lang w:val="en-US" w:eastAsia="x-none"/>
        </w:rPr>
        <w:t xml:space="preserve">SDIP will be implemented by participating countries in a coordinated manner through two levels of coordination. At the regional level, a regional task force consisting of the members of the existing International Sava River Basin Commission (ISRBC) bodies and senior officials from key sectors such as water, transport, energy, and tourism will facilitate dialogue and cooperation in the region. </w:t>
      </w:r>
      <w:r w:rsidR="00A422DD" w:rsidRPr="00ED4D49">
        <w:rPr>
          <w:lang w:val="en-US" w:eastAsia="x-none"/>
        </w:rPr>
        <w:t xml:space="preserve">At the national level, implementation will be undertaken by project implementation units </w:t>
      </w:r>
      <w:r w:rsidR="00967F7A" w:rsidRPr="00ED4D49">
        <w:rPr>
          <w:lang w:val="en-US" w:eastAsia="x-none"/>
        </w:rPr>
        <w:t xml:space="preserve">(PIUs) </w:t>
      </w:r>
      <w:r w:rsidR="00A422DD" w:rsidRPr="00ED4D49">
        <w:rPr>
          <w:lang w:val="en-US" w:eastAsia="x-none"/>
        </w:rPr>
        <w:t xml:space="preserve">within line ministries of each country/entity: (i) in Federation of BiH, the existing PIU within FBiH Ministry of Agriculture, Water Management and Forestry, (ii) in </w:t>
      </w:r>
      <w:proofErr w:type="spellStart"/>
      <w:r w:rsidR="00A422DD" w:rsidRPr="00ED4D49">
        <w:rPr>
          <w:lang w:val="en-US" w:eastAsia="x-none"/>
        </w:rPr>
        <w:t>Republika</w:t>
      </w:r>
      <w:proofErr w:type="spellEnd"/>
      <w:r w:rsidR="00A422DD" w:rsidRPr="00ED4D49">
        <w:rPr>
          <w:lang w:val="en-US" w:eastAsia="x-none"/>
        </w:rPr>
        <w:t xml:space="preserve"> Srpska, the existing PIU within RS Ministry of Agriculture, Forestry and Water Management</w:t>
      </w:r>
      <w:r w:rsidR="00BD1DDE" w:rsidRPr="00ED4D49">
        <w:rPr>
          <w:lang w:val="en-US" w:eastAsia="x-none"/>
        </w:rPr>
        <w:t xml:space="preserve"> and (iii) District Brcko through the </w:t>
      </w:r>
      <w:r w:rsidR="00C02EB5" w:rsidRPr="00ED4D49">
        <w:rPr>
          <w:lang w:val="en-US" w:eastAsia="x-none"/>
        </w:rPr>
        <w:t>International Projects Implementation Unit</w:t>
      </w:r>
      <w:r w:rsidR="00A84B17" w:rsidRPr="00ED4D49">
        <w:rPr>
          <w:lang w:val="en-US" w:eastAsia="x-none"/>
        </w:rPr>
        <w:t xml:space="preserve"> as well as (iv) at the BiH state level, within the Ministry of Transport and </w:t>
      </w:r>
      <w:r w:rsidR="00FF54A2" w:rsidRPr="00ED4D49">
        <w:rPr>
          <w:lang w:val="en-US" w:eastAsia="x-none"/>
        </w:rPr>
        <w:t>C</w:t>
      </w:r>
      <w:r w:rsidR="00A84B17" w:rsidRPr="00ED4D49">
        <w:rPr>
          <w:lang w:val="en-US" w:eastAsia="x-none"/>
        </w:rPr>
        <w:t>ommunication</w:t>
      </w:r>
      <w:r w:rsidR="00FF54A2" w:rsidRPr="00ED4D49">
        <w:rPr>
          <w:lang w:val="en-US" w:eastAsia="x-none"/>
        </w:rPr>
        <w:t xml:space="preserve">, a PIU for implementation of component 1.2. demining of </w:t>
      </w:r>
      <w:r w:rsidR="00943B7F" w:rsidRPr="00ED4D49">
        <w:rPr>
          <w:lang w:val="en-US" w:eastAsia="x-none"/>
        </w:rPr>
        <w:t xml:space="preserve">the right bank of </w:t>
      </w:r>
      <w:proofErr w:type="spellStart"/>
      <w:r w:rsidR="00943B7F" w:rsidRPr="00ED4D49">
        <w:rPr>
          <w:lang w:val="en-US" w:eastAsia="x-none"/>
        </w:rPr>
        <w:t>he</w:t>
      </w:r>
      <w:proofErr w:type="spellEnd"/>
      <w:r w:rsidR="00943B7F" w:rsidRPr="00ED4D49">
        <w:rPr>
          <w:lang w:val="en-US" w:eastAsia="x-none"/>
        </w:rPr>
        <w:t xml:space="preserve"> </w:t>
      </w:r>
      <w:proofErr w:type="gramStart"/>
      <w:r w:rsidR="00943B7F" w:rsidRPr="00ED4D49">
        <w:rPr>
          <w:lang w:val="en-US" w:eastAsia="x-none"/>
        </w:rPr>
        <w:t>Sava river</w:t>
      </w:r>
      <w:proofErr w:type="gramEnd"/>
      <w:r w:rsidR="00943B7F" w:rsidRPr="00ED4D49">
        <w:rPr>
          <w:lang w:val="en-US" w:eastAsia="x-none"/>
        </w:rPr>
        <w:t xml:space="preserve"> in BiH</w:t>
      </w:r>
      <w:r w:rsidR="00A422DD" w:rsidRPr="00ED4D49">
        <w:rPr>
          <w:lang w:val="en-US" w:eastAsia="x-none"/>
        </w:rPr>
        <w:t>.</w:t>
      </w:r>
    </w:p>
    <w:p w14:paraId="37A205A1" w14:textId="224A2B36" w:rsidR="00A422DD" w:rsidRPr="00ED4D49" w:rsidRDefault="00A422DD" w:rsidP="00A422DD">
      <w:pPr>
        <w:jc w:val="both"/>
        <w:rPr>
          <w:lang w:val="en-US" w:eastAsia="x-none"/>
        </w:rPr>
      </w:pPr>
      <w:r w:rsidRPr="00ED4D49">
        <w:rPr>
          <w:lang w:val="en-US" w:eastAsia="x-none"/>
        </w:rPr>
        <w:t xml:space="preserve"> </w:t>
      </w:r>
      <w:r w:rsidR="00391F86" w:rsidRPr="00ED4D49">
        <w:rPr>
          <w:lang w:val="en-US" w:eastAsia="x-none"/>
        </w:rPr>
        <w:t>BiH Ministry of Foreign Trade and Economic Relations and BiH Ministry of Transport and Communication as ISRBC bodies will be engaged and informed on the implementation of regional activities.</w:t>
      </w:r>
    </w:p>
    <w:p w14:paraId="1268745C" w14:textId="481E04F4" w:rsidR="0093357A" w:rsidRPr="00ED4D49" w:rsidRDefault="0093357A" w:rsidP="00A422DD">
      <w:pPr>
        <w:jc w:val="both"/>
        <w:rPr>
          <w:lang w:val="en-US" w:eastAsia="x-none"/>
        </w:rPr>
      </w:pPr>
      <w:r w:rsidRPr="00ED4D49">
        <w:rPr>
          <w:lang w:val="en-US" w:eastAsia="x-none"/>
        </w:rPr>
        <w:t xml:space="preserve">This ESMF, as part of the environmental and social due diligence package prepared for BIH, was first drafted and finalized in 2019, when only </w:t>
      </w:r>
      <w:proofErr w:type="spellStart"/>
      <w:r w:rsidRPr="00ED4D49">
        <w:rPr>
          <w:lang w:val="en-US" w:eastAsia="x-none"/>
        </w:rPr>
        <w:t>Republika</w:t>
      </w:r>
      <w:proofErr w:type="spellEnd"/>
      <w:r w:rsidRPr="00ED4D49">
        <w:rPr>
          <w:lang w:val="en-US" w:eastAsia="x-none"/>
        </w:rPr>
        <w:t xml:space="preserve"> Srpska within BiH had been willing to borrow within the Program. However, in 2022, both FBIH and District Brcko have requested funding under the Program, and their participation has been processed as Additional Financing to the parent Program. The original ESMF has been drafted to include all of the Sava and </w:t>
      </w:r>
      <w:proofErr w:type="gramStart"/>
      <w:r w:rsidRPr="00ED4D49">
        <w:rPr>
          <w:lang w:val="en-US" w:eastAsia="x-none"/>
        </w:rPr>
        <w:t>Drina river</w:t>
      </w:r>
      <w:proofErr w:type="gramEnd"/>
      <w:r w:rsidRPr="00ED4D49">
        <w:rPr>
          <w:lang w:val="en-US" w:eastAsia="x-none"/>
        </w:rPr>
        <w:t xml:space="preserve"> basin areas, and has been revised in 2022 and 2023 to reflect on the implementation arrangements, and precise locations that FBIH and DB would want to include under the Project. There have been no changes in scope, types of activities or the overall objective of the Program as a result of the AF. </w:t>
      </w:r>
    </w:p>
    <w:p w14:paraId="0181D4A7" w14:textId="183DCC59" w:rsidR="003309A6" w:rsidRPr="00ED4D49" w:rsidRDefault="003309A6" w:rsidP="003309A6">
      <w:pPr>
        <w:jc w:val="both"/>
        <w:rPr>
          <w:iCs/>
          <w:color w:val="1F497C"/>
          <w:lang w:val="en-US"/>
        </w:rPr>
      </w:pPr>
      <w:r w:rsidRPr="00ED4D49">
        <w:rPr>
          <w:rStyle w:val="tlid-translation"/>
          <w:rFonts w:cs="Calibri"/>
          <w:iCs/>
          <w:color w:val="1F497C"/>
          <w:lang w:val="en-US"/>
        </w:rPr>
        <w:lastRenderedPageBreak/>
        <w:t>Objectives of the Environmental and Social Management Framework (ESMF)</w:t>
      </w:r>
    </w:p>
    <w:p w14:paraId="3B0AC099" w14:textId="722ACEAC" w:rsidR="0048126F" w:rsidRPr="00ED4D49" w:rsidRDefault="003309A6" w:rsidP="003309A6">
      <w:pPr>
        <w:jc w:val="both"/>
        <w:rPr>
          <w:rFonts w:cs="Calibri"/>
          <w:lang w:val="en-US"/>
        </w:rPr>
      </w:pPr>
      <w:bookmarkStart w:id="4" w:name="_Hlk25257817"/>
      <w:r w:rsidRPr="00ED4D49">
        <w:rPr>
          <w:lang w:val="en-US"/>
        </w:rPr>
        <w:t xml:space="preserve">Although the potential subprojects are already proposed for each of the phases, taking into consideration the large geographical scope of the Sava and Drina watersheds, and the overall duration of the Program, there is a great chance that a number of </w:t>
      </w:r>
      <w:r w:rsidR="00967F7A" w:rsidRPr="00ED4D49">
        <w:rPr>
          <w:lang w:val="en-US"/>
        </w:rPr>
        <w:t xml:space="preserve">the </w:t>
      </w:r>
      <w:r w:rsidRPr="00ED4D49">
        <w:rPr>
          <w:lang w:val="en-US"/>
        </w:rPr>
        <w:t xml:space="preserve">proposed subprojects will be developed, or further developed during the actual implementation of the project. </w:t>
      </w:r>
      <w:r w:rsidRPr="00ED4D49">
        <w:rPr>
          <w:rStyle w:val="tlid-translation"/>
          <w:rFonts w:cs="Calibri"/>
          <w:lang w:val="en-US"/>
        </w:rPr>
        <w:t>According to the World Bank Environmental and Social Framework</w:t>
      </w:r>
      <w:r w:rsidR="00967F7A" w:rsidRPr="00ED4D49">
        <w:rPr>
          <w:rStyle w:val="tlid-translation"/>
          <w:rFonts w:cs="Calibri"/>
          <w:lang w:val="en-US"/>
        </w:rPr>
        <w:t xml:space="preserve"> (ESF)</w:t>
      </w:r>
      <w:r w:rsidRPr="00ED4D49">
        <w:rPr>
          <w:rStyle w:val="tlid-translation"/>
          <w:rFonts w:cs="Calibri"/>
          <w:lang w:val="en-US"/>
        </w:rPr>
        <w:t xml:space="preserve"> of 2016,</w:t>
      </w:r>
      <w:r w:rsidRPr="00ED4D49">
        <w:rPr>
          <w:lang w:val="en-US"/>
        </w:rPr>
        <w:t xml:space="preserve"> in order to facilitate adequate preparation of such subprojects, </w:t>
      </w:r>
      <w:r w:rsidR="00967F7A" w:rsidRPr="00ED4D49">
        <w:rPr>
          <w:lang w:val="en-US"/>
        </w:rPr>
        <w:t>the</w:t>
      </w:r>
      <w:r w:rsidRPr="00ED4D49">
        <w:rPr>
          <w:lang w:val="en-US"/>
        </w:rPr>
        <w:t xml:space="preserve"> ESMF is used to define and guide the environmental and social </w:t>
      </w:r>
      <w:r w:rsidR="00967F7A" w:rsidRPr="00ED4D49">
        <w:rPr>
          <w:lang w:val="en-US"/>
        </w:rPr>
        <w:t xml:space="preserve">(E&amp;S) </w:t>
      </w:r>
      <w:r w:rsidRPr="00ED4D49">
        <w:rPr>
          <w:lang w:val="en-US"/>
        </w:rPr>
        <w:t>due diligence mechanisms for the said activities.</w:t>
      </w:r>
      <w:r w:rsidR="0048126F" w:rsidRPr="00ED4D49">
        <w:rPr>
          <w:rFonts w:cs="Calibri"/>
          <w:lang w:val="en-US"/>
        </w:rPr>
        <w:t xml:space="preserve"> </w:t>
      </w:r>
    </w:p>
    <w:p w14:paraId="778F8CBC" w14:textId="299F49A8" w:rsidR="00160717" w:rsidRPr="00ED4D49" w:rsidRDefault="0048126F" w:rsidP="003309A6">
      <w:pPr>
        <w:jc w:val="both"/>
        <w:rPr>
          <w:lang w:val="en-US"/>
        </w:rPr>
      </w:pPr>
      <w:r w:rsidRPr="00ED4D49">
        <w:rPr>
          <w:rFonts w:cs="Calibri"/>
          <w:lang w:val="en-US"/>
        </w:rPr>
        <w:t xml:space="preserve">All subprojects to be financed under the Program would be subject to assessment of </w:t>
      </w:r>
      <w:r w:rsidR="00967F7A" w:rsidRPr="00ED4D49">
        <w:rPr>
          <w:rFonts w:cs="Calibri"/>
          <w:lang w:val="en-US"/>
        </w:rPr>
        <w:t>E&amp;S</w:t>
      </w:r>
      <w:r w:rsidRPr="00ED4D49">
        <w:rPr>
          <w:rFonts w:cs="Calibri"/>
          <w:lang w:val="en-US"/>
        </w:rPr>
        <w:t xml:space="preserve"> risks by </w:t>
      </w:r>
      <w:r w:rsidR="00967F7A" w:rsidRPr="00ED4D49">
        <w:rPr>
          <w:rFonts w:cs="Calibri"/>
          <w:lang w:val="en-US"/>
        </w:rPr>
        <w:t xml:space="preserve">the </w:t>
      </w:r>
      <w:r w:rsidRPr="00ED4D49">
        <w:rPr>
          <w:rFonts w:cs="Calibri"/>
          <w:lang w:val="en-US"/>
        </w:rPr>
        <w:t xml:space="preserve">PIUs, following the procedures described in this </w:t>
      </w:r>
      <w:r w:rsidR="00967F7A" w:rsidRPr="00ED4D49">
        <w:rPr>
          <w:rFonts w:cs="Calibri"/>
          <w:lang w:val="en-US"/>
        </w:rPr>
        <w:t>ESMF</w:t>
      </w:r>
      <w:r w:rsidRPr="00ED4D49">
        <w:rPr>
          <w:rFonts w:cs="Calibri"/>
          <w:lang w:val="en-US"/>
        </w:rPr>
        <w:t>. F</w:t>
      </w:r>
      <w:r w:rsidRPr="00ED4D49">
        <w:rPr>
          <w:lang w:val="en-US"/>
        </w:rPr>
        <w:t>or “high” risk subprojects</w:t>
      </w:r>
      <w:r w:rsidR="00967F7A" w:rsidRPr="00ED4D49">
        <w:rPr>
          <w:lang w:val="en-US"/>
        </w:rPr>
        <w:t>,</w:t>
      </w:r>
      <w:r w:rsidRPr="00ED4D49">
        <w:rPr>
          <w:lang w:val="en-US"/>
        </w:rPr>
        <w:t xml:space="preserve"> an </w:t>
      </w:r>
      <w:r w:rsidRPr="00ED4D49">
        <w:rPr>
          <w:i/>
          <w:iCs/>
          <w:lang w:val="en-US"/>
        </w:rPr>
        <w:t>Environmental and Social Impact Assessment (ESIA)</w:t>
      </w:r>
      <w:r w:rsidRPr="00ED4D49">
        <w:rPr>
          <w:lang w:val="en-US"/>
        </w:rPr>
        <w:t xml:space="preserve"> will be </w:t>
      </w:r>
      <w:r w:rsidR="00967F7A" w:rsidRPr="00ED4D49">
        <w:rPr>
          <w:lang w:val="en-US"/>
        </w:rPr>
        <w:t>prepared,</w:t>
      </w:r>
      <w:r w:rsidRPr="00ED4D49">
        <w:rPr>
          <w:lang w:val="en-US"/>
        </w:rPr>
        <w:t xml:space="preserve"> while for “substantial”, “moderate” and “low” risk subprojects</w:t>
      </w:r>
      <w:r w:rsidR="00967F7A" w:rsidRPr="00ED4D49">
        <w:rPr>
          <w:lang w:val="en-US"/>
        </w:rPr>
        <w:t>,</w:t>
      </w:r>
      <w:r w:rsidRPr="00ED4D49">
        <w:rPr>
          <w:lang w:val="en-US"/>
        </w:rPr>
        <w:t xml:space="preserve"> </w:t>
      </w:r>
      <w:r w:rsidR="00967F7A" w:rsidRPr="00ED4D49">
        <w:rPr>
          <w:lang w:val="en-US"/>
        </w:rPr>
        <w:t>an</w:t>
      </w:r>
      <w:r w:rsidRPr="00ED4D49">
        <w:rPr>
          <w:lang w:val="en-US"/>
        </w:rPr>
        <w:t xml:space="preserve"> assessment will be carried out in line with the FB</w:t>
      </w:r>
      <w:r w:rsidR="00967F7A" w:rsidRPr="00ED4D49">
        <w:rPr>
          <w:lang w:val="en-US"/>
        </w:rPr>
        <w:t>i</w:t>
      </w:r>
      <w:r w:rsidRPr="00ED4D49">
        <w:rPr>
          <w:lang w:val="en-US"/>
        </w:rPr>
        <w:t>H, RS and BD environmental laws (</w:t>
      </w:r>
      <w:r w:rsidR="00967F7A" w:rsidRPr="00ED4D49">
        <w:rPr>
          <w:lang w:val="en-US"/>
        </w:rPr>
        <w:t>depending on</w:t>
      </w:r>
      <w:r w:rsidRPr="00ED4D49">
        <w:rPr>
          <w:lang w:val="en-US"/>
        </w:rPr>
        <w:t xml:space="preserve"> the subproject location) and will include preparation of a site-specific </w:t>
      </w:r>
      <w:r w:rsidRPr="00ED4D49">
        <w:rPr>
          <w:rStyle w:val="tlid-translation"/>
          <w:rFonts w:cs="Calibri"/>
          <w:i/>
          <w:lang w:val="en-US"/>
        </w:rPr>
        <w:t>Environmental and Social Management Plan</w:t>
      </w:r>
      <w:r w:rsidRPr="00ED4D49">
        <w:rPr>
          <w:rStyle w:val="tlid-translation"/>
          <w:rFonts w:cs="Calibri"/>
          <w:iCs/>
          <w:lang w:val="en-US"/>
        </w:rPr>
        <w:t>, all</w:t>
      </w:r>
      <w:r w:rsidRPr="00ED4D49">
        <w:rPr>
          <w:lang w:val="en-US"/>
        </w:rPr>
        <w:t xml:space="preserve"> in line with this ESMF and </w:t>
      </w:r>
      <w:r w:rsidR="00967F7A" w:rsidRPr="00ED4D49">
        <w:rPr>
          <w:lang w:val="en-US"/>
        </w:rPr>
        <w:t xml:space="preserve">the </w:t>
      </w:r>
      <w:r w:rsidRPr="00ED4D49">
        <w:rPr>
          <w:lang w:val="en-US"/>
        </w:rPr>
        <w:t>provisions set forth under the World Bank ESS1 and ESF. The other relevant ESSs and O</w:t>
      </w:r>
      <w:r w:rsidR="00EC6184" w:rsidRPr="00ED4D49">
        <w:rPr>
          <w:lang w:val="en-US"/>
        </w:rPr>
        <w:t>P</w:t>
      </w:r>
      <w:r w:rsidRPr="00ED4D49">
        <w:rPr>
          <w:lang w:val="en-US"/>
        </w:rPr>
        <w:t>s are:</w:t>
      </w:r>
      <w:bookmarkEnd w:id="4"/>
      <w:r w:rsidR="0070527B" w:rsidRPr="00ED4D49">
        <w:rPr>
          <w:lang w:val="en-US"/>
        </w:rPr>
        <w:t xml:space="preserve"> </w:t>
      </w:r>
    </w:p>
    <w:tbl>
      <w:tblPr>
        <w:tblStyle w:val="TableGridLight"/>
        <w:tblW w:w="0" w:type="auto"/>
        <w:tblInd w:w="137" w:type="dxa"/>
        <w:tblLook w:val="04A0" w:firstRow="1" w:lastRow="0" w:firstColumn="1" w:lastColumn="0" w:noHBand="0" w:noVBand="1"/>
      </w:tblPr>
      <w:tblGrid>
        <w:gridCol w:w="851"/>
        <w:gridCol w:w="7796"/>
      </w:tblGrid>
      <w:tr w:rsidR="0048126F" w:rsidRPr="00ED4D49" w14:paraId="4B3FE756" w14:textId="77777777" w:rsidTr="0048126F">
        <w:tc>
          <w:tcPr>
            <w:tcW w:w="8647" w:type="dxa"/>
            <w:gridSpan w:val="2"/>
          </w:tcPr>
          <w:p w14:paraId="3033B8A9" w14:textId="7C5E0A7C" w:rsidR="0048126F" w:rsidRPr="00ED4D49" w:rsidRDefault="0048126F" w:rsidP="00160717">
            <w:pPr>
              <w:spacing w:after="0"/>
              <w:ind w:right="144"/>
              <w:rPr>
                <w:color w:val="336699"/>
                <w:sz w:val="16"/>
                <w:szCs w:val="16"/>
                <w:lang w:val="en-US"/>
              </w:rPr>
            </w:pPr>
            <w:r w:rsidRPr="00ED4D49">
              <w:rPr>
                <w:color w:val="336699"/>
                <w:sz w:val="16"/>
                <w:szCs w:val="16"/>
                <w:lang w:val="en-US"/>
              </w:rPr>
              <w:t>ESS/OP</w:t>
            </w:r>
          </w:p>
        </w:tc>
      </w:tr>
      <w:tr w:rsidR="0048126F" w:rsidRPr="00ED4D49" w14:paraId="4F073504" w14:textId="77777777" w:rsidTr="0048126F">
        <w:tc>
          <w:tcPr>
            <w:tcW w:w="851" w:type="dxa"/>
          </w:tcPr>
          <w:p w14:paraId="6D9AB411" w14:textId="77777777" w:rsidR="0048126F" w:rsidRPr="00ED4D49" w:rsidRDefault="0048126F" w:rsidP="00160717">
            <w:pPr>
              <w:rPr>
                <w:bCs/>
                <w:sz w:val="16"/>
                <w:szCs w:val="16"/>
                <w:lang w:val="en-US"/>
              </w:rPr>
            </w:pPr>
            <w:r w:rsidRPr="00ED4D49">
              <w:rPr>
                <w:bCs/>
                <w:sz w:val="16"/>
                <w:szCs w:val="16"/>
                <w:lang w:val="en-US"/>
              </w:rPr>
              <w:t>ESS1</w:t>
            </w:r>
          </w:p>
        </w:tc>
        <w:tc>
          <w:tcPr>
            <w:tcW w:w="7796" w:type="dxa"/>
          </w:tcPr>
          <w:p w14:paraId="62FAEA9B" w14:textId="77777777" w:rsidR="0048126F" w:rsidRPr="00ED4D49" w:rsidRDefault="0048126F" w:rsidP="00160717">
            <w:pPr>
              <w:rPr>
                <w:bCs/>
                <w:sz w:val="16"/>
                <w:szCs w:val="16"/>
                <w:lang w:val="en-US"/>
              </w:rPr>
            </w:pPr>
            <w:r w:rsidRPr="00ED4D49">
              <w:rPr>
                <w:bCs/>
                <w:sz w:val="16"/>
                <w:szCs w:val="16"/>
                <w:lang w:val="en-US"/>
              </w:rPr>
              <w:t>Assessment and Management of Environmental and Social Risks and Impacts</w:t>
            </w:r>
          </w:p>
        </w:tc>
      </w:tr>
      <w:tr w:rsidR="0048126F" w:rsidRPr="00ED4D49" w14:paraId="42C16DE2" w14:textId="77777777" w:rsidTr="0048126F">
        <w:tc>
          <w:tcPr>
            <w:tcW w:w="851" w:type="dxa"/>
          </w:tcPr>
          <w:p w14:paraId="6289CC31" w14:textId="77777777" w:rsidR="0048126F" w:rsidRPr="00ED4D49" w:rsidRDefault="0048126F" w:rsidP="00160717">
            <w:pPr>
              <w:rPr>
                <w:bCs/>
                <w:sz w:val="16"/>
                <w:szCs w:val="16"/>
                <w:lang w:val="en-US"/>
              </w:rPr>
            </w:pPr>
            <w:r w:rsidRPr="00ED4D49">
              <w:rPr>
                <w:bCs/>
                <w:sz w:val="16"/>
                <w:szCs w:val="16"/>
                <w:lang w:val="en-US"/>
              </w:rPr>
              <w:t>ESS2</w:t>
            </w:r>
          </w:p>
        </w:tc>
        <w:tc>
          <w:tcPr>
            <w:tcW w:w="7796" w:type="dxa"/>
          </w:tcPr>
          <w:p w14:paraId="5B6B69A9" w14:textId="77777777" w:rsidR="0048126F" w:rsidRPr="00ED4D49" w:rsidRDefault="0048126F" w:rsidP="00160717">
            <w:pPr>
              <w:rPr>
                <w:bCs/>
                <w:sz w:val="16"/>
                <w:szCs w:val="16"/>
                <w:lang w:val="en-US"/>
              </w:rPr>
            </w:pPr>
            <w:r w:rsidRPr="00ED4D49">
              <w:rPr>
                <w:bCs/>
                <w:sz w:val="16"/>
                <w:szCs w:val="16"/>
                <w:lang w:val="en-US"/>
              </w:rPr>
              <w:t>Labor and Working Conditions</w:t>
            </w:r>
          </w:p>
        </w:tc>
      </w:tr>
      <w:tr w:rsidR="0048126F" w:rsidRPr="00ED4D49" w14:paraId="04A65199" w14:textId="77777777" w:rsidTr="0048126F">
        <w:tc>
          <w:tcPr>
            <w:tcW w:w="851" w:type="dxa"/>
          </w:tcPr>
          <w:p w14:paraId="11A149C0" w14:textId="77777777" w:rsidR="0048126F" w:rsidRPr="00ED4D49" w:rsidRDefault="0048126F" w:rsidP="00160717">
            <w:pPr>
              <w:rPr>
                <w:bCs/>
                <w:sz w:val="16"/>
                <w:szCs w:val="16"/>
                <w:lang w:val="en-US"/>
              </w:rPr>
            </w:pPr>
            <w:r w:rsidRPr="00ED4D49">
              <w:rPr>
                <w:bCs/>
                <w:sz w:val="16"/>
                <w:szCs w:val="16"/>
                <w:lang w:val="en-US"/>
              </w:rPr>
              <w:t>ESS3</w:t>
            </w:r>
          </w:p>
        </w:tc>
        <w:tc>
          <w:tcPr>
            <w:tcW w:w="7796" w:type="dxa"/>
          </w:tcPr>
          <w:p w14:paraId="73970BA3" w14:textId="77777777" w:rsidR="0048126F" w:rsidRPr="00ED4D49" w:rsidRDefault="0048126F" w:rsidP="00160717">
            <w:pPr>
              <w:rPr>
                <w:bCs/>
                <w:sz w:val="16"/>
                <w:szCs w:val="16"/>
                <w:lang w:val="en-US"/>
              </w:rPr>
            </w:pPr>
            <w:r w:rsidRPr="00ED4D49">
              <w:rPr>
                <w:bCs/>
                <w:sz w:val="16"/>
                <w:szCs w:val="16"/>
                <w:lang w:val="en-US"/>
              </w:rPr>
              <w:t>Resource Efficiency and Pollution Prevention and Management</w:t>
            </w:r>
          </w:p>
        </w:tc>
      </w:tr>
      <w:tr w:rsidR="0048126F" w:rsidRPr="00ED4D49" w14:paraId="23E032FE" w14:textId="77777777" w:rsidTr="0048126F">
        <w:tc>
          <w:tcPr>
            <w:tcW w:w="851" w:type="dxa"/>
          </w:tcPr>
          <w:p w14:paraId="7B9504EA" w14:textId="77777777" w:rsidR="0048126F" w:rsidRPr="00ED4D49" w:rsidRDefault="0048126F" w:rsidP="00160717">
            <w:pPr>
              <w:rPr>
                <w:bCs/>
                <w:sz w:val="16"/>
                <w:szCs w:val="16"/>
                <w:lang w:val="en-US"/>
              </w:rPr>
            </w:pPr>
            <w:r w:rsidRPr="00ED4D49">
              <w:rPr>
                <w:bCs/>
                <w:sz w:val="16"/>
                <w:szCs w:val="16"/>
                <w:lang w:val="en-US"/>
              </w:rPr>
              <w:t>ESS4</w:t>
            </w:r>
          </w:p>
        </w:tc>
        <w:tc>
          <w:tcPr>
            <w:tcW w:w="7796" w:type="dxa"/>
          </w:tcPr>
          <w:p w14:paraId="1EEA76E7" w14:textId="77777777" w:rsidR="0048126F" w:rsidRPr="00ED4D49" w:rsidRDefault="0048126F" w:rsidP="00160717">
            <w:pPr>
              <w:rPr>
                <w:bCs/>
                <w:sz w:val="16"/>
                <w:szCs w:val="16"/>
                <w:lang w:val="en-US"/>
              </w:rPr>
            </w:pPr>
            <w:r w:rsidRPr="00ED4D49">
              <w:rPr>
                <w:bCs/>
                <w:sz w:val="16"/>
                <w:szCs w:val="16"/>
                <w:lang w:val="en-US"/>
              </w:rPr>
              <w:t>Community Health and Safety</w:t>
            </w:r>
          </w:p>
        </w:tc>
      </w:tr>
      <w:tr w:rsidR="0048126F" w:rsidRPr="00ED4D49" w14:paraId="19231A62" w14:textId="77777777" w:rsidTr="0048126F">
        <w:tc>
          <w:tcPr>
            <w:tcW w:w="851" w:type="dxa"/>
          </w:tcPr>
          <w:p w14:paraId="6B110127" w14:textId="77777777" w:rsidR="0048126F" w:rsidRPr="00ED4D49" w:rsidRDefault="0048126F" w:rsidP="00160717">
            <w:pPr>
              <w:rPr>
                <w:bCs/>
                <w:sz w:val="16"/>
                <w:szCs w:val="16"/>
                <w:lang w:val="en-US"/>
              </w:rPr>
            </w:pPr>
            <w:r w:rsidRPr="00ED4D49">
              <w:rPr>
                <w:bCs/>
                <w:sz w:val="16"/>
                <w:szCs w:val="16"/>
                <w:lang w:val="en-US"/>
              </w:rPr>
              <w:t>ESS5</w:t>
            </w:r>
          </w:p>
        </w:tc>
        <w:tc>
          <w:tcPr>
            <w:tcW w:w="7796" w:type="dxa"/>
          </w:tcPr>
          <w:p w14:paraId="06662EEE" w14:textId="77777777" w:rsidR="0048126F" w:rsidRPr="00ED4D49" w:rsidRDefault="0048126F" w:rsidP="00160717">
            <w:pPr>
              <w:rPr>
                <w:bCs/>
                <w:sz w:val="16"/>
                <w:szCs w:val="16"/>
                <w:lang w:val="en-US"/>
              </w:rPr>
            </w:pPr>
            <w:r w:rsidRPr="00ED4D49">
              <w:rPr>
                <w:bCs/>
                <w:sz w:val="16"/>
                <w:szCs w:val="16"/>
                <w:lang w:val="en-US"/>
              </w:rPr>
              <w:t>Land Acquisition, Restrictions on Land Use and Involuntary Resettlement</w:t>
            </w:r>
          </w:p>
        </w:tc>
      </w:tr>
      <w:tr w:rsidR="0048126F" w:rsidRPr="00ED4D49" w14:paraId="05E310CE" w14:textId="77777777" w:rsidTr="0048126F">
        <w:tc>
          <w:tcPr>
            <w:tcW w:w="851" w:type="dxa"/>
          </w:tcPr>
          <w:p w14:paraId="72B7E4BC" w14:textId="77777777" w:rsidR="0048126F" w:rsidRPr="00ED4D49" w:rsidRDefault="0048126F" w:rsidP="00160717">
            <w:pPr>
              <w:rPr>
                <w:bCs/>
                <w:sz w:val="16"/>
                <w:szCs w:val="16"/>
                <w:lang w:val="en-US"/>
              </w:rPr>
            </w:pPr>
            <w:r w:rsidRPr="00ED4D49">
              <w:rPr>
                <w:bCs/>
                <w:sz w:val="16"/>
                <w:szCs w:val="16"/>
                <w:lang w:val="en-US"/>
              </w:rPr>
              <w:t>ESS6</w:t>
            </w:r>
          </w:p>
        </w:tc>
        <w:tc>
          <w:tcPr>
            <w:tcW w:w="7796" w:type="dxa"/>
          </w:tcPr>
          <w:p w14:paraId="13CEF6E9" w14:textId="77777777" w:rsidR="0048126F" w:rsidRPr="00ED4D49" w:rsidRDefault="0048126F" w:rsidP="00160717">
            <w:pPr>
              <w:rPr>
                <w:bCs/>
                <w:sz w:val="16"/>
                <w:szCs w:val="16"/>
                <w:lang w:val="en-US"/>
              </w:rPr>
            </w:pPr>
            <w:r w:rsidRPr="00ED4D49">
              <w:rPr>
                <w:bCs/>
                <w:sz w:val="16"/>
                <w:szCs w:val="16"/>
                <w:lang w:val="en-US"/>
              </w:rPr>
              <w:t>Biodiversity Conservation and Sustainable Management of Living Natural Resources</w:t>
            </w:r>
          </w:p>
        </w:tc>
      </w:tr>
      <w:tr w:rsidR="0048126F" w:rsidRPr="00ED4D49" w14:paraId="1867D83F" w14:textId="77777777" w:rsidTr="0048126F">
        <w:tc>
          <w:tcPr>
            <w:tcW w:w="851" w:type="dxa"/>
          </w:tcPr>
          <w:p w14:paraId="73085F3D" w14:textId="77777777" w:rsidR="0048126F" w:rsidRPr="00ED4D49" w:rsidRDefault="0048126F" w:rsidP="00160717">
            <w:pPr>
              <w:rPr>
                <w:bCs/>
                <w:sz w:val="16"/>
                <w:szCs w:val="16"/>
                <w:lang w:val="en-US"/>
              </w:rPr>
            </w:pPr>
            <w:r w:rsidRPr="00ED4D49">
              <w:rPr>
                <w:bCs/>
                <w:sz w:val="16"/>
                <w:szCs w:val="16"/>
                <w:lang w:val="en-US"/>
              </w:rPr>
              <w:t>ESS8</w:t>
            </w:r>
          </w:p>
        </w:tc>
        <w:tc>
          <w:tcPr>
            <w:tcW w:w="7796" w:type="dxa"/>
          </w:tcPr>
          <w:p w14:paraId="233A8E0A" w14:textId="77777777" w:rsidR="0048126F" w:rsidRPr="00ED4D49" w:rsidRDefault="0048126F" w:rsidP="00160717">
            <w:pPr>
              <w:rPr>
                <w:bCs/>
                <w:sz w:val="16"/>
                <w:szCs w:val="16"/>
                <w:lang w:val="en-US"/>
              </w:rPr>
            </w:pPr>
            <w:r w:rsidRPr="00ED4D49">
              <w:rPr>
                <w:bCs/>
                <w:sz w:val="16"/>
                <w:szCs w:val="16"/>
                <w:lang w:val="en-US"/>
              </w:rPr>
              <w:t>Cultural Heritage</w:t>
            </w:r>
          </w:p>
        </w:tc>
      </w:tr>
      <w:tr w:rsidR="0048126F" w:rsidRPr="00ED4D49" w14:paraId="20CCA1C5" w14:textId="77777777" w:rsidTr="0048126F">
        <w:tc>
          <w:tcPr>
            <w:tcW w:w="851" w:type="dxa"/>
          </w:tcPr>
          <w:p w14:paraId="699C387A" w14:textId="54BF7C77" w:rsidR="0048126F" w:rsidRPr="00ED4D49" w:rsidRDefault="0048126F" w:rsidP="00160717">
            <w:pPr>
              <w:rPr>
                <w:bCs/>
                <w:sz w:val="16"/>
                <w:szCs w:val="16"/>
                <w:lang w:val="en-US"/>
              </w:rPr>
            </w:pPr>
            <w:r w:rsidRPr="00ED4D49">
              <w:rPr>
                <w:bCs/>
                <w:sz w:val="16"/>
                <w:szCs w:val="16"/>
                <w:lang w:val="en-US"/>
              </w:rPr>
              <w:t>OP 7.50</w:t>
            </w:r>
          </w:p>
        </w:tc>
        <w:tc>
          <w:tcPr>
            <w:tcW w:w="7796" w:type="dxa"/>
          </w:tcPr>
          <w:p w14:paraId="292F90A4" w14:textId="6DD4EB24" w:rsidR="0048126F" w:rsidRPr="00ED4D49" w:rsidRDefault="0048126F" w:rsidP="00160717">
            <w:pPr>
              <w:rPr>
                <w:bCs/>
                <w:sz w:val="16"/>
                <w:szCs w:val="16"/>
                <w:lang w:val="en-US"/>
              </w:rPr>
            </w:pPr>
            <w:r w:rsidRPr="00ED4D49">
              <w:rPr>
                <w:bCs/>
                <w:sz w:val="16"/>
                <w:szCs w:val="16"/>
                <w:lang w:val="en-US"/>
              </w:rPr>
              <w:t>Projects on international waterways</w:t>
            </w:r>
          </w:p>
        </w:tc>
      </w:tr>
    </w:tbl>
    <w:p w14:paraId="67AEC8F6" w14:textId="77777777" w:rsidR="00A422DD" w:rsidRPr="00ED4D49" w:rsidRDefault="00A422DD" w:rsidP="003309A6">
      <w:pPr>
        <w:jc w:val="both"/>
        <w:rPr>
          <w:color w:val="1F497C"/>
          <w:lang w:val="en-US"/>
        </w:rPr>
      </w:pPr>
    </w:p>
    <w:p w14:paraId="3D8241B7" w14:textId="6F096989" w:rsidR="0048126F" w:rsidRPr="00ED4D49" w:rsidRDefault="0048126F" w:rsidP="003309A6">
      <w:pPr>
        <w:jc w:val="both"/>
        <w:rPr>
          <w:color w:val="1F497C"/>
          <w:lang w:val="en-US"/>
        </w:rPr>
      </w:pPr>
      <w:bookmarkStart w:id="5" w:name="_Hlk25257836"/>
      <w:r w:rsidRPr="00ED4D49">
        <w:rPr>
          <w:color w:val="1F497C"/>
          <w:lang w:val="en-US"/>
        </w:rPr>
        <w:t>Environmental and social assessment of subprojects</w:t>
      </w:r>
    </w:p>
    <w:p w14:paraId="41BFB35D" w14:textId="5A3BB896" w:rsidR="0048126F" w:rsidRPr="00ED4D49" w:rsidRDefault="00967F7A" w:rsidP="0048126F">
      <w:pPr>
        <w:jc w:val="both"/>
        <w:rPr>
          <w:lang w:val="en-US" w:eastAsia="x-none"/>
        </w:rPr>
      </w:pPr>
      <w:r w:rsidRPr="00ED4D49">
        <w:rPr>
          <w:lang w:val="en-US" w:eastAsia="x-none"/>
        </w:rPr>
        <w:t>A</w:t>
      </w:r>
      <w:r w:rsidR="0048126F" w:rsidRPr="00ED4D49">
        <w:rPr>
          <w:lang w:val="en-US" w:eastAsia="x-none"/>
        </w:rPr>
        <w:t xml:space="preserve">ctivities that will be implemented in </w:t>
      </w:r>
      <w:r w:rsidRPr="00ED4D49">
        <w:rPr>
          <w:lang w:val="en-US" w:eastAsia="x-none"/>
        </w:rPr>
        <w:t xml:space="preserve">the </w:t>
      </w:r>
      <w:r w:rsidR="0048126F" w:rsidRPr="00ED4D49">
        <w:rPr>
          <w:lang w:val="en-US" w:eastAsia="x-none"/>
        </w:rPr>
        <w:t>framework of Component 1</w:t>
      </w:r>
      <w:r w:rsidR="00FB14DF" w:rsidRPr="00ED4D49">
        <w:rPr>
          <w:lang w:val="en-US" w:eastAsia="x-none"/>
        </w:rPr>
        <w:t xml:space="preserve">, </w:t>
      </w:r>
      <w:r w:rsidR="0048126F" w:rsidRPr="00ED4D49">
        <w:rPr>
          <w:lang w:val="en-US" w:eastAsia="x-none"/>
        </w:rPr>
        <w:t>Component 2</w:t>
      </w:r>
      <w:r w:rsidR="00FB14DF" w:rsidRPr="00ED4D49">
        <w:rPr>
          <w:lang w:val="en-US" w:eastAsia="x-none"/>
        </w:rPr>
        <w:t xml:space="preserve"> and Component 4</w:t>
      </w:r>
      <w:r w:rsidR="0048126F" w:rsidRPr="00ED4D49">
        <w:rPr>
          <w:lang w:val="en-US" w:eastAsia="x-none"/>
        </w:rPr>
        <w:t xml:space="preserve"> versus the WB and the national </w:t>
      </w:r>
      <w:r w:rsidRPr="00ED4D49">
        <w:rPr>
          <w:lang w:val="en-US" w:eastAsia="x-none"/>
        </w:rPr>
        <w:t>E&amp;S</w:t>
      </w:r>
      <w:r w:rsidR="0048126F" w:rsidRPr="00ED4D49">
        <w:rPr>
          <w:lang w:val="en-US" w:eastAsia="x-none"/>
        </w:rPr>
        <w:t xml:space="preserve"> requirements that need to be fulfilled in the process of project approval </w:t>
      </w:r>
      <w:r w:rsidRPr="00ED4D49">
        <w:rPr>
          <w:lang w:val="en-US" w:eastAsia="x-none"/>
        </w:rPr>
        <w:t>are</w:t>
      </w:r>
      <w:r w:rsidR="0048126F" w:rsidRPr="00ED4D49">
        <w:rPr>
          <w:lang w:val="en-US" w:eastAsia="x-none"/>
        </w:rPr>
        <w:t xml:space="preserve"> listed below. </w:t>
      </w:r>
      <w:r w:rsidR="00FB14DF" w:rsidRPr="00ED4D49">
        <w:rPr>
          <w:lang w:val="en-US" w:eastAsia="x-none"/>
        </w:rPr>
        <w:t xml:space="preserve">Activities in the framework of Component 3 do not entail environmental and social risks. </w:t>
      </w:r>
      <w:r w:rsidR="0048126F" w:rsidRPr="00ED4D49">
        <w:rPr>
          <w:lang w:val="en-US" w:eastAsia="x-none"/>
        </w:rPr>
        <w:t>The national requirements stem from legal requirements in the field of environmental protection, water management and physical planning and construction in FBiH, RS and BD. In case the Borrower propose</w:t>
      </w:r>
      <w:r w:rsidRPr="00ED4D49">
        <w:rPr>
          <w:lang w:val="en-US" w:eastAsia="x-none"/>
        </w:rPr>
        <w:t>s</w:t>
      </w:r>
      <w:r w:rsidR="0048126F" w:rsidRPr="00ED4D49">
        <w:rPr>
          <w:lang w:val="en-US" w:eastAsia="x-none"/>
        </w:rPr>
        <w:t xml:space="preserve"> other type</w:t>
      </w:r>
      <w:r w:rsidRPr="00ED4D49">
        <w:rPr>
          <w:lang w:val="en-US" w:eastAsia="x-none"/>
        </w:rPr>
        <w:t>s</w:t>
      </w:r>
      <w:r w:rsidR="0048126F" w:rsidRPr="00ED4D49">
        <w:rPr>
          <w:lang w:val="en-US" w:eastAsia="x-none"/>
        </w:rPr>
        <w:t xml:space="preserve"> of </w:t>
      </w:r>
      <w:r w:rsidR="00A422DD" w:rsidRPr="00ED4D49">
        <w:rPr>
          <w:lang w:val="en-US" w:eastAsia="x-none"/>
        </w:rPr>
        <w:t>activit</w:t>
      </w:r>
      <w:r w:rsidRPr="00ED4D49">
        <w:rPr>
          <w:lang w:val="en-US" w:eastAsia="x-none"/>
        </w:rPr>
        <w:t>ies</w:t>
      </w:r>
      <w:r w:rsidR="00A422DD" w:rsidRPr="00ED4D49">
        <w:rPr>
          <w:lang w:val="en-US" w:eastAsia="x-none"/>
        </w:rPr>
        <w:t>,</w:t>
      </w:r>
      <w:r w:rsidR="0048126F" w:rsidRPr="00ED4D49">
        <w:rPr>
          <w:lang w:val="en-US" w:eastAsia="x-none"/>
        </w:rPr>
        <w:t xml:space="preserve"> which </w:t>
      </w:r>
      <w:r w:rsidRPr="00ED4D49">
        <w:rPr>
          <w:lang w:val="en-US" w:eastAsia="x-none"/>
        </w:rPr>
        <w:t>are</w:t>
      </w:r>
      <w:r w:rsidR="0048126F" w:rsidRPr="00ED4D49">
        <w:rPr>
          <w:lang w:val="en-US" w:eastAsia="x-none"/>
        </w:rPr>
        <w:t xml:space="preserve"> not mentioned in the table </w:t>
      </w:r>
      <w:r w:rsidR="00A422DD" w:rsidRPr="00ED4D49">
        <w:rPr>
          <w:lang w:val="en-US" w:eastAsia="x-none"/>
        </w:rPr>
        <w:t>below</w:t>
      </w:r>
      <w:r w:rsidR="0048126F" w:rsidRPr="00ED4D49">
        <w:rPr>
          <w:lang w:val="en-US" w:eastAsia="x-none"/>
        </w:rPr>
        <w:t xml:space="preserve">, the decision on financing </w:t>
      </w:r>
      <w:r w:rsidRPr="00ED4D49">
        <w:rPr>
          <w:lang w:val="en-US" w:eastAsia="x-none"/>
        </w:rPr>
        <w:t xml:space="preserve">of such activities </w:t>
      </w:r>
      <w:r w:rsidR="0048126F" w:rsidRPr="00ED4D49">
        <w:rPr>
          <w:lang w:val="en-US" w:eastAsia="x-none"/>
        </w:rPr>
        <w:t xml:space="preserve">will be made through </w:t>
      </w:r>
      <w:r w:rsidR="0099422A" w:rsidRPr="00ED4D49">
        <w:rPr>
          <w:lang w:val="en-US" w:eastAsia="x-none"/>
        </w:rPr>
        <w:t xml:space="preserve">a </w:t>
      </w:r>
      <w:r w:rsidR="0048126F" w:rsidRPr="00ED4D49">
        <w:rPr>
          <w:lang w:val="en-US" w:eastAsia="x-none"/>
        </w:rPr>
        <w:t xml:space="preserve">dialogue with the </w:t>
      </w:r>
      <w:r w:rsidR="0070527B" w:rsidRPr="00ED4D49">
        <w:rPr>
          <w:lang w:val="en-US" w:eastAsia="x-none"/>
        </w:rPr>
        <w:t>Bank and</w:t>
      </w:r>
      <w:r w:rsidR="0048126F" w:rsidRPr="00ED4D49">
        <w:rPr>
          <w:lang w:val="en-US" w:eastAsia="x-none"/>
        </w:rPr>
        <w:t xml:space="preserve"> based on project categorization and adequate due diligence.</w:t>
      </w:r>
    </w:p>
    <w:tbl>
      <w:tblPr>
        <w:tblStyle w:val="TableGridLight"/>
        <w:tblW w:w="9067" w:type="dxa"/>
        <w:tblLook w:val="04A0" w:firstRow="1" w:lastRow="0" w:firstColumn="1" w:lastColumn="0" w:noHBand="0" w:noVBand="1"/>
      </w:tblPr>
      <w:tblGrid>
        <w:gridCol w:w="1555"/>
        <w:gridCol w:w="1133"/>
        <w:gridCol w:w="1360"/>
        <w:gridCol w:w="2523"/>
        <w:gridCol w:w="1227"/>
        <w:gridCol w:w="1269"/>
      </w:tblGrid>
      <w:tr w:rsidR="0048126F" w:rsidRPr="00ED4D49" w14:paraId="0D25B44D" w14:textId="77777777" w:rsidTr="0024607F">
        <w:trPr>
          <w:trHeight w:val="271"/>
          <w:tblHeader/>
        </w:trPr>
        <w:tc>
          <w:tcPr>
            <w:tcW w:w="1555" w:type="dxa"/>
            <w:vMerge w:val="restart"/>
          </w:tcPr>
          <w:bookmarkEnd w:id="5"/>
          <w:p w14:paraId="21E495DA" w14:textId="77777777" w:rsidR="0048126F" w:rsidRPr="00ED4D49" w:rsidRDefault="0048126F" w:rsidP="00160717">
            <w:pPr>
              <w:spacing w:beforeLines="60" w:before="144" w:afterLines="60" w:after="144" w:line="240" w:lineRule="auto"/>
              <w:ind w:right="144"/>
              <w:rPr>
                <w:rFonts w:cs="Calibri"/>
                <w:color w:val="336699"/>
                <w:sz w:val="16"/>
                <w:szCs w:val="16"/>
                <w:lang w:val="en-US"/>
              </w:rPr>
            </w:pPr>
            <w:r w:rsidRPr="00ED4D49">
              <w:rPr>
                <w:rFonts w:cs="Calibri"/>
                <w:color w:val="336699"/>
                <w:sz w:val="16"/>
                <w:szCs w:val="16"/>
                <w:lang w:val="en-US"/>
              </w:rPr>
              <w:t>Type of activities</w:t>
            </w:r>
          </w:p>
        </w:tc>
        <w:tc>
          <w:tcPr>
            <w:tcW w:w="2493" w:type="dxa"/>
            <w:gridSpan w:val="2"/>
          </w:tcPr>
          <w:p w14:paraId="59558178" w14:textId="77777777" w:rsidR="0048126F" w:rsidRPr="00ED4D49" w:rsidRDefault="0048126F" w:rsidP="00160717">
            <w:pPr>
              <w:spacing w:beforeLines="60" w:before="144" w:afterLines="60" w:after="144" w:line="240" w:lineRule="auto"/>
              <w:ind w:right="144"/>
              <w:jc w:val="center"/>
              <w:rPr>
                <w:rFonts w:cs="Calibri"/>
                <w:color w:val="336699"/>
                <w:sz w:val="16"/>
                <w:szCs w:val="16"/>
                <w:lang w:val="en-US"/>
              </w:rPr>
            </w:pPr>
            <w:r w:rsidRPr="00ED4D49">
              <w:rPr>
                <w:rFonts w:cs="Calibri"/>
                <w:color w:val="336699"/>
                <w:sz w:val="16"/>
                <w:szCs w:val="16"/>
                <w:lang w:val="en-US"/>
              </w:rPr>
              <w:t>WB requirements</w:t>
            </w:r>
          </w:p>
        </w:tc>
        <w:tc>
          <w:tcPr>
            <w:tcW w:w="5019" w:type="dxa"/>
            <w:gridSpan w:val="3"/>
          </w:tcPr>
          <w:p w14:paraId="4054B80D" w14:textId="77777777" w:rsidR="0048126F" w:rsidRPr="00ED4D49" w:rsidRDefault="0048126F" w:rsidP="00160717">
            <w:pPr>
              <w:spacing w:beforeLines="60" w:before="144" w:afterLines="60" w:after="144" w:line="240" w:lineRule="auto"/>
              <w:ind w:right="144"/>
              <w:jc w:val="center"/>
              <w:rPr>
                <w:rFonts w:cs="Calibri"/>
                <w:color w:val="336699"/>
                <w:sz w:val="16"/>
                <w:szCs w:val="16"/>
                <w:lang w:val="en-US"/>
              </w:rPr>
            </w:pPr>
            <w:r w:rsidRPr="00ED4D49">
              <w:rPr>
                <w:rFonts w:cs="Calibri"/>
                <w:color w:val="336699"/>
                <w:sz w:val="16"/>
                <w:szCs w:val="16"/>
                <w:lang w:val="en-US"/>
              </w:rPr>
              <w:t>N</w:t>
            </w:r>
            <w:r w:rsidRPr="00ED4D49">
              <w:rPr>
                <w:color w:val="336699"/>
                <w:sz w:val="16"/>
                <w:szCs w:val="16"/>
                <w:lang w:val="en-US"/>
              </w:rPr>
              <w:t>ational requirements</w:t>
            </w:r>
          </w:p>
        </w:tc>
      </w:tr>
      <w:tr w:rsidR="0048126F" w:rsidRPr="00ED4D49" w14:paraId="7EEBF90B" w14:textId="77777777" w:rsidTr="0024607F">
        <w:trPr>
          <w:trHeight w:val="706"/>
          <w:tblHeader/>
        </w:trPr>
        <w:tc>
          <w:tcPr>
            <w:tcW w:w="1555" w:type="dxa"/>
            <w:vMerge/>
          </w:tcPr>
          <w:p w14:paraId="7A829ED3" w14:textId="77777777" w:rsidR="0048126F" w:rsidRPr="00ED4D49" w:rsidRDefault="0048126F" w:rsidP="00160717">
            <w:pPr>
              <w:spacing w:beforeLines="60" w:before="144" w:afterLines="60" w:after="144" w:line="240" w:lineRule="auto"/>
              <w:ind w:right="144"/>
              <w:rPr>
                <w:rFonts w:cs="Calibri"/>
                <w:color w:val="336699"/>
                <w:sz w:val="16"/>
                <w:szCs w:val="16"/>
                <w:lang w:val="en-US"/>
              </w:rPr>
            </w:pPr>
          </w:p>
        </w:tc>
        <w:tc>
          <w:tcPr>
            <w:tcW w:w="1133" w:type="dxa"/>
          </w:tcPr>
          <w:p w14:paraId="0013EEFB" w14:textId="77777777" w:rsidR="0048126F" w:rsidRPr="00ED4D49" w:rsidRDefault="0048126F" w:rsidP="00160717">
            <w:pPr>
              <w:spacing w:beforeLines="60" w:before="144" w:afterLines="60" w:after="144" w:line="240" w:lineRule="auto"/>
              <w:ind w:right="144"/>
              <w:rPr>
                <w:rFonts w:cs="Calibri"/>
                <w:color w:val="336699"/>
                <w:sz w:val="16"/>
                <w:szCs w:val="16"/>
                <w:lang w:val="en-US"/>
              </w:rPr>
            </w:pPr>
            <w:r w:rsidRPr="00ED4D49">
              <w:rPr>
                <w:rFonts w:cs="Calibri"/>
                <w:color w:val="336699"/>
                <w:sz w:val="16"/>
                <w:szCs w:val="16"/>
                <w:lang w:val="en-US"/>
              </w:rPr>
              <w:t>Category pursuant to WB</w:t>
            </w:r>
          </w:p>
        </w:tc>
        <w:tc>
          <w:tcPr>
            <w:tcW w:w="1360" w:type="dxa"/>
          </w:tcPr>
          <w:p w14:paraId="17C3BD12" w14:textId="77777777" w:rsidR="0048126F" w:rsidRPr="00ED4D49" w:rsidRDefault="0048126F" w:rsidP="00160717">
            <w:pPr>
              <w:spacing w:beforeLines="60" w:before="144" w:afterLines="60" w:after="144" w:line="240" w:lineRule="auto"/>
              <w:ind w:right="144"/>
              <w:rPr>
                <w:rFonts w:cs="Calibri"/>
                <w:color w:val="336699"/>
                <w:sz w:val="16"/>
                <w:szCs w:val="16"/>
                <w:lang w:val="en-US"/>
              </w:rPr>
            </w:pPr>
            <w:r w:rsidRPr="00ED4D49">
              <w:rPr>
                <w:rFonts w:cs="Calibri"/>
                <w:color w:val="336699"/>
                <w:sz w:val="16"/>
                <w:szCs w:val="16"/>
                <w:lang w:val="en-US"/>
              </w:rPr>
              <w:t>Environmental assessment instrument</w:t>
            </w:r>
          </w:p>
        </w:tc>
        <w:tc>
          <w:tcPr>
            <w:tcW w:w="2523" w:type="dxa"/>
          </w:tcPr>
          <w:p w14:paraId="4B39239F" w14:textId="77777777" w:rsidR="0048126F" w:rsidRPr="00ED4D49" w:rsidRDefault="0048126F" w:rsidP="00160717">
            <w:pPr>
              <w:spacing w:beforeLines="60" w:before="144" w:afterLines="60" w:after="144" w:line="240" w:lineRule="auto"/>
              <w:ind w:right="144"/>
              <w:rPr>
                <w:rFonts w:cs="Calibri"/>
                <w:color w:val="336699"/>
                <w:sz w:val="16"/>
                <w:szCs w:val="16"/>
                <w:lang w:val="en-US"/>
              </w:rPr>
            </w:pPr>
            <w:r w:rsidRPr="00ED4D49">
              <w:rPr>
                <w:rFonts w:cs="Calibri"/>
                <w:color w:val="336699"/>
                <w:sz w:val="16"/>
                <w:szCs w:val="16"/>
                <w:lang w:val="en-US"/>
              </w:rPr>
              <w:t xml:space="preserve">Environmental protection </w:t>
            </w:r>
          </w:p>
        </w:tc>
        <w:tc>
          <w:tcPr>
            <w:tcW w:w="1227" w:type="dxa"/>
          </w:tcPr>
          <w:p w14:paraId="6A186837" w14:textId="77777777" w:rsidR="0048126F" w:rsidRPr="00ED4D49" w:rsidRDefault="0048126F" w:rsidP="00160717">
            <w:pPr>
              <w:spacing w:beforeLines="60" w:before="144" w:afterLines="60" w:after="144" w:line="240" w:lineRule="auto"/>
              <w:ind w:right="144"/>
              <w:rPr>
                <w:rFonts w:cs="Calibri"/>
                <w:color w:val="336699"/>
                <w:sz w:val="16"/>
                <w:szCs w:val="16"/>
                <w:lang w:val="en-US"/>
              </w:rPr>
            </w:pPr>
            <w:r w:rsidRPr="00ED4D49">
              <w:rPr>
                <w:rFonts w:cs="Calibri"/>
                <w:color w:val="336699"/>
                <w:sz w:val="16"/>
                <w:szCs w:val="16"/>
                <w:lang w:val="en-US"/>
              </w:rPr>
              <w:t xml:space="preserve">Water management </w:t>
            </w:r>
          </w:p>
        </w:tc>
        <w:tc>
          <w:tcPr>
            <w:tcW w:w="1269" w:type="dxa"/>
          </w:tcPr>
          <w:p w14:paraId="4562EB5C" w14:textId="77777777" w:rsidR="0048126F" w:rsidRPr="00ED4D49" w:rsidRDefault="0048126F" w:rsidP="00160717">
            <w:pPr>
              <w:spacing w:beforeLines="60" w:before="144" w:afterLines="60" w:after="144" w:line="240" w:lineRule="auto"/>
              <w:ind w:right="144"/>
              <w:rPr>
                <w:rFonts w:cs="Calibri"/>
                <w:color w:val="336699"/>
                <w:sz w:val="16"/>
                <w:szCs w:val="16"/>
                <w:lang w:val="en-US"/>
              </w:rPr>
            </w:pPr>
            <w:r w:rsidRPr="00ED4D49">
              <w:rPr>
                <w:rFonts w:cs="Calibri"/>
                <w:color w:val="336699"/>
                <w:sz w:val="16"/>
                <w:szCs w:val="16"/>
                <w:lang w:val="en-US"/>
              </w:rPr>
              <w:t>Physical planning and construction</w:t>
            </w:r>
          </w:p>
        </w:tc>
      </w:tr>
      <w:tr w:rsidR="00A358B2" w:rsidRPr="00ED4D49" w14:paraId="3A136C10" w14:textId="77777777" w:rsidTr="0024607F">
        <w:tc>
          <w:tcPr>
            <w:tcW w:w="1555" w:type="dxa"/>
          </w:tcPr>
          <w:p w14:paraId="721BFA54" w14:textId="1C14A4A3" w:rsidR="00A358B2" w:rsidRPr="00ED4D49" w:rsidRDefault="00A358B2" w:rsidP="00A358B2">
            <w:pPr>
              <w:pStyle w:val="ListParagraph"/>
              <w:widowControl w:val="0"/>
              <w:autoSpaceDE w:val="0"/>
              <w:autoSpaceDN w:val="0"/>
              <w:adjustRightInd w:val="0"/>
              <w:spacing w:beforeLines="60" w:before="144" w:afterLines="60" w:after="144" w:line="240" w:lineRule="auto"/>
              <w:ind w:left="0"/>
              <w:rPr>
                <w:rFonts w:asciiTheme="minorHAnsi" w:hAnsiTheme="minorHAnsi"/>
                <w:color w:val="0D0D0D" w:themeColor="text1" w:themeTint="F2"/>
                <w:sz w:val="16"/>
                <w:szCs w:val="16"/>
              </w:rPr>
            </w:pPr>
            <w:r w:rsidRPr="00ED4D49">
              <w:rPr>
                <w:bCs/>
                <w:sz w:val="16"/>
                <w:szCs w:val="16"/>
              </w:rPr>
              <w:t xml:space="preserve">Flood protection, bank stabilization, </w:t>
            </w:r>
            <w:r w:rsidR="00727DC2" w:rsidRPr="00ED4D49">
              <w:rPr>
                <w:bCs/>
                <w:sz w:val="16"/>
                <w:szCs w:val="16"/>
              </w:rPr>
              <w:t xml:space="preserve">drainage control, dredging </w:t>
            </w:r>
            <w:r w:rsidRPr="00ED4D49">
              <w:rPr>
                <w:bCs/>
                <w:sz w:val="16"/>
                <w:szCs w:val="16"/>
              </w:rPr>
              <w:t xml:space="preserve">and river </w:t>
            </w:r>
            <w:r w:rsidRPr="00ED4D49">
              <w:rPr>
                <w:bCs/>
                <w:sz w:val="16"/>
                <w:szCs w:val="16"/>
              </w:rPr>
              <w:lastRenderedPageBreak/>
              <w:t>training works, and reservoir management in the Drina Corridor in FBiH and RS</w:t>
            </w:r>
          </w:p>
        </w:tc>
        <w:tc>
          <w:tcPr>
            <w:tcW w:w="1133" w:type="dxa"/>
          </w:tcPr>
          <w:p w14:paraId="365F5829" w14:textId="5F5F706C" w:rsidR="00A358B2" w:rsidRPr="00ED4D49" w:rsidRDefault="00292B1B" w:rsidP="00A358B2">
            <w:pPr>
              <w:pStyle w:val="ListParagraph"/>
              <w:widowControl w:val="0"/>
              <w:autoSpaceDE w:val="0"/>
              <w:autoSpaceDN w:val="0"/>
              <w:adjustRightInd w:val="0"/>
              <w:spacing w:beforeLines="60" w:before="144" w:afterLines="60" w:after="144" w:line="240" w:lineRule="auto"/>
              <w:ind w:left="0"/>
              <w:contextualSpacing w:val="0"/>
              <w:rPr>
                <w:rFonts w:asciiTheme="minorHAnsi" w:hAnsiTheme="minorHAnsi"/>
                <w:color w:val="0D0D0D" w:themeColor="text1" w:themeTint="F2"/>
                <w:sz w:val="16"/>
                <w:szCs w:val="16"/>
              </w:rPr>
            </w:pPr>
            <w:r w:rsidRPr="00ED4D49">
              <w:rPr>
                <w:rFonts w:asciiTheme="minorHAnsi" w:hAnsiTheme="minorHAnsi"/>
                <w:bCs/>
                <w:color w:val="0D0D0D" w:themeColor="text1" w:themeTint="F2"/>
                <w:sz w:val="16"/>
                <w:szCs w:val="16"/>
              </w:rPr>
              <w:lastRenderedPageBreak/>
              <w:t>Moderate</w:t>
            </w:r>
            <w:r w:rsidR="00A358B2" w:rsidRPr="00ED4D49">
              <w:rPr>
                <w:rFonts w:asciiTheme="minorHAnsi" w:hAnsiTheme="minorHAnsi"/>
                <w:bCs/>
                <w:color w:val="0D0D0D" w:themeColor="text1" w:themeTint="F2"/>
                <w:sz w:val="16"/>
                <w:szCs w:val="16"/>
              </w:rPr>
              <w:t xml:space="preserve"> risk</w:t>
            </w:r>
          </w:p>
        </w:tc>
        <w:tc>
          <w:tcPr>
            <w:tcW w:w="1360" w:type="dxa"/>
          </w:tcPr>
          <w:p w14:paraId="02C5E940" w14:textId="3E712E94" w:rsidR="00A358B2" w:rsidRPr="00ED4D49" w:rsidRDefault="00A358B2" w:rsidP="00A358B2">
            <w:pPr>
              <w:pStyle w:val="ListParagraph"/>
              <w:widowControl w:val="0"/>
              <w:autoSpaceDE w:val="0"/>
              <w:autoSpaceDN w:val="0"/>
              <w:adjustRightInd w:val="0"/>
              <w:spacing w:beforeLines="60" w:before="144" w:afterLines="60" w:after="144" w:line="240" w:lineRule="auto"/>
              <w:ind w:left="0"/>
              <w:contextualSpacing w:val="0"/>
              <w:rPr>
                <w:rFonts w:asciiTheme="minorHAnsi" w:hAnsiTheme="minorHAnsi"/>
                <w:color w:val="0D0D0D" w:themeColor="text1" w:themeTint="F2"/>
                <w:sz w:val="16"/>
                <w:szCs w:val="16"/>
              </w:rPr>
            </w:pPr>
            <w:r w:rsidRPr="00ED4D49">
              <w:rPr>
                <w:rFonts w:asciiTheme="minorHAnsi" w:hAnsiTheme="minorHAnsi"/>
                <w:color w:val="0D0D0D" w:themeColor="text1" w:themeTint="F2"/>
                <w:sz w:val="16"/>
                <w:szCs w:val="16"/>
              </w:rPr>
              <w:t xml:space="preserve">EIA or site-specific ESMP, depending of the type and location </w:t>
            </w:r>
            <w:r w:rsidRPr="00ED4D49">
              <w:rPr>
                <w:rFonts w:asciiTheme="minorHAnsi" w:hAnsiTheme="minorHAnsi"/>
                <w:color w:val="0D0D0D" w:themeColor="text1" w:themeTint="F2"/>
                <w:sz w:val="16"/>
                <w:szCs w:val="16"/>
              </w:rPr>
              <w:lastRenderedPageBreak/>
              <w:t>of the project</w:t>
            </w:r>
          </w:p>
        </w:tc>
        <w:tc>
          <w:tcPr>
            <w:tcW w:w="2523" w:type="dxa"/>
          </w:tcPr>
          <w:p w14:paraId="1714AE66" w14:textId="41DB0B28" w:rsidR="00A358B2" w:rsidRPr="00ED4D49" w:rsidRDefault="00A358B2" w:rsidP="00A358B2">
            <w:pPr>
              <w:pStyle w:val="ListParagraph"/>
              <w:widowControl w:val="0"/>
              <w:autoSpaceDE w:val="0"/>
              <w:autoSpaceDN w:val="0"/>
              <w:adjustRightInd w:val="0"/>
              <w:spacing w:beforeLines="60" w:before="144" w:afterLines="60" w:after="144" w:line="240" w:lineRule="auto"/>
              <w:ind w:left="0"/>
              <w:contextualSpacing w:val="0"/>
              <w:rPr>
                <w:rFonts w:asciiTheme="minorHAnsi" w:hAnsiTheme="minorHAnsi"/>
                <w:color w:val="0D0D0D" w:themeColor="text1" w:themeTint="F2"/>
                <w:sz w:val="16"/>
                <w:szCs w:val="16"/>
              </w:rPr>
            </w:pPr>
            <w:r w:rsidRPr="00ED4D49">
              <w:rPr>
                <w:rFonts w:asciiTheme="minorHAnsi" w:hAnsiTheme="minorHAnsi"/>
                <w:color w:val="0D0D0D" w:themeColor="text1" w:themeTint="F2"/>
                <w:sz w:val="16"/>
                <w:szCs w:val="16"/>
              </w:rPr>
              <w:lastRenderedPageBreak/>
              <w:t xml:space="preserve">The construction of flood protection structures is subject to a preliminary environmental impact assessment based on which </w:t>
            </w:r>
            <w:r w:rsidR="004203C2" w:rsidRPr="00ED4D49">
              <w:rPr>
                <w:rFonts w:asciiTheme="minorHAnsi" w:hAnsiTheme="minorHAnsi"/>
                <w:color w:val="0D0D0D" w:themeColor="text1" w:themeTint="F2"/>
                <w:sz w:val="16"/>
                <w:szCs w:val="16"/>
              </w:rPr>
              <w:lastRenderedPageBreak/>
              <w:t>Federal Ministry of Environment and Tourism (FMET)/ Ministry of Physical Planning, Civil Engineering and Ecology (MPPCEE)/ Department of Spatial Planning and Property Affairs of Brcko District (</w:t>
            </w:r>
            <w:r w:rsidRPr="00ED4D49">
              <w:rPr>
                <w:rFonts w:asciiTheme="minorHAnsi" w:hAnsiTheme="minorHAnsi"/>
                <w:color w:val="0D0D0D" w:themeColor="text1" w:themeTint="F2"/>
                <w:sz w:val="16"/>
                <w:szCs w:val="16"/>
              </w:rPr>
              <w:t>DSPPABD</w:t>
            </w:r>
            <w:r w:rsidR="004203C2" w:rsidRPr="00ED4D49">
              <w:rPr>
                <w:rFonts w:asciiTheme="minorHAnsi" w:hAnsiTheme="minorHAnsi"/>
                <w:color w:val="0D0D0D" w:themeColor="text1" w:themeTint="F2"/>
                <w:sz w:val="16"/>
                <w:szCs w:val="16"/>
              </w:rPr>
              <w:t>)</w:t>
            </w:r>
            <w:r w:rsidRPr="00ED4D49">
              <w:rPr>
                <w:rFonts w:asciiTheme="minorHAnsi" w:hAnsiTheme="minorHAnsi"/>
                <w:color w:val="0D0D0D" w:themeColor="text1" w:themeTint="F2"/>
                <w:sz w:val="16"/>
                <w:szCs w:val="16"/>
              </w:rPr>
              <w:t xml:space="preserve"> decides on the necessity to conduct a full EIA and ultimately issues the environmental permit</w:t>
            </w:r>
            <w:r w:rsidR="00AD24E9" w:rsidRPr="00ED4D49">
              <w:rPr>
                <w:rFonts w:asciiTheme="minorHAnsi" w:hAnsiTheme="minorHAnsi"/>
                <w:color w:val="0D0D0D" w:themeColor="text1" w:themeTint="F2"/>
                <w:sz w:val="16"/>
                <w:szCs w:val="16"/>
              </w:rPr>
              <w:t>.</w:t>
            </w:r>
          </w:p>
          <w:p w14:paraId="7D91F33E" w14:textId="0F732F3D" w:rsidR="00A358B2" w:rsidRPr="00ED4D49" w:rsidRDefault="00A358B2" w:rsidP="00A358B2">
            <w:pPr>
              <w:pStyle w:val="ListParagraph"/>
              <w:widowControl w:val="0"/>
              <w:autoSpaceDE w:val="0"/>
              <w:autoSpaceDN w:val="0"/>
              <w:adjustRightInd w:val="0"/>
              <w:spacing w:beforeLines="60" w:before="144" w:afterLines="60" w:after="144" w:line="240" w:lineRule="auto"/>
              <w:ind w:left="0"/>
              <w:contextualSpacing w:val="0"/>
              <w:rPr>
                <w:rFonts w:asciiTheme="minorHAnsi" w:hAnsiTheme="minorHAnsi"/>
                <w:color w:val="0D0D0D" w:themeColor="text1" w:themeTint="F2"/>
                <w:sz w:val="16"/>
                <w:szCs w:val="16"/>
              </w:rPr>
            </w:pPr>
            <w:r w:rsidRPr="00ED4D49">
              <w:rPr>
                <w:i/>
                <w:iCs/>
                <w:sz w:val="16"/>
                <w:szCs w:val="16"/>
              </w:rPr>
              <w:t xml:space="preserve">Note: Although other types of works do not require an environmental assessment, </w:t>
            </w:r>
            <w:r w:rsidRPr="00ED4D49">
              <w:rPr>
                <w:rFonts w:asciiTheme="minorHAnsi" w:hAnsiTheme="minorHAnsi"/>
                <w:i/>
                <w:iCs/>
                <w:color w:val="0D0D0D" w:themeColor="text1" w:themeTint="F2"/>
                <w:sz w:val="16"/>
                <w:szCs w:val="16"/>
              </w:rPr>
              <w:t>a decision on the necessity to undertake EIA procedure shall be requested by the relevant national authority</w:t>
            </w:r>
            <w:r w:rsidRPr="00ED4D49">
              <w:rPr>
                <w:sz w:val="16"/>
                <w:szCs w:val="16"/>
              </w:rPr>
              <w:t>.</w:t>
            </w:r>
          </w:p>
        </w:tc>
        <w:tc>
          <w:tcPr>
            <w:tcW w:w="1227" w:type="dxa"/>
          </w:tcPr>
          <w:p w14:paraId="632D9E2A" w14:textId="50E7E2C5" w:rsidR="00A358B2" w:rsidRPr="00ED4D49" w:rsidRDefault="00A358B2" w:rsidP="00A358B2">
            <w:pPr>
              <w:pStyle w:val="ListParagraph"/>
              <w:widowControl w:val="0"/>
              <w:autoSpaceDE w:val="0"/>
              <w:autoSpaceDN w:val="0"/>
              <w:adjustRightInd w:val="0"/>
              <w:spacing w:beforeLines="60" w:before="144" w:afterLines="60" w:after="144" w:line="240" w:lineRule="auto"/>
              <w:ind w:left="0"/>
              <w:contextualSpacing w:val="0"/>
              <w:rPr>
                <w:rFonts w:asciiTheme="minorHAnsi" w:hAnsiTheme="minorHAnsi"/>
                <w:color w:val="0D0D0D" w:themeColor="text1" w:themeTint="F2"/>
                <w:sz w:val="16"/>
                <w:szCs w:val="16"/>
              </w:rPr>
            </w:pPr>
            <w:r w:rsidRPr="00ED4D49">
              <w:rPr>
                <w:rFonts w:asciiTheme="minorHAnsi" w:hAnsiTheme="minorHAnsi"/>
                <w:color w:val="0D0D0D" w:themeColor="text1" w:themeTint="F2"/>
                <w:sz w:val="16"/>
                <w:szCs w:val="16"/>
              </w:rPr>
              <w:lastRenderedPageBreak/>
              <w:t>Water Management Acts</w:t>
            </w:r>
          </w:p>
        </w:tc>
        <w:tc>
          <w:tcPr>
            <w:tcW w:w="1269" w:type="dxa"/>
          </w:tcPr>
          <w:p w14:paraId="68199FC6" w14:textId="6AF36E77" w:rsidR="00A358B2" w:rsidRPr="00ED4D49" w:rsidRDefault="00A358B2" w:rsidP="00A358B2">
            <w:pPr>
              <w:pStyle w:val="ListParagraph"/>
              <w:widowControl w:val="0"/>
              <w:autoSpaceDE w:val="0"/>
              <w:autoSpaceDN w:val="0"/>
              <w:adjustRightInd w:val="0"/>
              <w:spacing w:beforeLines="60" w:before="144" w:afterLines="60" w:after="144" w:line="240" w:lineRule="auto"/>
              <w:ind w:left="0"/>
              <w:contextualSpacing w:val="0"/>
              <w:rPr>
                <w:rFonts w:asciiTheme="minorHAnsi" w:hAnsiTheme="minorHAnsi"/>
                <w:color w:val="0D0D0D" w:themeColor="text1" w:themeTint="F2"/>
                <w:sz w:val="16"/>
                <w:szCs w:val="16"/>
              </w:rPr>
            </w:pPr>
            <w:r w:rsidRPr="00ED4D49">
              <w:rPr>
                <w:rFonts w:asciiTheme="minorHAnsi" w:hAnsiTheme="minorHAnsi"/>
                <w:color w:val="0D0D0D" w:themeColor="text1" w:themeTint="F2"/>
                <w:sz w:val="16"/>
                <w:szCs w:val="16"/>
              </w:rPr>
              <w:t>Construction related permits</w:t>
            </w:r>
          </w:p>
        </w:tc>
      </w:tr>
      <w:tr w:rsidR="0024607F" w:rsidRPr="00ED4D49" w14:paraId="2E4E1B3A" w14:textId="77777777" w:rsidTr="0024607F">
        <w:tc>
          <w:tcPr>
            <w:tcW w:w="1555" w:type="dxa"/>
          </w:tcPr>
          <w:p w14:paraId="31EFAA96" w14:textId="32756941" w:rsidR="0024607F" w:rsidRPr="00ED4D49" w:rsidRDefault="0024607F" w:rsidP="00811198">
            <w:pPr>
              <w:pStyle w:val="ListParagraph"/>
              <w:widowControl w:val="0"/>
              <w:autoSpaceDE w:val="0"/>
              <w:autoSpaceDN w:val="0"/>
              <w:adjustRightInd w:val="0"/>
              <w:spacing w:beforeLines="60" w:before="144" w:afterLines="60" w:after="144" w:line="240" w:lineRule="auto"/>
              <w:ind w:left="0"/>
              <w:rPr>
                <w:bCs/>
                <w:sz w:val="16"/>
                <w:szCs w:val="16"/>
              </w:rPr>
            </w:pPr>
            <w:proofErr w:type="gramStart"/>
            <w:r w:rsidRPr="00ED4D49">
              <w:rPr>
                <w:bCs/>
                <w:sz w:val="16"/>
                <w:szCs w:val="16"/>
              </w:rPr>
              <w:t>An</w:t>
            </w:r>
            <w:proofErr w:type="gramEnd"/>
            <w:r w:rsidRPr="00ED4D49">
              <w:rPr>
                <w:bCs/>
                <w:sz w:val="16"/>
                <w:szCs w:val="16"/>
              </w:rPr>
              <w:t xml:space="preserve"> 100-year flooding protection, river bank stabilization, drainage control in the Brčko District of BIH</w:t>
            </w:r>
          </w:p>
        </w:tc>
        <w:tc>
          <w:tcPr>
            <w:tcW w:w="1133" w:type="dxa"/>
          </w:tcPr>
          <w:p w14:paraId="526FF91C" w14:textId="28DD5DDC" w:rsidR="0024607F" w:rsidRPr="00ED4D49" w:rsidRDefault="0024607F" w:rsidP="00811198">
            <w:pPr>
              <w:pStyle w:val="ListParagraph"/>
              <w:widowControl w:val="0"/>
              <w:autoSpaceDE w:val="0"/>
              <w:autoSpaceDN w:val="0"/>
              <w:adjustRightInd w:val="0"/>
              <w:spacing w:beforeLines="60" w:before="144" w:afterLines="60" w:after="144" w:line="240" w:lineRule="auto"/>
              <w:ind w:left="0"/>
              <w:contextualSpacing w:val="0"/>
              <w:rPr>
                <w:rFonts w:asciiTheme="minorHAnsi" w:hAnsiTheme="minorHAnsi"/>
                <w:bCs/>
                <w:color w:val="0D0D0D" w:themeColor="text1" w:themeTint="F2"/>
                <w:sz w:val="16"/>
                <w:szCs w:val="16"/>
              </w:rPr>
            </w:pPr>
            <w:r w:rsidRPr="00ED4D49">
              <w:rPr>
                <w:rFonts w:asciiTheme="minorHAnsi" w:hAnsiTheme="minorHAnsi"/>
                <w:bCs/>
                <w:color w:val="0D0D0D" w:themeColor="text1" w:themeTint="F2"/>
                <w:sz w:val="16"/>
                <w:szCs w:val="16"/>
              </w:rPr>
              <w:t>Moderate risk</w:t>
            </w:r>
          </w:p>
        </w:tc>
        <w:tc>
          <w:tcPr>
            <w:tcW w:w="1360" w:type="dxa"/>
          </w:tcPr>
          <w:p w14:paraId="2CB48A7E" w14:textId="417EE7DE" w:rsidR="0024607F" w:rsidRPr="00ED4D49" w:rsidRDefault="0024607F" w:rsidP="00811198">
            <w:pPr>
              <w:pStyle w:val="ListParagraph"/>
              <w:widowControl w:val="0"/>
              <w:autoSpaceDE w:val="0"/>
              <w:autoSpaceDN w:val="0"/>
              <w:adjustRightInd w:val="0"/>
              <w:spacing w:beforeLines="60" w:before="144" w:afterLines="60" w:after="144" w:line="240" w:lineRule="auto"/>
              <w:ind w:left="0"/>
              <w:contextualSpacing w:val="0"/>
              <w:rPr>
                <w:rFonts w:asciiTheme="minorHAnsi" w:hAnsiTheme="minorHAnsi"/>
                <w:color w:val="0D0D0D" w:themeColor="text1" w:themeTint="F2"/>
                <w:sz w:val="16"/>
                <w:szCs w:val="16"/>
              </w:rPr>
            </w:pPr>
            <w:r w:rsidRPr="00ED4D49">
              <w:rPr>
                <w:rFonts w:asciiTheme="minorHAnsi" w:hAnsiTheme="minorHAnsi"/>
                <w:color w:val="0D0D0D" w:themeColor="text1" w:themeTint="F2"/>
                <w:sz w:val="16"/>
                <w:szCs w:val="16"/>
              </w:rPr>
              <w:t>EIA or site-specific ESMP, depending of the type and location of the subproject</w:t>
            </w:r>
          </w:p>
        </w:tc>
        <w:tc>
          <w:tcPr>
            <w:tcW w:w="2523" w:type="dxa"/>
            <w:vMerge w:val="restart"/>
          </w:tcPr>
          <w:p w14:paraId="23805CB4" w14:textId="77777777" w:rsidR="0024607F" w:rsidRPr="00ED4D49" w:rsidRDefault="0024607F" w:rsidP="00811198">
            <w:pPr>
              <w:pStyle w:val="ListParagraph"/>
              <w:widowControl w:val="0"/>
              <w:autoSpaceDE w:val="0"/>
              <w:autoSpaceDN w:val="0"/>
              <w:adjustRightInd w:val="0"/>
              <w:spacing w:beforeLines="60" w:before="144" w:afterLines="60" w:after="144" w:line="240" w:lineRule="auto"/>
              <w:ind w:left="0"/>
              <w:contextualSpacing w:val="0"/>
              <w:rPr>
                <w:rFonts w:asciiTheme="minorHAnsi" w:hAnsiTheme="minorHAnsi"/>
                <w:color w:val="0D0D0D" w:themeColor="text1" w:themeTint="F2"/>
                <w:sz w:val="16"/>
                <w:szCs w:val="16"/>
              </w:rPr>
            </w:pPr>
            <w:r w:rsidRPr="00ED4D49">
              <w:rPr>
                <w:rFonts w:asciiTheme="minorHAnsi" w:hAnsiTheme="minorHAnsi"/>
                <w:color w:val="0D0D0D" w:themeColor="text1" w:themeTint="F2"/>
                <w:sz w:val="16"/>
                <w:szCs w:val="16"/>
              </w:rPr>
              <w:t>The construction of flood protection structures, and new construction is subject to a preliminary environmental impact assessment based on which Department of Spatial Planning and Property Affairs of Brcko District (DSPPABD) decides on the necessity to conduct a full EIA and ultimately issues the environmental permit.</w:t>
            </w:r>
          </w:p>
          <w:p w14:paraId="2531C15E" w14:textId="5882DD20" w:rsidR="0024607F" w:rsidRPr="00ED4D49" w:rsidRDefault="0024607F" w:rsidP="00AD24E9">
            <w:pPr>
              <w:pStyle w:val="ListParagraph"/>
              <w:widowControl w:val="0"/>
              <w:autoSpaceDE w:val="0"/>
              <w:autoSpaceDN w:val="0"/>
              <w:adjustRightInd w:val="0"/>
              <w:spacing w:beforeLines="60" w:before="144" w:afterLines="60" w:after="144" w:line="240" w:lineRule="auto"/>
              <w:ind w:left="0"/>
              <w:rPr>
                <w:rFonts w:asciiTheme="minorHAnsi" w:hAnsiTheme="minorHAnsi"/>
                <w:color w:val="0D0D0D" w:themeColor="text1" w:themeTint="F2"/>
                <w:sz w:val="16"/>
                <w:szCs w:val="16"/>
              </w:rPr>
            </w:pPr>
          </w:p>
        </w:tc>
        <w:tc>
          <w:tcPr>
            <w:tcW w:w="1227" w:type="dxa"/>
            <w:vMerge w:val="restart"/>
          </w:tcPr>
          <w:p w14:paraId="38734647" w14:textId="77777777" w:rsidR="0024607F" w:rsidRPr="00ED4D49" w:rsidRDefault="0024607F" w:rsidP="00811198">
            <w:pPr>
              <w:pStyle w:val="ListParagraph"/>
              <w:widowControl w:val="0"/>
              <w:autoSpaceDE w:val="0"/>
              <w:autoSpaceDN w:val="0"/>
              <w:adjustRightInd w:val="0"/>
              <w:spacing w:beforeLines="60" w:before="144" w:afterLines="60" w:after="144" w:line="240" w:lineRule="auto"/>
              <w:ind w:left="0"/>
              <w:contextualSpacing w:val="0"/>
              <w:rPr>
                <w:rFonts w:asciiTheme="minorHAnsi" w:hAnsiTheme="minorHAnsi"/>
                <w:color w:val="0D0D0D" w:themeColor="text1" w:themeTint="F2"/>
                <w:sz w:val="16"/>
                <w:szCs w:val="16"/>
              </w:rPr>
            </w:pPr>
            <w:r w:rsidRPr="00ED4D49">
              <w:rPr>
                <w:rFonts w:asciiTheme="minorHAnsi" w:hAnsiTheme="minorHAnsi"/>
                <w:color w:val="0D0D0D" w:themeColor="text1" w:themeTint="F2"/>
                <w:sz w:val="16"/>
                <w:szCs w:val="16"/>
              </w:rPr>
              <w:t>Water Management Acts</w:t>
            </w:r>
          </w:p>
          <w:p w14:paraId="00D3F278" w14:textId="395BEC28" w:rsidR="0024607F" w:rsidRPr="00ED4D49" w:rsidRDefault="0024607F" w:rsidP="00AD24E9">
            <w:pPr>
              <w:pStyle w:val="ListParagraph"/>
              <w:widowControl w:val="0"/>
              <w:autoSpaceDE w:val="0"/>
              <w:autoSpaceDN w:val="0"/>
              <w:adjustRightInd w:val="0"/>
              <w:spacing w:beforeLines="60" w:before="144" w:afterLines="60" w:after="144" w:line="240" w:lineRule="auto"/>
              <w:ind w:left="0"/>
              <w:rPr>
                <w:rFonts w:asciiTheme="minorHAnsi" w:hAnsiTheme="minorHAnsi"/>
                <w:color w:val="0D0D0D" w:themeColor="text1" w:themeTint="F2"/>
                <w:sz w:val="16"/>
                <w:szCs w:val="16"/>
              </w:rPr>
            </w:pPr>
            <w:r w:rsidRPr="00ED4D49">
              <w:rPr>
                <w:rFonts w:asciiTheme="minorHAnsi" w:hAnsiTheme="minorHAnsi"/>
                <w:color w:val="0D0D0D" w:themeColor="text1" w:themeTint="F2"/>
                <w:sz w:val="16"/>
                <w:szCs w:val="16"/>
              </w:rPr>
              <w:t>-</w:t>
            </w:r>
          </w:p>
        </w:tc>
        <w:tc>
          <w:tcPr>
            <w:tcW w:w="1269" w:type="dxa"/>
            <w:vMerge w:val="restart"/>
          </w:tcPr>
          <w:p w14:paraId="4386EDE4" w14:textId="77777777" w:rsidR="0024607F" w:rsidRPr="00ED4D49" w:rsidRDefault="0024607F" w:rsidP="00811198">
            <w:pPr>
              <w:pStyle w:val="ListParagraph"/>
              <w:widowControl w:val="0"/>
              <w:autoSpaceDE w:val="0"/>
              <w:autoSpaceDN w:val="0"/>
              <w:adjustRightInd w:val="0"/>
              <w:spacing w:beforeLines="60" w:before="144" w:afterLines="60" w:after="144" w:line="240" w:lineRule="auto"/>
              <w:ind w:left="0"/>
              <w:contextualSpacing w:val="0"/>
              <w:rPr>
                <w:rFonts w:asciiTheme="minorHAnsi" w:hAnsiTheme="minorHAnsi"/>
                <w:color w:val="0D0D0D" w:themeColor="text1" w:themeTint="F2"/>
                <w:sz w:val="16"/>
                <w:szCs w:val="16"/>
              </w:rPr>
            </w:pPr>
            <w:r w:rsidRPr="00ED4D49">
              <w:rPr>
                <w:rFonts w:asciiTheme="minorHAnsi" w:hAnsiTheme="minorHAnsi"/>
                <w:color w:val="0D0D0D" w:themeColor="text1" w:themeTint="F2"/>
                <w:sz w:val="16"/>
                <w:szCs w:val="16"/>
              </w:rPr>
              <w:t>Construction related permits</w:t>
            </w:r>
          </w:p>
          <w:p w14:paraId="5E09855D" w14:textId="2A612A1B" w:rsidR="0024607F" w:rsidRPr="00ED4D49" w:rsidRDefault="0024607F" w:rsidP="00AD24E9">
            <w:pPr>
              <w:pStyle w:val="ListParagraph"/>
              <w:widowControl w:val="0"/>
              <w:autoSpaceDE w:val="0"/>
              <w:autoSpaceDN w:val="0"/>
              <w:adjustRightInd w:val="0"/>
              <w:spacing w:beforeLines="60" w:before="144" w:afterLines="60" w:after="144" w:line="240" w:lineRule="auto"/>
              <w:ind w:left="0"/>
              <w:rPr>
                <w:rFonts w:asciiTheme="minorHAnsi" w:hAnsiTheme="minorHAnsi"/>
                <w:color w:val="0D0D0D" w:themeColor="text1" w:themeTint="F2"/>
                <w:sz w:val="16"/>
                <w:szCs w:val="16"/>
              </w:rPr>
            </w:pPr>
            <w:r w:rsidRPr="00ED4D49">
              <w:rPr>
                <w:rFonts w:asciiTheme="minorHAnsi" w:hAnsiTheme="minorHAnsi"/>
                <w:color w:val="0D0D0D" w:themeColor="text1" w:themeTint="F2"/>
                <w:sz w:val="16"/>
                <w:szCs w:val="16"/>
              </w:rPr>
              <w:t>-</w:t>
            </w:r>
          </w:p>
        </w:tc>
      </w:tr>
      <w:tr w:rsidR="0024607F" w:rsidRPr="00ED4D49" w14:paraId="0F8F1916" w14:textId="77777777" w:rsidTr="0024607F">
        <w:tc>
          <w:tcPr>
            <w:tcW w:w="1555" w:type="dxa"/>
          </w:tcPr>
          <w:p w14:paraId="79497486" w14:textId="5399FCAE" w:rsidR="0024607F" w:rsidRPr="00ED4D49" w:rsidRDefault="0024607F" w:rsidP="00AD24E9">
            <w:pPr>
              <w:pStyle w:val="ListParagraph"/>
              <w:widowControl w:val="0"/>
              <w:autoSpaceDE w:val="0"/>
              <w:autoSpaceDN w:val="0"/>
              <w:adjustRightInd w:val="0"/>
              <w:spacing w:beforeLines="60" w:before="144" w:afterLines="60" w:after="144" w:line="240" w:lineRule="auto"/>
              <w:ind w:left="0"/>
              <w:rPr>
                <w:bCs/>
                <w:sz w:val="16"/>
                <w:szCs w:val="16"/>
              </w:rPr>
            </w:pPr>
            <w:r w:rsidRPr="00ED4D49">
              <w:rPr>
                <w:bCs/>
                <w:sz w:val="16"/>
                <w:szCs w:val="16"/>
              </w:rPr>
              <w:t>Solid waste management and protection of air, water and soil of the Sava Corridor in the Brčko District, and cross-border cooperation through tourism promotion (cycling and pathway on the Sava River)</w:t>
            </w:r>
          </w:p>
        </w:tc>
        <w:tc>
          <w:tcPr>
            <w:tcW w:w="1133" w:type="dxa"/>
          </w:tcPr>
          <w:p w14:paraId="12084001" w14:textId="2F6A0372" w:rsidR="0024607F" w:rsidRPr="00ED4D49" w:rsidRDefault="0024607F" w:rsidP="00AD24E9">
            <w:pPr>
              <w:pStyle w:val="ListParagraph"/>
              <w:widowControl w:val="0"/>
              <w:autoSpaceDE w:val="0"/>
              <w:autoSpaceDN w:val="0"/>
              <w:adjustRightInd w:val="0"/>
              <w:spacing w:beforeLines="60" w:before="144" w:afterLines="60" w:after="144" w:line="240" w:lineRule="auto"/>
              <w:ind w:left="0"/>
              <w:contextualSpacing w:val="0"/>
              <w:rPr>
                <w:rFonts w:asciiTheme="minorHAnsi" w:hAnsiTheme="minorHAnsi"/>
                <w:bCs/>
                <w:color w:val="0D0D0D" w:themeColor="text1" w:themeTint="F2"/>
                <w:sz w:val="16"/>
                <w:szCs w:val="16"/>
              </w:rPr>
            </w:pPr>
            <w:r w:rsidRPr="00ED4D49">
              <w:rPr>
                <w:rFonts w:asciiTheme="minorHAnsi" w:hAnsiTheme="minorHAnsi"/>
                <w:bCs/>
                <w:color w:val="0D0D0D" w:themeColor="text1" w:themeTint="F2"/>
                <w:sz w:val="16"/>
                <w:szCs w:val="16"/>
              </w:rPr>
              <w:t>Moderate risk</w:t>
            </w:r>
          </w:p>
        </w:tc>
        <w:tc>
          <w:tcPr>
            <w:tcW w:w="1360" w:type="dxa"/>
          </w:tcPr>
          <w:p w14:paraId="618C1BA3" w14:textId="26CD8255" w:rsidR="0024607F" w:rsidRPr="00ED4D49" w:rsidRDefault="0024607F" w:rsidP="00AD24E9">
            <w:pPr>
              <w:pStyle w:val="ListParagraph"/>
              <w:widowControl w:val="0"/>
              <w:autoSpaceDE w:val="0"/>
              <w:autoSpaceDN w:val="0"/>
              <w:adjustRightInd w:val="0"/>
              <w:spacing w:beforeLines="60" w:before="144" w:afterLines="60" w:after="144" w:line="240" w:lineRule="auto"/>
              <w:ind w:left="0"/>
              <w:contextualSpacing w:val="0"/>
              <w:rPr>
                <w:rFonts w:asciiTheme="minorHAnsi" w:hAnsiTheme="minorHAnsi"/>
                <w:color w:val="0D0D0D" w:themeColor="text1" w:themeTint="F2"/>
                <w:sz w:val="16"/>
                <w:szCs w:val="16"/>
              </w:rPr>
            </w:pPr>
            <w:r w:rsidRPr="00ED4D49">
              <w:rPr>
                <w:rFonts w:asciiTheme="minorHAnsi" w:hAnsiTheme="minorHAnsi"/>
                <w:color w:val="0D0D0D" w:themeColor="text1" w:themeTint="F2"/>
                <w:sz w:val="16"/>
                <w:szCs w:val="16"/>
              </w:rPr>
              <w:t xml:space="preserve">Generic ESMP given in Annex to this ESMF that may be expanded for site-specific activities pending development of the design documentation. </w:t>
            </w:r>
          </w:p>
        </w:tc>
        <w:tc>
          <w:tcPr>
            <w:tcW w:w="2523" w:type="dxa"/>
            <w:vMerge/>
          </w:tcPr>
          <w:p w14:paraId="570D1BAC" w14:textId="1B799CC8" w:rsidR="0024607F" w:rsidRPr="00ED4D49" w:rsidRDefault="0024607F" w:rsidP="00AD24E9">
            <w:pPr>
              <w:pStyle w:val="ListParagraph"/>
              <w:widowControl w:val="0"/>
              <w:autoSpaceDE w:val="0"/>
              <w:autoSpaceDN w:val="0"/>
              <w:adjustRightInd w:val="0"/>
              <w:spacing w:beforeLines="60" w:before="144" w:afterLines="60" w:after="144" w:line="240" w:lineRule="auto"/>
              <w:ind w:left="0"/>
              <w:contextualSpacing w:val="0"/>
              <w:rPr>
                <w:rFonts w:asciiTheme="minorHAnsi" w:hAnsiTheme="minorHAnsi"/>
                <w:color w:val="0D0D0D" w:themeColor="text1" w:themeTint="F2"/>
                <w:sz w:val="16"/>
                <w:szCs w:val="16"/>
              </w:rPr>
            </w:pPr>
          </w:p>
        </w:tc>
        <w:tc>
          <w:tcPr>
            <w:tcW w:w="1227" w:type="dxa"/>
            <w:vMerge/>
          </w:tcPr>
          <w:p w14:paraId="2CEB7F0F" w14:textId="1C13A37A" w:rsidR="0024607F" w:rsidRPr="00ED4D49" w:rsidRDefault="0024607F" w:rsidP="00AD24E9">
            <w:pPr>
              <w:pStyle w:val="ListParagraph"/>
              <w:widowControl w:val="0"/>
              <w:autoSpaceDE w:val="0"/>
              <w:autoSpaceDN w:val="0"/>
              <w:adjustRightInd w:val="0"/>
              <w:spacing w:beforeLines="60" w:before="144" w:afterLines="60" w:after="144" w:line="240" w:lineRule="auto"/>
              <w:ind w:left="0"/>
              <w:contextualSpacing w:val="0"/>
              <w:rPr>
                <w:rFonts w:asciiTheme="minorHAnsi" w:hAnsiTheme="minorHAnsi"/>
                <w:color w:val="0D0D0D" w:themeColor="text1" w:themeTint="F2"/>
                <w:sz w:val="16"/>
                <w:szCs w:val="16"/>
              </w:rPr>
            </w:pPr>
          </w:p>
        </w:tc>
        <w:tc>
          <w:tcPr>
            <w:tcW w:w="1269" w:type="dxa"/>
            <w:vMerge/>
          </w:tcPr>
          <w:p w14:paraId="617639AA" w14:textId="3C9F3A28" w:rsidR="0024607F" w:rsidRPr="00ED4D49" w:rsidRDefault="0024607F" w:rsidP="00AD24E9">
            <w:pPr>
              <w:pStyle w:val="ListParagraph"/>
              <w:widowControl w:val="0"/>
              <w:autoSpaceDE w:val="0"/>
              <w:autoSpaceDN w:val="0"/>
              <w:adjustRightInd w:val="0"/>
              <w:spacing w:beforeLines="60" w:before="144" w:afterLines="60" w:after="144" w:line="240" w:lineRule="auto"/>
              <w:ind w:left="0"/>
              <w:contextualSpacing w:val="0"/>
              <w:rPr>
                <w:rFonts w:asciiTheme="minorHAnsi" w:hAnsiTheme="minorHAnsi"/>
                <w:color w:val="0D0D0D" w:themeColor="text1" w:themeTint="F2"/>
                <w:sz w:val="16"/>
                <w:szCs w:val="16"/>
              </w:rPr>
            </w:pPr>
          </w:p>
        </w:tc>
      </w:tr>
      <w:tr w:rsidR="00C32A65" w:rsidRPr="00ED4D49" w14:paraId="5D1F5A2A" w14:textId="77777777" w:rsidTr="0024607F">
        <w:tc>
          <w:tcPr>
            <w:tcW w:w="1555" w:type="dxa"/>
          </w:tcPr>
          <w:p w14:paraId="047A317B" w14:textId="0D37D754" w:rsidR="00C32A65" w:rsidRPr="00ED4D49" w:rsidRDefault="00C32A65" w:rsidP="00AD24E9">
            <w:pPr>
              <w:pStyle w:val="ListParagraph"/>
              <w:widowControl w:val="0"/>
              <w:autoSpaceDE w:val="0"/>
              <w:autoSpaceDN w:val="0"/>
              <w:adjustRightInd w:val="0"/>
              <w:spacing w:beforeLines="60" w:before="144" w:afterLines="60" w:after="144" w:line="240" w:lineRule="auto"/>
              <w:ind w:left="0"/>
              <w:rPr>
                <w:bCs/>
                <w:sz w:val="16"/>
                <w:szCs w:val="16"/>
              </w:rPr>
            </w:pPr>
            <w:r w:rsidRPr="00ED4D49">
              <w:rPr>
                <w:bCs/>
                <w:sz w:val="16"/>
                <w:szCs w:val="16"/>
              </w:rPr>
              <w:t xml:space="preserve">Rehabilitation of </w:t>
            </w:r>
            <w:proofErr w:type="spellStart"/>
            <w:r w:rsidRPr="00ED4D49">
              <w:rPr>
                <w:bCs/>
                <w:sz w:val="16"/>
                <w:szCs w:val="16"/>
              </w:rPr>
              <w:t>Modrac</w:t>
            </w:r>
            <w:proofErr w:type="spellEnd"/>
            <w:r w:rsidRPr="00ED4D49">
              <w:rPr>
                <w:bCs/>
                <w:sz w:val="16"/>
                <w:szCs w:val="16"/>
              </w:rPr>
              <w:t xml:space="preserve"> lake dam – IV phase</w:t>
            </w:r>
          </w:p>
        </w:tc>
        <w:tc>
          <w:tcPr>
            <w:tcW w:w="1133" w:type="dxa"/>
          </w:tcPr>
          <w:p w14:paraId="5EC8E963" w14:textId="7C96D660" w:rsidR="00C32A65" w:rsidRPr="00ED4D49" w:rsidRDefault="00C32A65" w:rsidP="00AD24E9">
            <w:pPr>
              <w:pStyle w:val="ListParagraph"/>
              <w:widowControl w:val="0"/>
              <w:autoSpaceDE w:val="0"/>
              <w:autoSpaceDN w:val="0"/>
              <w:adjustRightInd w:val="0"/>
              <w:spacing w:beforeLines="60" w:before="144" w:afterLines="60" w:after="144" w:line="240" w:lineRule="auto"/>
              <w:ind w:left="0"/>
              <w:contextualSpacing w:val="0"/>
              <w:rPr>
                <w:rFonts w:asciiTheme="minorHAnsi" w:hAnsiTheme="minorHAnsi"/>
                <w:bCs/>
                <w:color w:val="0D0D0D" w:themeColor="text1" w:themeTint="F2"/>
                <w:sz w:val="16"/>
                <w:szCs w:val="16"/>
              </w:rPr>
            </w:pPr>
            <w:r w:rsidRPr="00ED4D49">
              <w:rPr>
                <w:rFonts w:asciiTheme="minorHAnsi" w:hAnsiTheme="minorHAnsi"/>
                <w:bCs/>
                <w:color w:val="0D0D0D" w:themeColor="text1" w:themeTint="F2"/>
                <w:sz w:val="16"/>
                <w:szCs w:val="16"/>
              </w:rPr>
              <w:t>Moderate to Substantial</w:t>
            </w:r>
          </w:p>
        </w:tc>
        <w:tc>
          <w:tcPr>
            <w:tcW w:w="1360" w:type="dxa"/>
          </w:tcPr>
          <w:p w14:paraId="5CAE7386" w14:textId="59486067" w:rsidR="00C32A65" w:rsidRPr="00ED4D49" w:rsidRDefault="00F97E66" w:rsidP="00AD24E9">
            <w:pPr>
              <w:pStyle w:val="ListParagraph"/>
              <w:widowControl w:val="0"/>
              <w:autoSpaceDE w:val="0"/>
              <w:autoSpaceDN w:val="0"/>
              <w:adjustRightInd w:val="0"/>
              <w:spacing w:beforeLines="60" w:before="144" w:afterLines="60" w:after="144" w:line="240" w:lineRule="auto"/>
              <w:ind w:left="0"/>
              <w:contextualSpacing w:val="0"/>
              <w:rPr>
                <w:rFonts w:asciiTheme="minorHAnsi" w:hAnsiTheme="minorHAnsi"/>
                <w:color w:val="0D0D0D" w:themeColor="text1" w:themeTint="F2"/>
                <w:sz w:val="16"/>
                <w:szCs w:val="16"/>
              </w:rPr>
            </w:pPr>
            <w:r w:rsidRPr="00ED4D49">
              <w:rPr>
                <w:rFonts w:asciiTheme="minorHAnsi" w:hAnsiTheme="minorHAnsi"/>
                <w:color w:val="0D0D0D" w:themeColor="text1" w:themeTint="F2"/>
                <w:sz w:val="16"/>
                <w:szCs w:val="16"/>
              </w:rPr>
              <w:t>Dam safety reports prepared in line with ESS4 for existing dams</w:t>
            </w:r>
          </w:p>
        </w:tc>
        <w:tc>
          <w:tcPr>
            <w:tcW w:w="2523" w:type="dxa"/>
          </w:tcPr>
          <w:p w14:paraId="2B92BF7C" w14:textId="77777777" w:rsidR="00C32A65" w:rsidRPr="00ED4D49" w:rsidRDefault="00C32A65" w:rsidP="00AD24E9">
            <w:pPr>
              <w:pStyle w:val="ListParagraph"/>
              <w:widowControl w:val="0"/>
              <w:autoSpaceDE w:val="0"/>
              <w:autoSpaceDN w:val="0"/>
              <w:adjustRightInd w:val="0"/>
              <w:spacing w:beforeLines="60" w:before="144" w:afterLines="60" w:after="144" w:line="240" w:lineRule="auto"/>
              <w:ind w:left="0"/>
              <w:contextualSpacing w:val="0"/>
              <w:rPr>
                <w:rFonts w:asciiTheme="minorHAnsi" w:hAnsiTheme="minorHAnsi"/>
                <w:color w:val="0D0D0D" w:themeColor="text1" w:themeTint="F2"/>
                <w:sz w:val="16"/>
                <w:szCs w:val="16"/>
              </w:rPr>
            </w:pPr>
          </w:p>
        </w:tc>
        <w:tc>
          <w:tcPr>
            <w:tcW w:w="1227" w:type="dxa"/>
          </w:tcPr>
          <w:p w14:paraId="37C8CFCA" w14:textId="77777777" w:rsidR="00C32A65" w:rsidRPr="00ED4D49" w:rsidRDefault="00C32A65" w:rsidP="00AD24E9">
            <w:pPr>
              <w:pStyle w:val="ListParagraph"/>
              <w:widowControl w:val="0"/>
              <w:autoSpaceDE w:val="0"/>
              <w:autoSpaceDN w:val="0"/>
              <w:adjustRightInd w:val="0"/>
              <w:spacing w:beforeLines="60" w:before="144" w:afterLines="60" w:after="144" w:line="240" w:lineRule="auto"/>
              <w:ind w:left="0"/>
              <w:contextualSpacing w:val="0"/>
              <w:rPr>
                <w:rFonts w:asciiTheme="minorHAnsi" w:hAnsiTheme="minorHAnsi"/>
                <w:color w:val="0D0D0D" w:themeColor="text1" w:themeTint="F2"/>
                <w:sz w:val="16"/>
                <w:szCs w:val="16"/>
              </w:rPr>
            </w:pPr>
          </w:p>
        </w:tc>
        <w:tc>
          <w:tcPr>
            <w:tcW w:w="1269" w:type="dxa"/>
          </w:tcPr>
          <w:p w14:paraId="2DD846C2" w14:textId="77777777" w:rsidR="00C32A65" w:rsidRPr="00ED4D49" w:rsidRDefault="00C32A65" w:rsidP="00AD24E9">
            <w:pPr>
              <w:pStyle w:val="ListParagraph"/>
              <w:widowControl w:val="0"/>
              <w:autoSpaceDE w:val="0"/>
              <w:autoSpaceDN w:val="0"/>
              <w:adjustRightInd w:val="0"/>
              <w:spacing w:beforeLines="60" w:before="144" w:afterLines="60" w:after="144" w:line="240" w:lineRule="auto"/>
              <w:ind w:left="0"/>
              <w:contextualSpacing w:val="0"/>
              <w:rPr>
                <w:rFonts w:asciiTheme="minorHAnsi" w:hAnsiTheme="minorHAnsi"/>
                <w:color w:val="0D0D0D" w:themeColor="text1" w:themeTint="F2"/>
                <w:sz w:val="16"/>
                <w:szCs w:val="16"/>
              </w:rPr>
            </w:pPr>
          </w:p>
        </w:tc>
      </w:tr>
      <w:tr w:rsidR="00AD24E9" w:rsidRPr="00ED4D49" w14:paraId="05176123" w14:textId="77777777" w:rsidTr="0024607F">
        <w:tc>
          <w:tcPr>
            <w:tcW w:w="1555" w:type="dxa"/>
          </w:tcPr>
          <w:p w14:paraId="7F056118" w14:textId="2D7293B3" w:rsidR="00AD24E9" w:rsidRPr="00ED4D49" w:rsidRDefault="00AD24E9" w:rsidP="00AD24E9">
            <w:pPr>
              <w:pStyle w:val="ListParagraph"/>
              <w:widowControl w:val="0"/>
              <w:autoSpaceDE w:val="0"/>
              <w:autoSpaceDN w:val="0"/>
              <w:adjustRightInd w:val="0"/>
              <w:spacing w:beforeLines="60" w:before="144" w:afterLines="60" w:after="144" w:line="240" w:lineRule="auto"/>
              <w:ind w:left="0"/>
              <w:rPr>
                <w:bCs/>
                <w:sz w:val="16"/>
                <w:szCs w:val="16"/>
              </w:rPr>
            </w:pPr>
            <w:r w:rsidRPr="00ED4D49">
              <w:rPr>
                <w:bCs/>
                <w:sz w:val="16"/>
                <w:szCs w:val="16"/>
              </w:rPr>
              <w:t>Nursery production, reforestation, arboretum establishment</w:t>
            </w:r>
          </w:p>
        </w:tc>
        <w:tc>
          <w:tcPr>
            <w:tcW w:w="1133" w:type="dxa"/>
          </w:tcPr>
          <w:p w14:paraId="0C6AE1D7" w14:textId="6962A929" w:rsidR="00AD24E9" w:rsidRPr="00ED4D49" w:rsidRDefault="00AD24E9" w:rsidP="00AD24E9">
            <w:pPr>
              <w:pStyle w:val="ListParagraph"/>
              <w:widowControl w:val="0"/>
              <w:autoSpaceDE w:val="0"/>
              <w:autoSpaceDN w:val="0"/>
              <w:adjustRightInd w:val="0"/>
              <w:spacing w:beforeLines="60" w:before="144" w:afterLines="60" w:after="144" w:line="240" w:lineRule="auto"/>
              <w:ind w:left="0"/>
              <w:contextualSpacing w:val="0"/>
              <w:rPr>
                <w:rFonts w:asciiTheme="minorHAnsi" w:hAnsiTheme="minorHAnsi"/>
                <w:bCs/>
                <w:color w:val="0D0D0D" w:themeColor="text1" w:themeTint="F2"/>
                <w:sz w:val="16"/>
                <w:szCs w:val="16"/>
              </w:rPr>
            </w:pPr>
            <w:r w:rsidRPr="00ED4D49">
              <w:rPr>
                <w:rFonts w:asciiTheme="minorHAnsi" w:hAnsiTheme="minorHAnsi"/>
                <w:bCs/>
                <w:color w:val="0D0D0D" w:themeColor="text1" w:themeTint="F2"/>
                <w:sz w:val="16"/>
                <w:szCs w:val="16"/>
              </w:rPr>
              <w:t>Low risk</w:t>
            </w:r>
          </w:p>
        </w:tc>
        <w:tc>
          <w:tcPr>
            <w:tcW w:w="1360" w:type="dxa"/>
          </w:tcPr>
          <w:p w14:paraId="7B669BFD" w14:textId="79659A44" w:rsidR="00AD24E9" w:rsidRPr="00ED4D49" w:rsidRDefault="00AD24E9" w:rsidP="00AD24E9">
            <w:pPr>
              <w:pStyle w:val="ListParagraph"/>
              <w:widowControl w:val="0"/>
              <w:autoSpaceDE w:val="0"/>
              <w:autoSpaceDN w:val="0"/>
              <w:adjustRightInd w:val="0"/>
              <w:spacing w:beforeLines="60" w:before="144" w:afterLines="60" w:after="144" w:line="240" w:lineRule="auto"/>
              <w:ind w:left="0"/>
              <w:contextualSpacing w:val="0"/>
              <w:rPr>
                <w:rFonts w:asciiTheme="minorHAnsi" w:hAnsiTheme="minorHAnsi"/>
                <w:color w:val="0D0D0D" w:themeColor="text1" w:themeTint="F2"/>
                <w:sz w:val="16"/>
                <w:szCs w:val="16"/>
              </w:rPr>
            </w:pPr>
            <w:r w:rsidRPr="00ED4D49">
              <w:rPr>
                <w:rFonts w:asciiTheme="minorHAnsi" w:hAnsiTheme="minorHAnsi"/>
                <w:color w:val="0D0D0D" w:themeColor="text1" w:themeTint="F2"/>
                <w:sz w:val="16"/>
                <w:szCs w:val="16"/>
              </w:rPr>
              <w:t xml:space="preserve">Generic ESMP given in Annex to this ESMF. </w:t>
            </w:r>
          </w:p>
        </w:tc>
        <w:tc>
          <w:tcPr>
            <w:tcW w:w="2523" w:type="dxa"/>
          </w:tcPr>
          <w:p w14:paraId="2A7B4387" w14:textId="4643D811" w:rsidR="00AD24E9" w:rsidRPr="00ED4D49" w:rsidRDefault="00AD24E9" w:rsidP="00AD24E9">
            <w:pPr>
              <w:pStyle w:val="ListParagraph"/>
              <w:widowControl w:val="0"/>
              <w:autoSpaceDE w:val="0"/>
              <w:autoSpaceDN w:val="0"/>
              <w:adjustRightInd w:val="0"/>
              <w:spacing w:beforeLines="60" w:before="144" w:afterLines="60" w:after="144" w:line="240" w:lineRule="auto"/>
              <w:ind w:left="0"/>
              <w:contextualSpacing w:val="0"/>
              <w:rPr>
                <w:rFonts w:asciiTheme="minorHAnsi" w:hAnsiTheme="minorHAnsi"/>
                <w:color w:val="0D0D0D" w:themeColor="text1" w:themeTint="F2"/>
                <w:sz w:val="16"/>
                <w:szCs w:val="16"/>
              </w:rPr>
            </w:pPr>
            <w:r w:rsidRPr="00ED4D49">
              <w:rPr>
                <w:rFonts w:asciiTheme="minorHAnsi" w:hAnsiTheme="minorHAnsi"/>
                <w:color w:val="0D0D0D" w:themeColor="text1" w:themeTint="F2"/>
                <w:sz w:val="16"/>
                <w:szCs w:val="16"/>
              </w:rPr>
              <w:t>-</w:t>
            </w:r>
          </w:p>
        </w:tc>
        <w:tc>
          <w:tcPr>
            <w:tcW w:w="1227" w:type="dxa"/>
          </w:tcPr>
          <w:p w14:paraId="55DA6D61" w14:textId="33C4DE17" w:rsidR="00AD24E9" w:rsidRPr="00ED4D49" w:rsidRDefault="00AD24E9" w:rsidP="00AD24E9">
            <w:pPr>
              <w:pStyle w:val="ListParagraph"/>
              <w:widowControl w:val="0"/>
              <w:autoSpaceDE w:val="0"/>
              <w:autoSpaceDN w:val="0"/>
              <w:adjustRightInd w:val="0"/>
              <w:spacing w:beforeLines="60" w:before="144" w:afterLines="60" w:after="144" w:line="240" w:lineRule="auto"/>
              <w:ind w:left="0"/>
              <w:contextualSpacing w:val="0"/>
              <w:rPr>
                <w:rFonts w:asciiTheme="minorHAnsi" w:hAnsiTheme="minorHAnsi"/>
                <w:color w:val="0D0D0D" w:themeColor="text1" w:themeTint="F2"/>
                <w:sz w:val="16"/>
                <w:szCs w:val="16"/>
              </w:rPr>
            </w:pPr>
            <w:r w:rsidRPr="00ED4D49">
              <w:rPr>
                <w:rFonts w:asciiTheme="minorHAnsi" w:hAnsiTheme="minorHAnsi"/>
                <w:color w:val="0D0D0D" w:themeColor="text1" w:themeTint="F2"/>
                <w:sz w:val="16"/>
                <w:szCs w:val="16"/>
              </w:rPr>
              <w:t>-</w:t>
            </w:r>
          </w:p>
        </w:tc>
        <w:tc>
          <w:tcPr>
            <w:tcW w:w="1269" w:type="dxa"/>
          </w:tcPr>
          <w:p w14:paraId="37A30C30" w14:textId="2288F0FF" w:rsidR="00AD24E9" w:rsidRPr="00ED4D49" w:rsidRDefault="00AD24E9" w:rsidP="00AD24E9">
            <w:pPr>
              <w:pStyle w:val="ListParagraph"/>
              <w:widowControl w:val="0"/>
              <w:autoSpaceDE w:val="0"/>
              <w:autoSpaceDN w:val="0"/>
              <w:adjustRightInd w:val="0"/>
              <w:spacing w:beforeLines="60" w:before="144" w:afterLines="60" w:after="144" w:line="240" w:lineRule="auto"/>
              <w:ind w:left="0"/>
              <w:contextualSpacing w:val="0"/>
              <w:rPr>
                <w:rFonts w:asciiTheme="minorHAnsi" w:hAnsiTheme="minorHAnsi"/>
                <w:color w:val="0D0D0D" w:themeColor="text1" w:themeTint="F2"/>
                <w:sz w:val="16"/>
                <w:szCs w:val="16"/>
              </w:rPr>
            </w:pPr>
            <w:r w:rsidRPr="00ED4D49">
              <w:rPr>
                <w:rFonts w:asciiTheme="minorHAnsi" w:hAnsiTheme="minorHAnsi"/>
                <w:color w:val="0D0D0D" w:themeColor="text1" w:themeTint="F2"/>
                <w:sz w:val="16"/>
                <w:szCs w:val="16"/>
              </w:rPr>
              <w:t>-</w:t>
            </w:r>
          </w:p>
        </w:tc>
      </w:tr>
      <w:tr w:rsidR="00AD24E9" w:rsidRPr="00ED4D49" w14:paraId="45B06D68" w14:textId="77777777" w:rsidTr="0024607F">
        <w:tc>
          <w:tcPr>
            <w:tcW w:w="1555" w:type="dxa"/>
          </w:tcPr>
          <w:p w14:paraId="5BF7AD1F" w14:textId="7030221E" w:rsidR="00AD24E9" w:rsidRPr="00ED4D49" w:rsidRDefault="00AD24E9" w:rsidP="00AD24E9">
            <w:pPr>
              <w:spacing w:beforeLines="60" w:before="144" w:afterLines="60" w:after="144" w:line="240" w:lineRule="auto"/>
              <w:rPr>
                <w:bCs/>
                <w:sz w:val="16"/>
                <w:szCs w:val="16"/>
                <w:lang w:val="en-US"/>
              </w:rPr>
            </w:pPr>
            <w:r w:rsidRPr="00ED4D49">
              <w:rPr>
                <w:bCs/>
                <w:sz w:val="16"/>
                <w:szCs w:val="16"/>
                <w:lang w:val="en-US"/>
              </w:rPr>
              <w:t>Demining activities along the Sava Right bank within BiH</w:t>
            </w:r>
          </w:p>
        </w:tc>
        <w:tc>
          <w:tcPr>
            <w:tcW w:w="1133" w:type="dxa"/>
          </w:tcPr>
          <w:p w14:paraId="47B977DF" w14:textId="77777777" w:rsidR="00AD24E9" w:rsidRPr="00ED4D49" w:rsidRDefault="00AD24E9" w:rsidP="00AD24E9">
            <w:pPr>
              <w:spacing w:beforeLines="60" w:before="144" w:afterLines="60" w:after="144" w:line="240" w:lineRule="auto"/>
              <w:rPr>
                <w:bCs/>
                <w:sz w:val="16"/>
                <w:szCs w:val="16"/>
                <w:lang w:val="en-US"/>
              </w:rPr>
            </w:pPr>
            <w:r w:rsidRPr="00ED4D49">
              <w:rPr>
                <w:bCs/>
                <w:sz w:val="16"/>
                <w:szCs w:val="16"/>
                <w:lang w:val="en-US"/>
              </w:rPr>
              <w:t>Substantial risk</w:t>
            </w:r>
          </w:p>
        </w:tc>
        <w:tc>
          <w:tcPr>
            <w:tcW w:w="1360" w:type="dxa"/>
          </w:tcPr>
          <w:p w14:paraId="31387849" w14:textId="77777777" w:rsidR="00AD24E9" w:rsidRPr="00ED4D49" w:rsidRDefault="00AD24E9" w:rsidP="00AD24E9">
            <w:pPr>
              <w:spacing w:beforeLines="60" w:before="144" w:afterLines="60" w:after="144" w:line="240" w:lineRule="auto"/>
              <w:rPr>
                <w:sz w:val="16"/>
                <w:szCs w:val="16"/>
                <w:lang w:val="en-US"/>
              </w:rPr>
            </w:pPr>
            <w:r w:rsidRPr="00ED4D49">
              <w:rPr>
                <w:rFonts w:asciiTheme="minorHAnsi" w:hAnsiTheme="minorHAnsi"/>
                <w:color w:val="0D0D0D" w:themeColor="text1" w:themeTint="F2"/>
                <w:sz w:val="16"/>
                <w:szCs w:val="16"/>
                <w:lang w:val="en-US"/>
              </w:rPr>
              <w:t>Site-specific ESMP</w:t>
            </w:r>
          </w:p>
        </w:tc>
        <w:tc>
          <w:tcPr>
            <w:tcW w:w="2523" w:type="dxa"/>
          </w:tcPr>
          <w:p w14:paraId="5E6B4CED" w14:textId="77777777" w:rsidR="00AD24E9" w:rsidRPr="00ED4D49" w:rsidRDefault="00AD24E9" w:rsidP="00AD24E9">
            <w:pPr>
              <w:spacing w:beforeLines="60" w:before="144" w:afterLines="60" w:after="144" w:line="240" w:lineRule="auto"/>
              <w:rPr>
                <w:sz w:val="16"/>
                <w:szCs w:val="16"/>
                <w:lang w:val="en-US"/>
              </w:rPr>
            </w:pPr>
            <w:r w:rsidRPr="00ED4D49">
              <w:rPr>
                <w:sz w:val="16"/>
                <w:szCs w:val="16"/>
                <w:lang w:val="en-US"/>
              </w:rPr>
              <w:t>-</w:t>
            </w:r>
          </w:p>
        </w:tc>
        <w:tc>
          <w:tcPr>
            <w:tcW w:w="1227" w:type="dxa"/>
          </w:tcPr>
          <w:p w14:paraId="55731A14" w14:textId="77777777" w:rsidR="00AD24E9" w:rsidRPr="00ED4D49" w:rsidRDefault="00AD24E9" w:rsidP="00AD24E9">
            <w:pPr>
              <w:pStyle w:val="ListParagraph"/>
              <w:widowControl w:val="0"/>
              <w:autoSpaceDE w:val="0"/>
              <w:autoSpaceDN w:val="0"/>
              <w:adjustRightInd w:val="0"/>
              <w:spacing w:beforeLines="60" w:before="144" w:afterLines="60" w:after="144" w:line="240" w:lineRule="auto"/>
              <w:ind w:left="0"/>
              <w:rPr>
                <w:rFonts w:asciiTheme="minorHAnsi" w:hAnsiTheme="minorHAnsi"/>
                <w:color w:val="0D0D0D" w:themeColor="text1" w:themeTint="F2"/>
                <w:sz w:val="16"/>
                <w:szCs w:val="16"/>
              </w:rPr>
            </w:pPr>
            <w:r w:rsidRPr="00ED4D49">
              <w:rPr>
                <w:rFonts w:asciiTheme="minorHAnsi" w:hAnsiTheme="minorHAnsi"/>
                <w:color w:val="0D0D0D" w:themeColor="text1" w:themeTint="F2"/>
                <w:sz w:val="16"/>
                <w:szCs w:val="16"/>
              </w:rPr>
              <w:t>-</w:t>
            </w:r>
          </w:p>
        </w:tc>
        <w:tc>
          <w:tcPr>
            <w:tcW w:w="1269" w:type="dxa"/>
          </w:tcPr>
          <w:p w14:paraId="3BBC6661" w14:textId="77777777" w:rsidR="00AD24E9" w:rsidRPr="00ED4D49" w:rsidRDefault="00AD24E9" w:rsidP="00AD24E9">
            <w:pPr>
              <w:spacing w:beforeLines="60" w:before="144" w:afterLines="60" w:after="144" w:line="240" w:lineRule="auto"/>
              <w:rPr>
                <w:sz w:val="16"/>
                <w:szCs w:val="16"/>
                <w:lang w:val="en-US"/>
              </w:rPr>
            </w:pPr>
            <w:r w:rsidRPr="00ED4D49">
              <w:rPr>
                <w:sz w:val="16"/>
                <w:szCs w:val="16"/>
                <w:lang w:val="en-US"/>
              </w:rPr>
              <w:t>-</w:t>
            </w:r>
          </w:p>
        </w:tc>
      </w:tr>
      <w:tr w:rsidR="00AD24E9" w:rsidRPr="00ED4D49" w14:paraId="23F5E13F" w14:textId="77777777" w:rsidTr="0024607F">
        <w:tc>
          <w:tcPr>
            <w:tcW w:w="1555" w:type="dxa"/>
          </w:tcPr>
          <w:p w14:paraId="7534574E" w14:textId="6E4BDE25" w:rsidR="00AD24E9" w:rsidRPr="00ED4D49" w:rsidRDefault="00AD24E9" w:rsidP="00AD24E9">
            <w:pPr>
              <w:spacing w:beforeLines="60" w:before="144" w:afterLines="60" w:after="144" w:line="240" w:lineRule="auto"/>
              <w:rPr>
                <w:bCs/>
                <w:sz w:val="16"/>
                <w:szCs w:val="16"/>
                <w:lang w:val="en-US"/>
              </w:rPr>
            </w:pPr>
            <w:r w:rsidRPr="00ED4D49">
              <w:rPr>
                <w:bCs/>
                <w:sz w:val="16"/>
                <w:szCs w:val="16"/>
                <w:lang w:val="en-US"/>
              </w:rPr>
              <w:t xml:space="preserve">Development of regional studies for the </w:t>
            </w:r>
            <w:proofErr w:type="gramStart"/>
            <w:r w:rsidRPr="00ED4D49">
              <w:rPr>
                <w:bCs/>
                <w:sz w:val="16"/>
                <w:szCs w:val="16"/>
                <w:lang w:val="en-US"/>
              </w:rPr>
              <w:t>Sava river</w:t>
            </w:r>
            <w:proofErr w:type="gramEnd"/>
            <w:r w:rsidRPr="00ED4D49">
              <w:rPr>
                <w:bCs/>
                <w:sz w:val="16"/>
                <w:szCs w:val="16"/>
                <w:lang w:val="en-US"/>
              </w:rPr>
              <w:t xml:space="preserve"> basin</w:t>
            </w:r>
          </w:p>
        </w:tc>
        <w:tc>
          <w:tcPr>
            <w:tcW w:w="1133" w:type="dxa"/>
          </w:tcPr>
          <w:p w14:paraId="74063714" w14:textId="61A083AD" w:rsidR="00AD24E9" w:rsidRPr="00ED4D49" w:rsidRDefault="00AD24E9" w:rsidP="00AD24E9">
            <w:pPr>
              <w:spacing w:beforeLines="60" w:before="144" w:afterLines="60" w:after="144" w:line="240" w:lineRule="auto"/>
              <w:rPr>
                <w:bCs/>
                <w:sz w:val="16"/>
                <w:szCs w:val="16"/>
                <w:lang w:val="en-US"/>
              </w:rPr>
            </w:pPr>
            <w:r w:rsidRPr="00ED4D49">
              <w:rPr>
                <w:bCs/>
                <w:sz w:val="16"/>
                <w:szCs w:val="16"/>
                <w:lang w:val="en-US"/>
              </w:rPr>
              <w:t>Low risk</w:t>
            </w:r>
          </w:p>
        </w:tc>
        <w:tc>
          <w:tcPr>
            <w:tcW w:w="1360" w:type="dxa"/>
          </w:tcPr>
          <w:p w14:paraId="2D7C0243" w14:textId="4F12489A" w:rsidR="00AD24E9" w:rsidRPr="00ED4D49" w:rsidRDefault="00AD24E9" w:rsidP="00AD24E9">
            <w:pPr>
              <w:spacing w:beforeLines="60" w:before="144" w:afterLines="60" w:after="144" w:line="240" w:lineRule="auto"/>
              <w:rPr>
                <w:rFonts w:asciiTheme="minorHAnsi" w:hAnsiTheme="minorHAnsi"/>
                <w:color w:val="0D0D0D" w:themeColor="text1" w:themeTint="F2"/>
                <w:sz w:val="16"/>
                <w:szCs w:val="16"/>
                <w:lang w:val="en-US"/>
              </w:rPr>
            </w:pPr>
            <w:r w:rsidRPr="00ED4D49">
              <w:rPr>
                <w:rFonts w:asciiTheme="minorHAnsi" w:hAnsiTheme="minorHAnsi"/>
                <w:color w:val="0D0D0D" w:themeColor="text1" w:themeTint="F2"/>
                <w:sz w:val="16"/>
                <w:szCs w:val="16"/>
                <w:lang w:val="en-US"/>
              </w:rPr>
              <w:t xml:space="preserve">Strategic Environmental and Social Assessment </w:t>
            </w:r>
          </w:p>
        </w:tc>
        <w:tc>
          <w:tcPr>
            <w:tcW w:w="2523" w:type="dxa"/>
          </w:tcPr>
          <w:p w14:paraId="096F91E5" w14:textId="42CD0A55" w:rsidR="00AD24E9" w:rsidRPr="00ED4D49" w:rsidRDefault="00AD24E9" w:rsidP="00AD24E9">
            <w:pPr>
              <w:spacing w:beforeLines="60" w:before="144" w:afterLines="60" w:after="144" w:line="240" w:lineRule="auto"/>
              <w:rPr>
                <w:sz w:val="16"/>
                <w:szCs w:val="16"/>
                <w:lang w:val="en-US"/>
              </w:rPr>
            </w:pPr>
            <w:r w:rsidRPr="00ED4D49">
              <w:rPr>
                <w:rFonts w:asciiTheme="minorHAnsi" w:hAnsiTheme="minorHAnsi"/>
                <w:color w:val="0D0D0D" w:themeColor="text1" w:themeTint="F2"/>
                <w:sz w:val="16"/>
                <w:szCs w:val="16"/>
                <w:lang w:val="en-US"/>
              </w:rPr>
              <w:t xml:space="preserve">Strategic Environmental Assessment </w:t>
            </w:r>
          </w:p>
        </w:tc>
        <w:tc>
          <w:tcPr>
            <w:tcW w:w="1227" w:type="dxa"/>
          </w:tcPr>
          <w:p w14:paraId="183CB198" w14:textId="2FC0432A" w:rsidR="00AD24E9" w:rsidRPr="00ED4D49" w:rsidRDefault="00AD24E9" w:rsidP="00AD24E9">
            <w:pPr>
              <w:pStyle w:val="ListParagraph"/>
              <w:widowControl w:val="0"/>
              <w:autoSpaceDE w:val="0"/>
              <w:autoSpaceDN w:val="0"/>
              <w:adjustRightInd w:val="0"/>
              <w:spacing w:beforeLines="60" w:before="144" w:afterLines="60" w:after="144" w:line="240" w:lineRule="auto"/>
              <w:ind w:left="0"/>
              <w:rPr>
                <w:rFonts w:asciiTheme="minorHAnsi" w:hAnsiTheme="minorHAnsi"/>
                <w:color w:val="0D0D0D" w:themeColor="text1" w:themeTint="F2"/>
                <w:sz w:val="16"/>
                <w:szCs w:val="16"/>
              </w:rPr>
            </w:pPr>
            <w:r w:rsidRPr="00ED4D49">
              <w:rPr>
                <w:rFonts w:asciiTheme="minorHAnsi" w:hAnsiTheme="minorHAnsi"/>
                <w:color w:val="0D0D0D" w:themeColor="text1" w:themeTint="F2"/>
                <w:sz w:val="16"/>
                <w:szCs w:val="16"/>
              </w:rPr>
              <w:t>-</w:t>
            </w:r>
          </w:p>
        </w:tc>
        <w:tc>
          <w:tcPr>
            <w:tcW w:w="1269" w:type="dxa"/>
          </w:tcPr>
          <w:p w14:paraId="6B75DEEC" w14:textId="7DDD75CD" w:rsidR="00AD24E9" w:rsidRPr="00ED4D49" w:rsidRDefault="00AD24E9" w:rsidP="00AD24E9">
            <w:pPr>
              <w:spacing w:beforeLines="60" w:before="144" w:afterLines="60" w:after="144" w:line="240" w:lineRule="auto"/>
              <w:rPr>
                <w:sz w:val="16"/>
                <w:szCs w:val="16"/>
                <w:lang w:val="en-US"/>
              </w:rPr>
            </w:pPr>
            <w:r w:rsidRPr="00ED4D49">
              <w:rPr>
                <w:sz w:val="16"/>
                <w:szCs w:val="16"/>
                <w:lang w:val="en-US"/>
              </w:rPr>
              <w:t>-</w:t>
            </w:r>
          </w:p>
        </w:tc>
      </w:tr>
    </w:tbl>
    <w:p w14:paraId="16150D9E" w14:textId="5E5AF84C" w:rsidR="00A422DD" w:rsidRPr="00ED4D49" w:rsidRDefault="00A422DD" w:rsidP="00A422DD">
      <w:pPr>
        <w:jc w:val="both"/>
        <w:rPr>
          <w:b/>
          <w:lang w:val="en-US" w:eastAsia="x-none"/>
        </w:rPr>
      </w:pPr>
      <w:bookmarkStart w:id="6" w:name="_Hlk25257923"/>
      <w:r w:rsidRPr="00ED4D49">
        <w:rPr>
          <w:color w:val="000000"/>
          <w:szCs w:val="23"/>
          <w:lang w:val="en-US"/>
        </w:rPr>
        <w:t xml:space="preserve">For future implementation of the sub-components and related </w:t>
      </w:r>
      <w:r w:rsidR="00BB3655" w:rsidRPr="00ED4D49">
        <w:rPr>
          <w:color w:val="000000"/>
          <w:szCs w:val="23"/>
          <w:lang w:val="en-US"/>
        </w:rPr>
        <w:t>subprojects</w:t>
      </w:r>
      <w:r w:rsidRPr="00ED4D49">
        <w:rPr>
          <w:color w:val="000000"/>
          <w:szCs w:val="23"/>
          <w:lang w:val="en-US"/>
        </w:rPr>
        <w:t xml:space="preserve">, </w:t>
      </w:r>
      <w:r w:rsidR="00BB3655" w:rsidRPr="00ED4D49">
        <w:rPr>
          <w:color w:val="000000"/>
          <w:szCs w:val="23"/>
          <w:lang w:val="en-US"/>
        </w:rPr>
        <w:t xml:space="preserve">the </w:t>
      </w:r>
      <w:r w:rsidRPr="00ED4D49">
        <w:rPr>
          <w:color w:val="000000"/>
          <w:szCs w:val="23"/>
          <w:lang w:val="en-US"/>
        </w:rPr>
        <w:t xml:space="preserve">following steps concerning </w:t>
      </w:r>
      <w:r w:rsidR="00BB3655" w:rsidRPr="00ED4D49">
        <w:rPr>
          <w:color w:val="000000"/>
          <w:szCs w:val="23"/>
          <w:lang w:val="en-US"/>
        </w:rPr>
        <w:t>the E&amp;S</w:t>
      </w:r>
      <w:r w:rsidRPr="00ED4D49">
        <w:rPr>
          <w:color w:val="000000"/>
          <w:szCs w:val="23"/>
          <w:lang w:val="en-US"/>
        </w:rPr>
        <w:t xml:space="preserve"> assessment process should be undertaken:</w:t>
      </w:r>
    </w:p>
    <w:p w14:paraId="202E7217" w14:textId="77777777" w:rsidR="0033519F" w:rsidRPr="00ED4D49" w:rsidRDefault="0033519F" w:rsidP="00A422DD">
      <w:pPr>
        <w:jc w:val="both"/>
        <w:rPr>
          <w:b/>
          <w:lang w:val="en-US" w:eastAsia="x-none"/>
        </w:rPr>
      </w:pPr>
      <w:bookmarkStart w:id="7" w:name="_Hlk25257931"/>
      <w:bookmarkEnd w:id="6"/>
    </w:p>
    <w:p w14:paraId="08D8A401" w14:textId="0665E5A9" w:rsidR="00A422DD" w:rsidRPr="00ED4D49" w:rsidRDefault="00A422DD" w:rsidP="00A422DD">
      <w:pPr>
        <w:jc w:val="both"/>
        <w:rPr>
          <w:b/>
          <w:lang w:val="en-US" w:eastAsia="x-none"/>
        </w:rPr>
      </w:pPr>
      <w:r w:rsidRPr="00ED4D49">
        <w:rPr>
          <w:b/>
          <w:lang w:val="en-US" w:eastAsia="x-none"/>
        </w:rPr>
        <w:t xml:space="preserve">Step 1. Confirm the preliminary determined project risk and carry out </w:t>
      </w:r>
      <w:r w:rsidR="00BB3655" w:rsidRPr="00ED4D49">
        <w:rPr>
          <w:b/>
          <w:lang w:val="en-US" w:eastAsia="x-none"/>
        </w:rPr>
        <w:t xml:space="preserve">an </w:t>
      </w:r>
      <w:r w:rsidRPr="00ED4D49">
        <w:rPr>
          <w:b/>
          <w:lang w:val="en-US" w:eastAsia="x-none"/>
        </w:rPr>
        <w:t>E&amp;S assessment in line the WB requirements</w:t>
      </w:r>
    </w:p>
    <w:tbl>
      <w:tblPr>
        <w:tblStyle w:val="TableGridLight1"/>
        <w:tblW w:w="9067" w:type="dxa"/>
        <w:tblLook w:val="04A0" w:firstRow="1" w:lastRow="0" w:firstColumn="1" w:lastColumn="0" w:noHBand="0" w:noVBand="1"/>
      </w:tblPr>
      <w:tblGrid>
        <w:gridCol w:w="2484"/>
        <w:gridCol w:w="4457"/>
        <w:gridCol w:w="2126"/>
      </w:tblGrid>
      <w:tr w:rsidR="00A422DD" w:rsidRPr="00ED4D49" w14:paraId="187399A4" w14:textId="77777777" w:rsidTr="00160717">
        <w:trPr>
          <w:tblHeader/>
        </w:trPr>
        <w:tc>
          <w:tcPr>
            <w:tcW w:w="2484" w:type="dxa"/>
          </w:tcPr>
          <w:bookmarkEnd w:id="7"/>
          <w:p w14:paraId="75EA43F4" w14:textId="77777777" w:rsidR="00A422DD" w:rsidRPr="00ED4D49" w:rsidRDefault="00A422DD" w:rsidP="00160717">
            <w:pPr>
              <w:spacing w:beforeLines="60" w:before="144" w:afterLines="60" w:after="144" w:line="240" w:lineRule="auto"/>
              <w:ind w:right="144"/>
              <w:rPr>
                <w:rFonts w:cs="Calibri"/>
                <w:color w:val="336699"/>
                <w:sz w:val="16"/>
                <w:szCs w:val="16"/>
                <w:lang w:val="en-US"/>
              </w:rPr>
            </w:pPr>
            <w:r w:rsidRPr="00ED4D49">
              <w:rPr>
                <w:rFonts w:cs="Calibri"/>
                <w:color w:val="336699"/>
                <w:sz w:val="16"/>
                <w:szCs w:val="16"/>
                <w:lang w:val="en-US"/>
              </w:rPr>
              <w:t>Type of activities</w:t>
            </w:r>
          </w:p>
        </w:tc>
        <w:tc>
          <w:tcPr>
            <w:tcW w:w="4457" w:type="dxa"/>
          </w:tcPr>
          <w:p w14:paraId="373DCEF8" w14:textId="77777777" w:rsidR="00A422DD" w:rsidRPr="00ED4D49" w:rsidRDefault="00A422DD" w:rsidP="00160717">
            <w:pPr>
              <w:spacing w:beforeLines="60" w:before="144" w:afterLines="60" w:after="144" w:line="240" w:lineRule="auto"/>
              <w:ind w:right="144"/>
              <w:rPr>
                <w:rFonts w:cs="Calibri"/>
                <w:color w:val="336699"/>
                <w:sz w:val="16"/>
                <w:szCs w:val="16"/>
                <w:lang w:val="en-US"/>
              </w:rPr>
            </w:pPr>
            <w:r w:rsidRPr="00ED4D49">
              <w:rPr>
                <w:rFonts w:cs="Calibri"/>
                <w:color w:val="336699"/>
                <w:sz w:val="16"/>
                <w:szCs w:val="16"/>
                <w:lang w:val="en-US"/>
              </w:rPr>
              <w:t>Action to be taken</w:t>
            </w:r>
          </w:p>
        </w:tc>
        <w:tc>
          <w:tcPr>
            <w:tcW w:w="2126" w:type="dxa"/>
          </w:tcPr>
          <w:p w14:paraId="5939C627" w14:textId="77777777" w:rsidR="00A422DD" w:rsidRPr="00ED4D49" w:rsidRDefault="00A422DD" w:rsidP="00160717">
            <w:pPr>
              <w:spacing w:beforeLines="60" w:before="144" w:afterLines="60" w:after="144" w:line="240" w:lineRule="auto"/>
              <w:ind w:right="144"/>
              <w:rPr>
                <w:rFonts w:cs="Calibri"/>
                <w:color w:val="336699"/>
                <w:sz w:val="16"/>
                <w:szCs w:val="16"/>
                <w:lang w:val="en-US"/>
              </w:rPr>
            </w:pPr>
            <w:r w:rsidRPr="00ED4D49">
              <w:rPr>
                <w:rFonts w:cs="Calibri"/>
                <w:color w:val="336699"/>
                <w:sz w:val="16"/>
                <w:szCs w:val="16"/>
                <w:lang w:val="en-US"/>
              </w:rPr>
              <w:t>Result of the action</w:t>
            </w:r>
          </w:p>
        </w:tc>
      </w:tr>
      <w:tr w:rsidR="00A422DD" w:rsidRPr="00ED4D49" w14:paraId="33EF7641" w14:textId="77777777" w:rsidTr="00160717">
        <w:tc>
          <w:tcPr>
            <w:tcW w:w="2484" w:type="dxa"/>
          </w:tcPr>
          <w:p w14:paraId="312FC165" w14:textId="17687CAC" w:rsidR="00A422DD" w:rsidRPr="00ED4D49" w:rsidRDefault="0093357A" w:rsidP="00022FFD">
            <w:pPr>
              <w:widowControl w:val="0"/>
              <w:autoSpaceDE w:val="0"/>
              <w:autoSpaceDN w:val="0"/>
              <w:adjustRightInd w:val="0"/>
              <w:spacing w:before="0" w:afterLines="60" w:after="144" w:line="240" w:lineRule="auto"/>
              <w:rPr>
                <w:rFonts w:asciiTheme="minorHAnsi" w:hAnsiTheme="minorHAnsi"/>
                <w:color w:val="0D0D0D" w:themeColor="text1" w:themeTint="F2"/>
                <w:sz w:val="16"/>
                <w:szCs w:val="16"/>
                <w:lang w:val="en-US"/>
              </w:rPr>
            </w:pPr>
            <w:r w:rsidRPr="00ED4D49">
              <w:rPr>
                <w:b/>
                <w:sz w:val="16"/>
                <w:szCs w:val="16"/>
                <w:lang w:val="en-US"/>
              </w:rPr>
              <w:t xml:space="preserve">1.) </w:t>
            </w:r>
            <w:r w:rsidR="00727DC2" w:rsidRPr="00ED4D49">
              <w:rPr>
                <w:bCs/>
                <w:sz w:val="16"/>
                <w:szCs w:val="16"/>
                <w:lang w:val="en-US"/>
              </w:rPr>
              <w:t>Flood protection, bank stabilization, drainage control, dredging and river training works, and reservoir management in the Drina Corridor in FBiH</w:t>
            </w:r>
            <w:r w:rsidRPr="00ED4D49">
              <w:rPr>
                <w:bCs/>
                <w:sz w:val="16"/>
                <w:szCs w:val="16"/>
                <w:lang w:val="en-US"/>
              </w:rPr>
              <w:t>,</w:t>
            </w:r>
            <w:r w:rsidR="00727DC2" w:rsidRPr="00ED4D49">
              <w:rPr>
                <w:bCs/>
                <w:sz w:val="16"/>
                <w:szCs w:val="16"/>
                <w:lang w:val="en-US"/>
              </w:rPr>
              <w:t xml:space="preserve"> RS</w:t>
            </w:r>
            <w:r w:rsidRPr="00ED4D49">
              <w:rPr>
                <w:bCs/>
                <w:sz w:val="16"/>
                <w:szCs w:val="16"/>
                <w:lang w:val="en-US"/>
              </w:rPr>
              <w:t xml:space="preserve"> and DB</w:t>
            </w:r>
          </w:p>
        </w:tc>
        <w:tc>
          <w:tcPr>
            <w:tcW w:w="4457" w:type="dxa"/>
          </w:tcPr>
          <w:p w14:paraId="101B03E1" w14:textId="10E6E67A" w:rsidR="00A422DD" w:rsidRPr="00ED4D49" w:rsidRDefault="00A422DD" w:rsidP="00022FFD">
            <w:pPr>
              <w:pStyle w:val="ListParagraph"/>
              <w:widowControl w:val="0"/>
              <w:autoSpaceDE w:val="0"/>
              <w:autoSpaceDN w:val="0"/>
              <w:adjustRightInd w:val="0"/>
              <w:spacing w:before="0" w:afterLines="60" w:after="144" w:line="240" w:lineRule="auto"/>
              <w:ind w:left="0"/>
              <w:rPr>
                <w:rFonts w:asciiTheme="minorHAnsi" w:hAnsiTheme="minorHAnsi"/>
                <w:color w:val="0D0D0D" w:themeColor="text1" w:themeTint="F2"/>
                <w:sz w:val="16"/>
                <w:szCs w:val="16"/>
              </w:rPr>
            </w:pPr>
            <w:r w:rsidRPr="00ED4D49">
              <w:rPr>
                <w:rFonts w:asciiTheme="minorHAnsi" w:hAnsiTheme="minorHAnsi"/>
                <w:color w:val="0D0D0D" w:themeColor="text1" w:themeTint="F2"/>
                <w:sz w:val="16"/>
                <w:szCs w:val="16"/>
              </w:rPr>
              <w:t xml:space="preserve">Prepare an ESIA or </w:t>
            </w:r>
            <w:r w:rsidR="00BB3655" w:rsidRPr="00ED4D49">
              <w:rPr>
                <w:rFonts w:asciiTheme="minorHAnsi" w:hAnsiTheme="minorHAnsi"/>
                <w:color w:val="0D0D0D" w:themeColor="text1" w:themeTint="F2"/>
                <w:sz w:val="16"/>
                <w:szCs w:val="16"/>
              </w:rPr>
              <w:t xml:space="preserve">site-specific </w:t>
            </w:r>
            <w:r w:rsidRPr="00ED4D49">
              <w:rPr>
                <w:rFonts w:asciiTheme="minorHAnsi" w:hAnsiTheme="minorHAnsi"/>
                <w:color w:val="0D0D0D" w:themeColor="text1" w:themeTint="F2"/>
                <w:sz w:val="16"/>
                <w:szCs w:val="16"/>
              </w:rPr>
              <w:t xml:space="preserve">ESMP (depending on the categorization and the requirements of the local permitting process) and follow guidance on disclosure and consultations. In the ESIA or </w:t>
            </w:r>
            <w:r w:rsidR="00BB3655" w:rsidRPr="00ED4D49">
              <w:rPr>
                <w:rFonts w:asciiTheme="minorHAnsi" w:hAnsiTheme="minorHAnsi"/>
                <w:color w:val="0D0D0D" w:themeColor="text1" w:themeTint="F2"/>
                <w:sz w:val="16"/>
                <w:szCs w:val="16"/>
              </w:rPr>
              <w:t xml:space="preserve">site-specific </w:t>
            </w:r>
            <w:r w:rsidRPr="00ED4D49">
              <w:rPr>
                <w:rFonts w:asciiTheme="minorHAnsi" w:hAnsiTheme="minorHAnsi"/>
                <w:color w:val="0D0D0D" w:themeColor="text1" w:themeTint="F2"/>
                <w:sz w:val="16"/>
                <w:szCs w:val="16"/>
              </w:rPr>
              <w:t>ESMP</w:t>
            </w:r>
            <w:r w:rsidR="00BB3655" w:rsidRPr="00ED4D49">
              <w:rPr>
                <w:rFonts w:asciiTheme="minorHAnsi" w:hAnsiTheme="minorHAnsi"/>
                <w:color w:val="0D0D0D" w:themeColor="text1" w:themeTint="F2"/>
                <w:sz w:val="16"/>
                <w:szCs w:val="16"/>
              </w:rPr>
              <w:t>,</w:t>
            </w:r>
            <w:r w:rsidRPr="00ED4D49">
              <w:rPr>
                <w:rFonts w:asciiTheme="minorHAnsi" w:hAnsiTheme="minorHAnsi"/>
                <w:color w:val="0D0D0D" w:themeColor="text1" w:themeTint="F2"/>
                <w:sz w:val="16"/>
                <w:szCs w:val="16"/>
              </w:rPr>
              <w:t xml:space="preserve"> include sections related to all applicable ESSs.</w:t>
            </w:r>
          </w:p>
        </w:tc>
        <w:tc>
          <w:tcPr>
            <w:tcW w:w="2126" w:type="dxa"/>
          </w:tcPr>
          <w:p w14:paraId="77708D73" w14:textId="65FAE674" w:rsidR="00A422DD" w:rsidRPr="00ED4D49" w:rsidRDefault="00A422DD" w:rsidP="00022FFD">
            <w:pPr>
              <w:pStyle w:val="ListParagraph"/>
              <w:widowControl w:val="0"/>
              <w:autoSpaceDE w:val="0"/>
              <w:autoSpaceDN w:val="0"/>
              <w:adjustRightInd w:val="0"/>
              <w:spacing w:before="0" w:afterLines="60" w:after="144" w:line="240" w:lineRule="auto"/>
              <w:ind w:left="0"/>
              <w:contextualSpacing w:val="0"/>
              <w:rPr>
                <w:rFonts w:asciiTheme="minorHAnsi" w:hAnsiTheme="minorHAnsi"/>
                <w:color w:val="0D0D0D" w:themeColor="text1" w:themeTint="F2"/>
                <w:sz w:val="16"/>
                <w:szCs w:val="16"/>
              </w:rPr>
            </w:pPr>
            <w:r w:rsidRPr="00ED4D49">
              <w:rPr>
                <w:rFonts w:asciiTheme="minorHAnsi" w:hAnsiTheme="minorHAnsi"/>
                <w:color w:val="0D0D0D" w:themeColor="text1" w:themeTint="F2"/>
                <w:sz w:val="16"/>
                <w:szCs w:val="16"/>
              </w:rPr>
              <w:t xml:space="preserve">WB requirements on E&amp;S impacts mitigation and monitoring included in the tender dossier. </w:t>
            </w:r>
          </w:p>
        </w:tc>
      </w:tr>
      <w:tr w:rsidR="00AD24E9" w:rsidRPr="00ED4D49" w14:paraId="0CD7BAB6" w14:textId="77777777" w:rsidTr="00160717">
        <w:tc>
          <w:tcPr>
            <w:tcW w:w="2484" w:type="dxa"/>
          </w:tcPr>
          <w:p w14:paraId="749C57D0" w14:textId="7D006257" w:rsidR="00AD24E9" w:rsidRPr="00ED4D49" w:rsidRDefault="0093357A" w:rsidP="00ED4D49">
            <w:pPr>
              <w:widowControl w:val="0"/>
              <w:autoSpaceDE w:val="0"/>
              <w:autoSpaceDN w:val="0"/>
              <w:adjustRightInd w:val="0"/>
              <w:spacing w:before="0" w:afterLines="60" w:after="144" w:line="240" w:lineRule="auto"/>
              <w:ind w:left="250"/>
              <w:rPr>
                <w:bCs/>
                <w:sz w:val="16"/>
                <w:szCs w:val="16"/>
                <w:lang w:val="en-US"/>
              </w:rPr>
            </w:pPr>
            <w:r w:rsidRPr="00ED4D49">
              <w:rPr>
                <w:b/>
                <w:sz w:val="16"/>
                <w:szCs w:val="16"/>
              </w:rPr>
              <w:t xml:space="preserve">1a.) </w:t>
            </w:r>
            <w:r w:rsidR="00AD24E9" w:rsidRPr="00ED4D49">
              <w:rPr>
                <w:bCs/>
                <w:sz w:val="16"/>
                <w:szCs w:val="16"/>
              </w:rPr>
              <w:t>An 100-year flooding protection, river bank stabilization, drainage control in the Brčko District of BIH</w:t>
            </w:r>
          </w:p>
        </w:tc>
        <w:tc>
          <w:tcPr>
            <w:tcW w:w="4457" w:type="dxa"/>
          </w:tcPr>
          <w:p w14:paraId="2CE1B65B" w14:textId="547EEB41" w:rsidR="00AD24E9" w:rsidRPr="00ED4D49" w:rsidRDefault="00AD24E9" w:rsidP="00AD24E9">
            <w:pPr>
              <w:pStyle w:val="ListParagraph"/>
              <w:widowControl w:val="0"/>
              <w:autoSpaceDE w:val="0"/>
              <w:autoSpaceDN w:val="0"/>
              <w:adjustRightInd w:val="0"/>
              <w:spacing w:before="0" w:afterLines="60" w:after="144" w:line="240" w:lineRule="auto"/>
              <w:ind w:left="0"/>
              <w:rPr>
                <w:rFonts w:asciiTheme="minorHAnsi" w:hAnsiTheme="minorHAnsi"/>
                <w:color w:val="0D0D0D" w:themeColor="text1" w:themeTint="F2"/>
                <w:sz w:val="16"/>
                <w:szCs w:val="16"/>
              </w:rPr>
            </w:pPr>
            <w:r w:rsidRPr="00ED4D49">
              <w:rPr>
                <w:rFonts w:asciiTheme="minorHAnsi" w:hAnsiTheme="minorHAnsi"/>
                <w:color w:val="0D0D0D" w:themeColor="text1" w:themeTint="F2"/>
                <w:sz w:val="16"/>
                <w:szCs w:val="16"/>
              </w:rPr>
              <w:t>Prepare an ESIA or site-specific ESMP (depending on the categorization and the requirements of the local permitting process) and follow guidance on disclosure and consultations. In the ESIA or site-specific ESMP, include sections related to all applicable ESSs.</w:t>
            </w:r>
          </w:p>
        </w:tc>
        <w:tc>
          <w:tcPr>
            <w:tcW w:w="2126" w:type="dxa"/>
          </w:tcPr>
          <w:p w14:paraId="6A1D9B32" w14:textId="1FFDA615" w:rsidR="00AD24E9" w:rsidRPr="00ED4D49" w:rsidRDefault="00AD24E9" w:rsidP="00AD24E9">
            <w:pPr>
              <w:pStyle w:val="ListParagraph"/>
              <w:widowControl w:val="0"/>
              <w:autoSpaceDE w:val="0"/>
              <w:autoSpaceDN w:val="0"/>
              <w:adjustRightInd w:val="0"/>
              <w:spacing w:before="0" w:afterLines="60" w:after="144" w:line="240" w:lineRule="auto"/>
              <w:ind w:left="0"/>
              <w:contextualSpacing w:val="0"/>
              <w:rPr>
                <w:rFonts w:asciiTheme="minorHAnsi" w:hAnsiTheme="minorHAnsi"/>
                <w:color w:val="0D0D0D" w:themeColor="text1" w:themeTint="F2"/>
                <w:sz w:val="16"/>
                <w:szCs w:val="16"/>
              </w:rPr>
            </w:pPr>
            <w:r w:rsidRPr="00ED4D49">
              <w:rPr>
                <w:rFonts w:asciiTheme="minorHAnsi" w:hAnsiTheme="minorHAnsi"/>
                <w:color w:val="0D0D0D" w:themeColor="text1" w:themeTint="F2"/>
                <w:sz w:val="16"/>
                <w:szCs w:val="16"/>
              </w:rPr>
              <w:t xml:space="preserve">WB requirements on E&amp;S impacts mitigation and monitoring included in the tender dossier. </w:t>
            </w:r>
          </w:p>
        </w:tc>
      </w:tr>
      <w:tr w:rsidR="00AD24E9" w:rsidRPr="00ED4D49" w14:paraId="30EFBCC4" w14:textId="77777777" w:rsidTr="00160717">
        <w:tc>
          <w:tcPr>
            <w:tcW w:w="2484" w:type="dxa"/>
          </w:tcPr>
          <w:p w14:paraId="1F7F679A" w14:textId="4CE7350A" w:rsidR="00AD24E9" w:rsidRPr="00ED4D49" w:rsidRDefault="0093357A" w:rsidP="00ED4D49">
            <w:pPr>
              <w:widowControl w:val="0"/>
              <w:autoSpaceDE w:val="0"/>
              <w:autoSpaceDN w:val="0"/>
              <w:adjustRightInd w:val="0"/>
              <w:spacing w:before="0" w:afterLines="60" w:after="144" w:line="240" w:lineRule="auto"/>
              <w:ind w:left="250"/>
              <w:rPr>
                <w:bCs/>
                <w:sz w:val="16"/>
                <w:szCs w:val="16"/>
              </w:rPr>
            </w:pPr>
            <w:r w:rsidRPr="00ED4D49">
              <w:rPr>
                <w:b/>
                <w:sz w:val="16"/>
                <w:szCs w:val="16"/>
              </w:rPr>
              <w:t xml:space="preserve">1b.) </w:t>
            </w:r>
            <w:r w:rsidR="00AD24E9" w:rsidRPr="00ED4D49">
              <w:rPr>
                <w:bCs/>
                <w:sz w:val="16"/>
                <w:szCs w:val="16"/>
              </w:rPr>
              <w:t>Solid waste management and protection of air, water and soil of the Sava Corridor in the Brčko District, and cross-border cooperation through tourism promotion (cycling and pathway on the Sava River)</w:t>
            </w:r>
          </w:p>
        </w:tc>
        <w:tc>
          <w:tcPr>
            <w:tcW w:w="4457" w:type="dxa"/>
          </w:tcPr>
          <w:p w14:paraId="75B631AB" w14:textId="76B3DC2E" w:rsidR="00AD24E9" w:rsidRPr="00ED4D49" w:rsidRDefault="00AD24E9" w:rsidP="00AD24E9">
            <w:pPr>
              <w:pStyle w:val="ListParagraph"/>
              <w:widowControl w:val="0"/>
              <w:autoSpaceDE w:val="0"/>
              <w:autoSpaceDN w:val="0"/>
              <w:adjustRightInd w:val="0"/>
              <w:spacing w:before="0" w:afterLines="60" w:after="144" w:line="240" w:lineRule="auto"/>
              <w:ind w:left="0"/>
              <w:rPr>
                <w:rFonts w:asciiTheme="minorHAnsi" w:hAnsiTheme="minorHAnsi"/>
                <w:color w:val="0D0D0D" w:themeColor="text1" w:themeTint="F2"/>
                <w:sz w:val="16"/>
                <w:szCs w:val="16"/>
              </w:rPr>
            </w:pPr>
            <w:r w:rsidRPr="00ED4D49">
              <w:rPr>
                <w:rFonts w:asciiTheme="minorHAnsi" w:hAnsiTheme="minorHAnsi"/>
                <w:color w:val="0D0D0D" w:themeColor="text1" w:themeTint="F2"/>
                <w:sz w:val="16"/>
                <w:szCs w:val="16"/>
              </w:rPr>
              <w:t>Assess impacts against the generic ESMP given in this ESMF and follow guidance on disclosure and consultations.</w:t>
            </w:r>
          </w:p>
        </w:tc>
        <w:tc>
          <w:tcPr>
            <w:tcW w:w="2126" w:type="dxa"/>
          </w:tcPr>
          <w:p w14:paraId="699C6C32" w14:textId="6D12D34F" w:rsidR="00AD24E9" w:rsidRPr="00ED4D49" w:rsidRDefault="00AD24E9" w:rsidP="00AD24E9">
            <w:pPr>
              <w:pStyle w:val="ListParagraph"/>
              <w:widowControl w:val="0"/>
              <w:autoSpaceDE w:val="0"/>
              <w:autoSpaceDN w:val="0"/>
              <w:adjustRightInd w:val="0"/>
              <w:spacing w:before="0" w:afterLines="60" w:after="144" w:line="240" w:lineRule="auto"/>
              <w:ind w:left="0"/>
              <w:contextualSpacing w:val="0"/>
              <w:rPr>
                <w:rFonts w:asciiTheme="minorHAnsi" w:hAnsiTheme="minorHAnsi"/>
                <w:color w:val="0D0D0D" w:themeColor="text1" w:themeTint="F2"/>
                <w:sz w:val="16"/>
                <w:szCs w:val="16"/>
              </w:rPr>
            </w:pPr>
            <w:r w:rsidRPr="00ED4D49">
              <w:rPr>
                <w:rFonts w:asciiTheme="minorHAnsi" w:hAnsiTheme="minorHAnsi"/>
                <w:color w:val="0D0D0D" w:themeColor="text1" w:themeTint="F2"/>
                <w:sz w:val="16"/>
                <w:szCs w:val="16"/>
              </w:rPr>
              <w:t>WB requirements on E&amp;S impacts mitigation and monitoring included in the tender dossier.</w:t>
            </w:r>
          </w:p>
        </w:tc>
      </w:tr>
      <w:tr w:rsidR="004E6A8F" w:rsidRPr="00ED4D49" w14:paraId="52DE20FA" w14:textId="77777777" w:rsidTr="00160717">
        <w:tc>
          <w:tcPr>
            <w:tcW w:w="2484" w:type="dxa"/>
          </w:tcPr>
          <w:p w14:paraId="3BE76CA6" w14:textId="67CA47F8" w:rsidR="004E6A8F" w:rsidRPr="00ED4D49" w:rsidRDefault="0093357A" w:rsidP="00ED4D49">
            <w:pPr>
              <w:widowControl w:val="0"/>
              <w:autoSpaceDE w:val="0"/>
              <w:autoSpaceDN w:val="0"/>
              <w:adjustRightInd w:val="0"/>
              <w:spacing w:before="0" w:afterLines="60" w:after="144" w:line="240" w:lineRule="auto"/>
              <w:ind w:left="250"/>
              <w:rPr>
                <w:bCs/>
                <w:sz w:val="16"/>
                <w:szCs w:val="16"/>
                <w:lang w:val="en-US"/>
              </w:rPr>
            </w:pPr>
            <w:r w:rsidRPr="00ED4D49">
              <w:rPr>
                <w:b/>
                <w:sz w:val="16"/>
                <w:szCs w:val="16"/>
              </w:rPr>
              <w:t xml:space="preserve">1c.) </w:t>
            </w:r>
            <w:r w:rsidR="004E6A8F" w:rsidRPr="00ED4D49">
              <w:rPr>
                <w:bCs/>
                <w:sz w:val="16"/>
                <w:szCs w:val="16"/>
                <w:lang w:val="en-US"/>
              </w:rPr>
              <w:t xml:space="preserve">Rehabilitation of </w:t>
            </w:r>
            <w:proofErr w:type="spellStart"/>
            <w:r w:rsidR="004E6A8F" w:rsidRPr="00ED4D49">
              <w:rPr>
                <w:bCs/>
                <w:sz w:val="16"/>
                <w:szCs w:val="16"/>
                <w:lang w:val="en-US"/>
              </w:rPr>
              <w:t>Modrac</w:t>
            </w:r>
            <w:proofErr w:type="spellEnd"/>
            <w:r w:rsidR="004E6A8F" w:rsidRPr="00ED4D49">
              <w:rPr>
                <w:bCs/>
                <w:sz w:val="16"/>
                <w:szCs w:val="16"/>
                <w:lang w:val="en-US"/>
              </w:rPr>
              <w:t xml:space="preserve"> lake dam – IV phase</w:t>
            </w:r>
          </w:p>
        </w:tc>
        <w:tc>
          <w:tcPr>
            <w:tcW w:w="4457" w:type="dxa"/>
          </w:tcPr>
          <w:p w14:paraId="383FE5A9" w14:textId="2CA5FBAA" w:rsidR="004E6A8F" w:rsidRPr="00ED4D49" w:rsidRDefault="004E6A8F" w:rsidP="004E6A8F">
            <w:pPr>
              <w:pStyle w:val="ListParagraph"/>
              <w:widowControl w:val="0"/>
              <w:autoSpaceDE w:val="0"/>
              <w:autoSpaceDN w:val="0"/>
              <w:adjustRightInd w:val="0"/>
              <w:spacing w:before="0" w:afterLines="60" w:after="144" w:line="240" w:lineRule="auto"/>
              <w:ind w:left="0"/>
              <w:rPr>
                <w:rFonts w:asciiTheme="minorHAnsi" w:hAnsiTheme="minorHAnsi"/>
                <w:color w:val="0D0D0D" w:themeColor="text1" w:themeTint="F2"/>
                <w:sz w:val="16"/>
                <w:szCs w:val="16"/>
              </w:rPr>
            </w:pPr>
            <w:r w:rsidRPr="00ED4D49">
              <w:rPr>
                <w:rFonts w:asciiTheme="minorHAnsi" w:hAnsiTheme="minorHAnsi"/>
                <w:color w:val="0D0D0D" w:themeColor="text1" w:themeTint="F2"/>
                <w:sz w:val="16"/>
                <w:szCs w:val="16"/>
              </w:rPr>
              <w:t>Develop site-specific ESMP and follow guidance on disclosure and consultations. In the site-specific ESMP, include sections related to ESS4.</w:t>
            </w:r>
          </w:p>
        </w:tc>
        <w:tc>
          <w:tcPr>
            <w:tcW w:w="2126" w:type="dxa"/>
          </w:tcPr>
          <w:p w14:paraId="065A5792" w14:textId="76B47602" w:rsidR="004E6A8F" w:rsidRPr="00ED4D49" w:rsidRDefault="004E6A8F" w:rsidP="004E6A8F">
            <w:pPr>
              <w:pStyle w:val="ListParagraph"/>
              <w:widowControl w:val="0"/>
              <w:autoSpaceDE w:val="0"/>
              <w:autoSpaceDN w:val="0"/>
              <w:adjustRightInd w:val="0"/>
              <w:spacing w:before="0" w:afterLines="60" w:after="144" w:line="240" w:lineRule="auto"/>
              <w:ind w:left="0"/>
              <w:contextualSpacing w:val="0"/>
              <w:rPr>
                <w:rFonts w:asciiTheme="minorHAnsi" w:hAnsiTheme="minorHAnsi"/>
                <w:color w:val="0D0D0D" w:themeColor="text1" w:themeTint="F2"/>
                <w:sz w:val="16"/>
                <w:szCs w:val="16"/>
              </w:rPr>
            </w:pPr>
            <w:r w:rsidRPr="00ED4D49">
              <w:rPr>
                <w:rFonts w:asciiTheme="minorHAnsi" w:hAnsiTheme="minorHAnsi"/>
                <w:color w:val="0D0D0D" w:themeColor="text1" w:themeTint="F2"/>
                <w:sz w:val="16"/>
                <w:szCs w:val="16"/>
              </w:rPr>
              <w:t xml:space="preserve">The works will be carried out in line with ESS4 and the provisions on dam safety </w:t>
            </w:r>
            <w:proofErr w:type="gramStart"/>
            <w:r w:rsidRPr="00ED4D49">
              <w:rPr>
                <w:rFonts w:asciiTheme="minorHAnsi" w:hAnsiTheme="minorHAnsi"/>
                <w:color w:val="0D0D0D" w:themeColor="text1" w:themeTint="F2"/>
                <w:sz w:val="16"/>
                <w:szCs w:val="16"/>
              </w:rPr>
              <w:t>there</w:t>
            </w:r>
            <w:proofErr w:type="gramEnd"/>
            <w:r w:rsidRPr="00ED4D49">
              <w:rPr>
                <w:rFonts w:asciiTheme="minorHAnsi" w:hAnsiTheme="minorHAnsi"/>
                <w:color w:val="0D0D0D" w:themeColor="text1" w:themeTint="F2"/>
                <w:sz w:val="16"/>
                <w:szCs w:val="16"/>
              </w:rPr>
              <w:t xml:space="preserve"> in.</w:t>
            </w:r>
          </w:p>
        </w:tc>
      </w:tr>
      <w:tr w:rsidR="004E6A8F" w:rsidRPr="00ED4D49" w14:paraId="59684BE6" w14:textId="77777777" w:rsidTr="00160717">
        <w:tc>
          <w:tcPr>
            <w:tcW w:w="2484" w:type="dxa"/>
          </w:tcPr>
          <w:p w14:paraId="3DB41D90" w14:textId="38EAA0D0" w:rsidR="004E6A8F" w:rsidRPr="00ED4D49" w:rsidRDefault="0093357A" w:rsidP="00ED4D49">
            <w:pPr>
              <w:widowControl w:val="0"/>
              <w:autoSpaceDE w:val="0"/>
              <w:autoSpaceDN w:val="0"/>
              <w:adjustRightInd w:val="0"/>
              <w:spacing w:before="0" w:afterLines="60" w:after="144" w:line="240" w:lineRule="auto"/>
              <w:ind w:left="250"/>
              <w:rPr>
                <w:rFonts w:asciiTheme="minorHAnsi" w:hAnsiTheme="minorHAnsi"/>
                <w:color w:val="0D0D0D" w:themeColor="text1" w:themeTint="F2"/>
                <w:sz w:val="16"/>
                <w:szCs w:val="16"/>
                <w:lang w:val="en-US"/>
              </w:rPr>
            </w:pPr>
            <w:r w:rsidRPr="00ED4D49">
              <w:rPr>
                <w:b/>
                <w:sz w:val="16"/>
                <w:szCs w:val="16"/>
              </w:rPr>
              <w:t xml:space="preserve">1d.) </w:t>
            </w:r>
            <w:r w:rsidR="004E6A8F" w:rsidRPr="00ED4D49">
              <w:rPr>
                <w:bCs/>
                <w:sz w:val="16"/>
                <w:szCs w:val="16"/>
                <w:lang w:val="en-US"/>
              </w:rPr>
              <w:t>Nursery production, reforestation, arboretum establishment</w:t>
            </w:r>
          </w:p>
        </w:tc>
        <w:tc>
          <w:tcPr>
            <w:tcW w:w="4457" w:type="dxa"/>
          </w:tcPr>
          <w:p w14:paraId="41DEF581" w14:textId="0CC789A6" w:rsidR="004E6A8F" w:rsidRPr="00ED4D49" w:rsidRDefault="004E6A8F" w:rsidP="004E6A8F">
            <w:pPr>
              <w:pStyle w:val="ListParagraph"/>
              <w:widowControl w:val="0"/>
              <w:autoSpaceDE w:val="0"/>
              <w:autoSpaceDN w:val="0"/>
              <w:adjustRightInd w:val="0"/>
              <w:spacing w:before="0" w:afterLines="60" w:after="144" w:line="240" w:lineRule="auto"/>
              <w:ind w:left="0"/>
              <w:rPr>
                <w:rFonts w:asciiTheme="minorHAnsi" w:hAnsiTheme="minorHAnsi"/>
                <w:color w:val="0D0D0D" w:themeColor="text1" w:themeTint="F2"/>
                <w:sz w:val="16"/>
                <w:szCs w:val="16"/>
              </w:rPr>
            </w:pPr>
            <w:r w:rsidRPr="00ED4D49">
              <w:rPr>
                <w:rFonts w:asciiTheme="minorHAnsi" w:hAnsiTheme="minorHAnsi"/>
                <w:color w:val="0D0D0D" w:themeColor="text1" w:themeTint="F2"/>
                <w:sz w:val="16"/>
                <w:szCs w:val="16"/>
              </w:rPr>
              <w:t>Assess impacts against the generic ESMP given in this ESMF and follow guidance on disclosure and consultations.</w:t>
            </w:r>
          </w:p>
        </w:tc>
        <w:tc>
          <w:tcPr>
            <w:tcW w:w="2126" w:type="dxa"/>
          </w:tcPr>
          <w:p w14:paraId="217D27B0" w14:textId="4B1C68C1" w:rsidR="004E6A8F" w:rsidRPr="00ED4D49" w:rsidRDefault="004E6A8F" w:rsidP="004E6A8F">
            <w:pPr>
              <w:pStyle w:val="ListParagraph"/>
              <w:widowControl w:val="0"/>
              <w:autoSpaceDE w:val="0"/>
              <w:autoSpaceDN w:val="0"/>
              <w:adjustRightInd w:val="0"/>
              <w:spacing w:before="0" w:afterLines="60" w:after="144" w:line="240" w:lineRule="auto"/>
              <w:ind w:left="0"/>
              <w:contextualSpacing w:val="0"/>
              <w:rPr>
                <w:rFonts w:asciiTheme="minorHAnsi" w:hAnsiTheme="minorHAnsi"/>
                <w:color w:val="0D0D0D" w:themeColor="text1" w:themeTint="F2"/>
                <w:sz w:val="16"/>
                <w:szCs w:val="16"/>
              </w:rPr>
            </w:pPr>
            <w:r w:rsidRPr="00ED4D49">
              <w:rPr>
                <w:rFonts w:asciiTheme="minorHAnsi" w:hAnsiTheme="minorHAnsi"/>
                <w:color w:val="0D0D0D" w:themeColor="text1" w:themeTint="F2"/>
                <w:sz w:val="16"/>
                <w:szCs w:val="16"/>
              </w:rPr>
              <w:t>WB requirements on E&amp;S impacts mitigation and monitoring included in the tender dossier.</w:t>
            </w:r>
          </w:p>
        </w:tc>
      </w:tr>
      <w:tr w:rsidR="004E6A8F" w:rsidRPr="00ED4D49" w14:paraId="50C59855" w14:textId="77777777" w:rsidTr="00160717">
        <w:tc>
          <w:tcPr>
            <w:tcW w:w="2484" w:type="dxa"/>
          </w:tcPr>
          <w:p w14:paraId="2AE357A8" w14:textId="270EC3F3" w:rsidR="004E6A8F" w:rsidRPr="00ED4D49" w:rsidRDefault="0093357A" w:rsidP="004E6A8F">
            <w:pPr>
              <w:widowControl w:val="0"/>
              <w:autoSpaceDE w:val="0"/>
              <w:autoSpaceDN w:val="0"/>
              <w:adjustRightInd w:val="0"/>
              <w:spacing w:before="0" w:afterLines="60" w:after="144" w:line="240" w:lineRule="auto"/>
              <w:rPr>
                <w:rFonts w:asciiTheme="minorHAnsi" w:hAnsiTheme="minorHAnsi"/>
                <w:color w:val="0D0D0D" w:themeColor="text1" w:themeTint="F2"/>
                <w:sz w:val="16"/>
                <w:szCs w:val="16"/>
                <w:lang w:val="en-US"/>
              </w:rPr>
            </w:pPr>
            <w:r w:rsidRPr="00ED4D49">
              <w:rPr>
                <w:b/>
                <w:sz w:val="16"/>
                <w:szCs w:val="16"/>
                <w:lang w:val="en-US"/>
              </w:rPr>
              <w:t xml:space="preserve">2.) </w:t>
            </w:r>
            <w:r w:rsidR="004E6A8F" w:rsidRPr="00ED4D49">
              <w:rPr>
                <w:bCs/>
                <w:sz w:val="16"/>
                <w:szCs w:val="16"/>
                <w:lang w:val="en-US"/>
              </w:rPr>
              <w:t>Demining activities along the Sava Right bank within BiH</w:t>
            </w:r>
          </w:p>
        </w:tc>
        <w:tc>
          <w:tcPr>
            <w:tcW w:w="4457" w:type="dxa"/>
          </w:tcPr>
          <w:p w14:paraId="6EA6A04B" w14:textId="18A5C960" w:rsidR="004E6A8F" w:rsidRPr="00ED4D49" w:rsidRDefault="004E6A8F" w:rsidP="004E6A8F">
            <w:pPr>
              <w:pStyle w:val="ListParagraph"/>
              <w:widowControl w:val="0"/>
              <w:autoSpaceDE w:val="0"/>
              <w:autoSpaceDN w:val="0"/>
              <w:adjustRightInd w:val="0"/>
              <w:spacing w:before="0" w:afterLines="60" w:after="144" w:line="240" w:lineRule="auto"/>
              <w:ind w:left="0"/>
              <w:rPr>
                <w:rFonts w:asciiTheme="minorHAnsi" w:hAnsiTheme="minorHAnsi"/>
                <w:color w:val="0D0D0D" w:themeColor="text1" w:themeTint="F2"/>
                <w:sz w:val="16"/>
                <w:szCs w:val="16"/>
              </w:rPr>
            </w:pPr>
            <w:r w:rsidRPr="00ED4D49">
              <w:rPr>
                <w:rFonts w:asciiTheme="minorHAnsi" w:hAnsiTheme="minorHAnsi"/>
                <w:color w:val="0D0D0D" w:themeColor="text1" w:themeTint="F2"/>
                <w:sz w:val="16"/>
                <w:szCs w:val="16"/>
              </w:rPr>
              <w:t>Develop site-specific ESMP and follow guidance on disclosure and consultations. In the site-specific ESMP, include sections related to all applicable ESSs.</w:t>
            </w:r>
          </w:p>
        </w:tc>
        <w:tc>
          <w:tcPr>
            <w:tcW w:w="2126" w:type="dxa"/>
          </w:tcPr>
          <w:p w14:paraId="09605C67" w14:textId="2B2B2338" w:rsidR="004E6A8F" w:rsidRPr="00ED4D49" w:rsidRDefault="004E6A8F" w:rsidP="004E6A8F">
            <w:pPr>
              <w:pStyle w:val="ListParagraph"/>
              <w:widowControl w:val="0"/>
              <w:autoSpaceDE w:val="0"/>
              <w:autoSpaceDN w:val="0"/>
              <w:adjustRightInd w:val="0"/>
              <w:spacing w:before="0" w:afterLines="60" w:after="144" w:line="240" w:lineRule="auto"/>
              <w:ind w:left="0"/>
              <w:contextualSpacing w:val="0"/>
              <w:rPr>
                <w:rFonts w:asciiTheme="minorHAnsi" w:hAnsiTheme="minorHAnsi"/>
                <w:color w:val="0D0D0D" w:themeColor="text1" w:themeTint="F2"/>
                <w:sz w:val="16"/>
                <w:szCs w:val="16"/>
              </w:rPr>
            </w:pPr>
            <w:r w:rsidRPr="00ED4D49">
              <w:rPr>
                <w:rFonts w:asciiTheme="minorHAnsi" w:hAnsiTheme="minorHAnsi"/>
                <w:color w:val="0D0D0D" w:themeColor="text1" w:themeTint="F2"/>
                <w:sz w:val="16"/>
                <w:szCs w:val="16"/>
              </w:rPr>
              <w:t xml:space="preserve">WB requirements on E&amp;S impacts mitigation and monitoring included in the tender dossier. </w:t>
            </w:r>
          </w:p>
        </w:tc>
      </w:tr>
      <w:tr w:rsidR="004E6A8F" w:rsidRPr="00ED4D49" w14:paraId="7582B4AB" w14:textId="77777777" w:rsidTr="00160717">
        <w:tc>
          <w:tcPr>
            <w:tcW w:w="2484" w:type="dxa"/>
          </w:tcPr>
          <w:p w14:paraId="09A2E85C" w14:textId="5E5E4B2F" w:rsidR="004E6A8F" w:rsidRPr="00ED4D49" w:rsidRDefault="0093357A" w:rsidP="004E6A8F">
            <w:pPr>
              <w:widowControl w:val="0"/>
              <w:autoSpaceDE w:val="0"/>
              <w:autoSpaceDN w:val="0"/>
              <w:adjustRightInd w:val="0"/>
              <w:spacing w:before="0" w:afterLines="60" w:after="144" w:line="240" w:lineRule="auto"/>
              <w:rPr>
                <w:bCs/>
                <w:sz w:val="16"/>
                <w:szCs w:val="16"/>
                <w:lang w:val="en-US"/>
              </w:rPr>
            </w:pPr>
            <w:r w:rsidRPr="00ED4D49">
              <w:rPr>
                <w:b/>
                <w:sz w:val="16"/>
                <w:szCs w:val="16"/>
                <w:lang w:val="en-US"/>
              </w:rPr>
              <w:t xml:space="preserve">3.) </w:t>
            </w:r>
            <w:r w:rsidR="004E6A8F" w:rsidRPr="00ED4D49">
              <w:rPr>
                <w:bCs/>
                <w:sz w:val="16"/>
                <w:szCs w:val="16"/>
                <w:lang w:val="en-US"/>
              </w:rPr>
              <w:t xml:space="preserve">Development of regional studies for </w:t>
            </w:r>
            <w:proofErr w:type="gramStart"/>
            <w:r w:rsidR="004E6A8F" w:rsidRPr="00ED4D49">
              <w:rPr>
                <w:bCs/>
                <w:sz w:val="16"/>
                <w:szCs w:val="16"/>
                <w:lang w:val="en-US"/>
              </w:rPr>
              <w:t>Sava river</w:t>
            </w:r>
            <w:proofErr w:type="gramEnd"/>
            <w:r w:rsidR="004E6A8F" w:rsidRPr="00ED4D49">
              <w:rPr>
                <w:bCs/>
                <w:sz w:val="16"/>
                <w:szCs w:val="16"/>
                <w:lang w:val="en-US"/>
              </w:rPr>
              <w:t xml:space="preserve"> basin</w:t>
            </w:r>
          </w:p>
        </w:tc>
        <w:tc>
          <w:tcPr>
            <w:tcW w:w="4457" w:type="dxa"/>
          </w:tcPr>
          <w:p w14:paraId="49B8B65C" w14:textId="7E919741" w:rsidR="004E6A8F" w:rsidRPr="00ED4D49" w:rsidRDefault="004E6A8F" w:rsidP="004E6A8F">
            <w:pPr>
              <w:pStyle w:val="ListParagraph"/>
              <w:widowControl w:val="0"/>
              <w:autoSpaceDE w:val="0"/>
              <w:autoSpaceDN w:val="0"/>
              <w:adjustRightInd w:val="0"/>
              <w:spacing w:before="0" w:afterLines="60" w:after="144" w:line="240" w:lineRule="auto"/>
              <w:ind w:left="0"/>
              <w:rPr>
                <w:rFonts w:asciiTheme="minorHAnsi" w:hAnsiTheme="minorHAnsi"/>
                <w:color w:val="0D0D0D" w:themeColor="text1" w:themeTint="F2"/>
                <w:sz w:val="16"/>
                <w:szCs w:val="16"/>
              </w:rPr>
            </w:pPr>
            <w:r w:rsidRPr="00ED4D49">
              <w:rPr>
                <w:rFonts w:asciiTheme="minorHAnsi" w:hAnsiTheme="minorHAnsi"/>
                <w:color w:val="0D0D0D" w:themeColor="text1" w:themeTint="F2"/>
                <w:sz w:val="16"/>
                <w:szCs w:val="16"/>
              </w:rPr>
              <w:t>Prepare Strategic Environmental and Social Assessment (SESA) for each study considering the full range of environmental and social risks and impacts incorporated in ESS1 through 10.</w:t>
            </w:r>
          </w:p>
        </w:tc>
        <w:tc>
          <w:tcPr>
            <w:tcW w:w="2126" w:type="dxa"/>
          </w:tcPr>
          <w:p w14:paraId="4E38D651" w14:textId="4D14FD84" w:rsidR="004E6A8F" w:rsidRPr="00ED4D49" w:rsidRDefault="004E6A8F" w:rsidP="004E6A8F">
            <w:pPr>
              <w:pStyle w:val="ListParagraph"/>
              <w:widowControl w:val="0"/>
              <w:autoSpaceDE w:val="0"/>
              <w:autoSpaceDN w:val="0"/>
              <w:adjustRightInd w:val="0"/>
              <w:spacing w:before="0" w:afterLines="60" w:after="144" w:line="240" w:lineRule="auto"/>
              <w:ind w:left="0"/>
              <w:contextualSpacing w:val="0"/>
              <w:rPr>
                <w:rFonts w:asciiTheme="minorHAnsi" w:hAnsiTheme="minorHAnsi"/>
                <w:color w:val="0D0D0D" w:themeColor="text1" w:themeTint="F2"/>
                <w:sz w:val="16"/>
                <w:szCs w:val="16"/>
              </w:rPr>
            </w:pPr>
            <w:r w:rsidRPr="00ED4D49">
              <w:rPr>
                <w:rFonts w:asciiTheme="minorHAnsi" w:hAnsiTheme="minorHAnsi"/>
                <w:color w:val="0D0D0D" w:themeColor="text1" w:themeTint="F2"/>
                <w:sz w:val="16"/>
                <w:szCs w:val="16"/>
              </w:rPr>
              <w:t>Improved regional studies based on the conclusions from SESA.</w:t>
            </w:r>
          </w:p>
        </w:tc>
      </w:tr>
    </w:tbl>
    <w:p w14:paraId="2E3B968F" w14:textId="76EF8357" w:rsidR="00A422DD" w:rsidRPr="00ED4D49" w:rsidRDefault="00A422DD" w:rsidP="00A422DD">
      <w:pPr>
        <w:jc w:val="both"/>
        <w:rPr>
          <w:b/>
          <w:lang w:val="en-US" w:eastAsia="x-none"/>
        </w:rPr>
      </w:pPr>
      <w:r w:rsidRPr="00ED4D49">
        <w:rPr>
          <w:b/>
          <w:lang w:val="en-US" w:eastAsia="x-none"/>
        </w:rPr>
        <w:t xml:space="preserve">Step 2. Carry out </w:t>
      </w:r>
      <w:r w:rsidR="00022FFD" w:rsidRPr="00ED4D49">
        <w:rPr>
          <w:b/>
          <w:lang w:val="en-US" w:eastAsia="x-none"/>
        </w:rPr>
        <w:t xml:space="preserve">an </w:t>
      </w:r>
      <w:r w:rsidRPr="00ED4D49">
        <w:rPr>
          <w:b/>
          <w:lang w:val="en-US" w:eastAsia="x-none"/>
        </w:rPr>
        <w:t>environmental assessment in line with FBiH, RS or BD requirements</w:t>
      </w:r>
    </w:p>
    <w:tbl>
      <w:tblPr>
        <w:tblStyle w:val="TableGridLight"/>
        <w:tblW w:w="9067" w:type="dxa"/>
        <w:tblLook w:val="04A0" w:firstRow="1" w:lastRow="0" w:firstColumn="1" w:lastColumn="0" w:noHBand="0" w:noVBand="1"/>
      </w:tblPr>
      <w:tblGrid>
        <w:gridCol w:w="2484"/>
        <w:gridCol w:w="4457"/>
        <w:gridCol w:w="2126"/>
      </w:tblGrid>
      <w:tr w:rsidR="00A422DD" w:rsidRPr="00ED4D49" w14:paraId="6C8FB9C5" w14:textId="77777777" w:rsidTr="00160717">
        <w:trPr>
          <w:tblHeader/>
        </w:trPr>
        <w:tc>
          <w:tcPr>
            <w:tcW w:w="2484" w:type="dxa"/>
          </w:tcPr>
          <w:p w14:paraId="20655CF1" w14:textId="77777777" w:rsidR="00A422DD" w:rsidRPr="00ED4D49" w:rsidRDefault="00A422DD" w:rsidP="00160717">
            <w:pPr>
              <w:spacing w:beforeLines="60" w:before="144" w:afterLines="60" w:after="144" w:line="240" w:lineRule="auto"/>
              <w:ind w:right="144"/>
              <w:rPr>
                <w:rFonts w:cs="Calibri"/>
                <w:color w:val="336699"/>
                <w:sz w:val="16"/>
                <w:szCs w:val="16"/>
                <w:lang w:val="en-US"/>
              </w:rPr>
            </w:pPr>
            <w:r w:rsidRPr="00ED4D49">
              <w:rPr>
                <w:rFonts w:cs="Calibri"/>
                <w:color w:val="336699"/>
                <w:sz w:val="16"/>
                <w:szCs w:val="16"/>
                <w:lang w:val="en-US"/>
              </w:rPr>
              <w:t>Type of activities</w:t>
            </w:r>
          </w:p>
        </w:tc>
        <w:tc>
          <w:tcPr>
            <w:tcW w:w="4457" w:type="dxa"/>
          </w:tcPr>
          <w:p w14:paraId="6BAB4305" w14:textId="77777777" w:rsidR="00A422DD" w:rsidRPr="00ED4D49" w:rsidRDefault="00A422DD" w:rsidP="00160717">
            <w:pPr>
              <w:spacing w:beforeLines="60" w:before="144" w:afterLines="60" w:after="144" w:line="240" w:lineRule="auto"/>
              <w:ind w:right="144"/>
              <w:rPr>
                <w:rFonts w:cs="Calibri"/>
                <w:color w:val="336699"/>
                <w:sz w:val="16"/>
                <w:szCs w:val="16"/>
                <w:lang w:val="en-US"/>
              </w:rPr>
            </w:pPr>
            <w:r w:rsidRPr="00ED4D49">
              <w:rPr>
                <w:rFonts w:cs="Calibri"/>
                <w:color w:val="336699"/>
                <w:sz w:val="16"/>
                <w:szCs w:val="16"/>
                <w:lang w:val="en-US"/>
              </w:rPr>
              <w:t>Action to be taken</w:t>
            </w:r>
          </w:p>
        </w:tc>
        <w:tc>
          <w:tcPr>
            <w:tcW w:w="2126" w:type="dxa"/>
          </w:tcPr>
          <w:p w14:paraId="2436FCDF" w14:textId="77777777" w:rsidR="00A422DD" w:rsidRPr="00ED4D49" w:rsidRDefault="00A422DD" w:rsidP="00160717">
            <w:pPr>
              <w:spacing w:beforeLines="60" w:before="144" w:afterLines="60" w:after="144" w:line="240" w:lineRule="auto"/>
              <w:ind w:right="144"/>
              <w:rPr>
                <w:rFonts w:cs="Calibri"/>
                <w:color w:val="336699"/>
                <w:sz w:val="16"/>
                <w:szCs w:val="16"/>
                <w:lang w:val="en-US"/>
              </w:rPr>
            </w:pPr>
            <w:r w:rsidRPr="00ED4D49">
              <w:rPr>
                <w:rFonts w:cs="Calibri"/>
                <w:color w:val="336699"/>
                <w:sz w:val="16"/>
                <w:szCs w:val="16"/>
                <w:lang w:val="en-US"/>
              </w:rPr>
              <w:t>Result of the action</w:t>
            </w:r>
          </w:p>
        </w:tc>
      </w:tr>
      <w:tr w:rsidR="00A422DD" w:rsidRPr="00ED4D49" w14:paraId="5223D201" w14:textId="77777777" w:rsidTr="00160717">
        <w:tc>
          <w:tcPr>
            <w:tcW w:w="2484" w:type="dxa"/>
          </w:tcPr>
          <w:p w14:paraId="2CE4168B" w14:textId="77777777" w:rsidR="00A422DD" w:rsidRPr="00ED4D49" w:rsidRDefault="00A422DD" w:rsidP="00022FFD">
            <w:pPr>
              <w:widowControl w:val="0"/>
              <w:autoSpaceDE w:val="0"/>
              <w:autoSpaceDN w:val="0"/>
              <w:adjustRightInd w:val="0"/>
              <w:spacing w:before="0" w:afterLines="60" w:after="144" w:line="240" w:lineRule="auto"/>
              <w:rPr>
                <w:rFonts w:asciiTheme="minorHAnsi" w:hAnsiTheme="minorHAnsi"/>
                <w:color w:val="0D0D0D" w:themeColor="text1" w:themeTint="F2"/>
                <w:sz w:val="16"/>
                <w:szCs w:val="16"/>
                <w:lang w:val="en-US"/>
              </w:rPr>
            </w:pPr>
            <w:r w:rsidRPr="00ED4D49">
              <w:rPr>
                <w:rFonts w:asciiTheme="minorHAnsi" w:hAnsiTheme="minorHAnsi"/>
                <w:color w:val="0D0D0D" w:themeColor="text1" w:themeTint="F2"/>
                <w:sz w:val="16"/>
                <w:szCs w:val="16"/>
                <w:lang w:val="en-US"/>
              </w:rPr>
              <w:t>Flood protection structures</w:t>
            </w:r>
          </w:p>
        </w:tc>
        <w:tc>
          <w:tcPr>
            <w:tcW w:w="4457" w:type="dxa"/>
          </w:tcPr>
          <w:p w14:paraId="454197F4" w14:textId="1112F8B2" w:rsidR="00A422DD" w:rsidRPr="00ED4D49" w:rsidRDefault="00A422DD" w:rsidP="00022FFD">
            <w:pPr>
              <w:pStyle w:val="ListParagraph"/>
              <w:widowControl w:val="0"/>
              <w:autoSpaceDE w:val="0"/>
              <w:autoSpaceDN w:val="0"/>
              <w:adjustRightInd w:val="0"/>
              <w:spacing w:before="0" w:afterLines="60" w:after="144" w:line="240" w:lineRule="auto"/>
              <w:ind w:left="0"/>
              <w:rPr>
                <w:rFonts w:asciiTheme="minorHAnsi" w:hAnsiTheme="minorHAnsi"/>
                <w:color w:val="0D0D0D" w:themeColor="text1" w:themeTint="F2"/>
                <w:sz w:val="16"/>
                <w:szCs w:val="16"/>
              </w:rPr>
            </w:pPr>
            <w:r w:rsidRPr="00ED4D49">
              <w:rPr>
                <w:rFonts w:asciiTheme="minorHAnsi" w:hAnsiTheme="minorHAnsi"/>
                <w:color w:val="0D0D0D" w:themeColor="text1" w:themeTint="F2"/>
                <w:sz w:val="16"/>
                <w:szCs w:val="16"/>
              </w:rPr>
              <w:t xml:space="preserve">In FBiH and </w:t>
            </w:r>
            <w:r w:rsidR="00AD24E9" w:rsidRPr="00ED4D49">
              <w:rPr>
                <w:rFonts w:asciiTheme="minorHAnsi" w:hAnsiTheme="minorHAnsi"/>
                <w:color w:val="0D0D0D" w:themeColor="text1" w:themeTint="F2"/>
                <w:sz w:val="16"/>
                <w:szCs w:val="16"/>
              </w:rPr>
              <w:t>Brčko District</w:t>
            </w:r>
            <w:r w:rsidRPr="00ED4D49">
              <w:rPr>
                <w:rFonts w:asciiTheme="minorHAnsi" w:hAnsiTheme="minorHAnsi"/>
                <w:color w:val="0D0D0D" w:themeColor="text1" w:themeTint="F2"/>
                <w:sz w:val="16"/>
                <w:szCs w:val="16"/>
              </w:rPr>
              <w:t xml:space="preserve">, prepare </w:t>
            </w:r>
            <w:r w:rsidR="00BB3655" w:rsidRPr="00ED4D49">
              <w:rPr>
                <w:rFonts w:asciiTheme="minorHAnsi" w:hAnsiTheme="minorHAnsi"/>
                <w:color w:val="0D0D0D" w:themeColor="text1" w:themeTint="F2"/>
                <w:sz w:val="16"/>
                <w:szCs w:val="16"/>
              </w:rPr>
              <w:t xml:space="preserve">a </w:t>
            </w:r>
            <w:r w:rsidRPr="00ED4D49">
              <w:rPr>
                <w:rFonts w:asciiTheme="minorHAnsi" w:hAnsiTheme="minorHAnsi"/>
                <w:color w:val="0D0D0D" w:themeColor="text1" w:themeTint="F2"/>
                <w:sz w:val="16"/>
                <w:szCs w:val="16"/>
              </w:rPr>
              <w:t xml:space="preserve">Request for environmental permit and submit it to FMET or DSPPA BD, </w:t>
            </w:r>
            <w:r w:rsidR="00BB3655" w:rsidRPr="00ED4D49">
              <w:rPr>
                <w:rFonts w:asciiTheme="minorHAnsi" w:hAnsiTheme="minorHAnsi"/>
                <w:color w:val="0D0D0D" w:themeColor="text1" w:themeTint="F2"/>
                <w:sz w:val="16"/>
                <w:szCs w:val="16"/>
              </w:rPr>
              <w:t>depending on</w:t>
            </w:r>
            <w:r w:rsidRPr="00ED4D49">
              <w:rPr>
                <w:rFonts w:asciiTheme="minorHAnsi" w:hAnsiTheme="minorHAnsi"/>
                <w:color w:val="0D0D0D" w:themeColor="text1" w:themeTint="F2"/>
                <w:sz w:val="16"/>
                <w:szCs w:val="16"/>
              </w:rPr>
              <w:t xml:space="preserve"> the project location. Based on the Request, the responsible institution will decide on the necessity to conduct </w:t>
            </w:r>
            <w:r w:rsidR="00022FFD" w:rsidRPr="00ED4D49">
              <w:rPr>
                <w:rFonts w:asciiTheme="minorHAnsi" w:hAnsiTheme="minorHAnsi"/>
                <w:color w:val="0D0D0D" w:themeColor="text1" w:themeTint="F2"/>
                <w:sz w:val="16"/>
                <w:szCs w:val="16"/>
              </w:rPr>
              <w:t xml:space="preserve">a </w:t>
            </w:r>
            <w:r w:rsidRPr="00ED4D49">
              <w:rPr>
                <w:rFonts w:asciiTheme="minorHAnsi" w:hAnsiTheme="minorHAnsi"/>
                <w:color w:val="0D0D0D" w:themeColor="text1" w:themeTint="F2"/>
                <w:sz w:val="16"/>
                <w:szCs w:val="16"/>
              </w:rPr>
              <w:t>full EIA in case of which</w:t>
            </w:r>
            <w:r w:rsidR="00022FFD" w:rsidRPr="00ED4D49">
              <w:rPr>
                <w:rFonts w:asciiTheme="minorHAnsi" w:hAnsiTheme="minorHAnsi"/>
                <w:color w:val="0D0D0D" w:themeColor="text1" w:themeTint="F2"/>
                <w:sz w:val="16"/>
                <w:szCs w:val="16"/>
              </w:rPr>
              <w:t xml:space="preserve"> an</w:t>
            </w:r>
            <w:r w:rsidRPr="00ED4D49">
              <w:rPr>
                <w:rFonts w:asciiTheme="minorHAnsi" w:hAnsiTheme="minorHAnsi"/>
                <w:color w:val="0D0D0D" w:themeColor="text1" w:themeTint="F2"/>
                <w:sz w:val="16"/>
                <w:szCs w:val="16"/>
              </w:rPr>
              <w:t xml:space="preserve"> EIA study will be requested. The responsible institution will issue </w:t>
            </w:r>
            <w:r w:rsidR="00022FFD" w:rsidRPr="00ED4D49">
              <w:rPr>
                <w:rFonts w:asciiTheme="minorHAnsi" w:hAnsiTheme="minorHAnsi"/>
                <w:color w:val="0D0D0D" w:themeColor="text1" w:themeTint="F2"/>
                <w:sz w:val="16"/>
                <w:szCs w:val="16"/>
              </w:rPr>
              <w:t xml:space="preserve">the </w:t>
            </w:r>
            <w:r w:rsidRPr="00ED4D49">
              <w:rPr>
                <w:rFonts w:asciiTheme="minorHAnsi" w:hAnsiTheme="minorHAnsi"/>
                <w:color w:val="0D0D0D" w:themeColor="text1" w:themeTint="F2"/>
                <w:sz w:val="16"/>
                <w:szCs w:val="16"/>
              </w:rPr>
              <w:t>environmental permit based on the Request or full EIA study, whichever is required by the procedure.</w:t>
            </w:r>
          </w:p>
          <w:p w14:paraId="006F5418" w14:textId="77777777" w:rsidR="00A422DD" w:rsidRPr="00ED4D49" w:rsidRDefault="00A422DD" w:rsidP="00022FFD">
            <w:pPr>
              <w:pStyle w:val="ListParagraph"/>
              <w:widowControl w:val="0"/>
              <w:autoSpaceDE w:val="0"/>
              <w:autoSpaceDN w:val="0"/>
              <w:adjustRightInd w:val="0"/>
              <w:spacing w:before="0" w:afterLines="60" w:after="144" w:line="240" w:lineRule="auto"/>
              <w:ind w:left="0"/>
              <w:rPr>
                <w:rFonts w:asciiTheme="minorHAnsi" w:hAnsiTheme="minorHAnsi"/>
                <w:color w:val="0D0D0D" w:themeColor="text1" w:themeTint="F2"/>
                <w:sz w:val="16"/>
                <w:szCs w:val="16"/>
              </w:rPr>
            </w:pPr>
          </w:p>
          <w:p w14:paraId="49F9D823" w14:textId="29F299C4" w:rsidR="00A422DD" w:rsidRPr="00ED4D49" w:rsidRDefault="00A422DD" w:rsidP="00022FFD">
            <w:pPr>
              <w:pStyle w:val="ListParagraph"/>
              <w:widowControl w:val="0"/>
              <w:autoSpaceDE w:val="0"/>
              <w:autoSpaceDN w:val="0"/>
              <w:adjustRightInd w:val="0"/>
              <w:spacing w:before="0" w:afterLines="60" w:after="144" w:line="240" w:lineRule="auto"/>
              <w:ind w:left="0"/>
              <w:rPr>
                <w:rFonts w:asciiTheme="minorHAnsi" w:hAnsiTheme="minorHAnsi"/>
                <w:color w:val="0D0D0D" w:themeColor="text1" w:themeTint="F2"/>
                <w:sz w:val="16"/>
                <w:szCs w:val="16"/>
              </w:rPr>
            </w:pPr>
            <w:r w:rsidRPr="00ED4D49">
              <w:rPr>
                <w:rFonts w:asciiTheme="minorHAnsi" w:hAnsiTheme="minorHAnsi"/>
                <w:color w:val="0D0D0D" w:themeColor="text1" w:themeTint="F2"/>
                <w:sz w:val="16"/>
                <w:szCs w:val="16"/>
              </w:rPr>
              <w:t xml:space="preserve">In RS, prepare an </w:t>
            </w:r>
            <w:proofErr w:type="gramStart"/>
            <w:r w:rsidRPr="00ED4D49">
              <w:rPr>
                <w:rFonts w:asciiTheme="minorHAnsi" w:hAnsiTheme="minorHAnsi"/>
                <w:color w:val="0D0D0D" w:themeColor="text1" w:themeTint="F2"/>
                <w:sz w:val="16"/>
                <w:szCs w:val="16"/>
              </w:rPr>
              <w:t>Application</w:t>
            </w:r>
            <w:proofErr w:type="gramEnd"/>
            <w:r w:rsidRPr="00ED4D49">
              <w:rPr>
                <w:rFonts w:asciiTheme="minorHAnsi" w:hAnsiTheme="minorHAnsi"/>
                <w:color w:val="0D0D0D" w:themeColor="text1" w:themeTint="F2"/>
                <w:sz w:val="16"/>
                <w:szCs w:val="16"/>
              </w:rPr>
              <w:t xml:space="preserve"> for preliminary EIA and submit it to RS MPPCEE. Based on the Application</w:t>
            </w:r>
            <w:r w:rsidR="00022FFD" w:rsidRPr="00ED4D49">
              <w:rPr>
                <w:rFonts w:asciiTheme="minorHAnsi" w:hAnsiTheme="minorHAnsi"/>
                <w:color w:val="0D0D0D" w:themeColor="text1" w:themeTint="F2"/>
                <w:sz w:val="16"/>
                <w:szCs w:val="16"/>
              </w:rPr>
              <w:t>,</w:t>
            </w:r>
            <w:r w:rsidRPr="00ED4D49">
              <w:rPr>
                <w:rFonts w:asciiTheme="minorHAnsi" w:hAnsiTheme="minorHAnsi"/>
                <w:color w:val="0D0D0D" w:themeColor="text1" w:themeTint="F2"/>
                <w:sz w:val="16"/>
                <w:szCs w:val="16"/>
              </w:rPr>
              <w:t xml:space="preserve"> the ministry will decide on the necessity to conduct</w:t>
            </w:r>
            <w:r w:rsidR="00022FFD" w:rsidRPr="00ED4D49">
              <w:rPr>
                <w:rFonts w:asciiTheme="minorHAnsi" w:hAnsiTheme="minorHAnsi"/>
                <w:color w:val="0D0D0D" w:themeColor="text1" w:themeTint="F2"/>
                <w:sz w:val="16"/>
                <w:szCs w:val="16"/>
              </w:rPr>
              <w:t xml:space="preserve"> a</w:t>
            </w:r>
            <w:r w:rsidRPr="00ED4D49">
              <w:rPr>
                <w:rFonts w:asciiTheme="minorHAnsi" w:hAnsiTheme="minorHAnsi"/>
                <w:color w:val="0D0D0D" w:themeColor="text1" w:themeTint="F2"/>
                <w:sz w:val="16"/>
                <w:szCs w:val="16"/>
              </w:rPr>
              <w:t xml:space="preserve"> full EIA in case of which </w:t>
            </w:r>
            <w:r w:rsidR="00022FFD" w:rsidRPr="00ED4D49">
              <w:rPr>
                <w:rFonts w:asciiTheme="minorHAnsi" w:hAnsiTheme="minorHAnsi"/>
                <w:color w:val="0D0D0D" w:themeColor="text1" w:themeTint="F2"/>
                <w:sz w:val="16"/>
                <w:szCs w:val="16"/>
              </w:rPr>
              <w:t xml:space="preserve">an </w:t>
            </w:r>
            <w:r w:rsidRPr="00ED4D49">
              <w:rPr>
                <w:rFonts w:asciiTheme="minorHAnsi" w:hAnsiTheme="minorHAnsi"/>
                <w:color w:val="0D0D0D" w:themeColor="text1" w:themeTint="F2"/>
                <w:sz w:val="16"/>
                <w:szCs w:val="16"/>
              </w:rPr>
              <w:t xml:space="preserve">EIA study will be requested. The responsible institution will issue </w:t>
            </w:r>
            <w:r w:rsidR="00022FFD" w:rsidRPr="00ED4D49">
              <w:rPr>
                <w:rFonts w:asciiTheme="minorHAnsi" w:hAnsiTheme="minorHAnsi"/>
                <w:color w:val="0D0D0D" w:themeColor="text1" w:themeTint="F2"/>
                <w:sz w:val="16"/>
                <w:szCs w:val="16"/>
              </w:rPr>
              <w:t xml:space="preserve">the </w:t>
            </w:r>
            <w:r w:rsidRPr="00ED4D49">
              <w:rPr>
                <w:rFonts w:asciiTheme="minorHAnsi" w:hAnsiTheme="minorHAnsi"/>
                <w:color w:val="0D0D0D" w:themeColor="text1" w:themeTint="F2"/>
                <w:sz w:val="16"/>
                <w:szCs w:val="16"/>
              </w:rPr>
              <w:t>environmental permit based on the Request or full EIA study, whichever is required by the procedure.</w:t>
            </w:r>
          </w:p>
        </w:tc>
        <w:tc>
          <w:tcPr>
            <w:tcW w:w="2126" w:type="dxa"/>
          </w:tcPr>
          <w:p w14:paraId="10E59222" w14:textId="088BFB1E" w:rsidR="00A422DD" w:rsidRPr="00ED4D49" w:rsidRDefault="00A422DD" w:rsidP="00022FFD">
            <w:pPr>
              <w:pStyle w:val="ListParagraph"/>
              <w:widowControl w:val="0"/>
              <w:autoSpaceDE w:val="0"/>
              <w:autoSpaceDN w:val="0"/>
              <w:adjustRightInd w:val="0"/>
              <w:spacing w:before="0" w:afterLines="60" w:after="144" w:line="240" w:lineRule="auto"/>
              <w:ind w:left="0"/>
              <w:contextualSpacing w:val="0"/>
              <w:rPr>
                <w:rFonts w:asciiTheme="minorHAnsi" w:hAnsiTheme="minorHAnsi"/>
                <w:color w:val="0D0D0D" w:themeColor="text1" w:themeTint="F2"/>
                <w:sz w:val="16"/>
                <w:szCs w:val="16"/>
              </w:rPr>
            </w:pPr>
            <w:r w:rsidRPr="00ED4D49">
              <w:rPr>
                <w:rFonts w:asciiTheme="minorHAnsi" w:hAnsiTheme="minorHAnsi"/>
                <w:color w:val="0D0D0D" w:themeColor="text1" w:themeTint="F2"/>
                <w:sz w:val="16"/>
                <w:szCs w:val="16"/>
              </w:rPr>
              <w:t>Obtain</w:t>
            </w:r>
            <w:r w:rsidR="00BB3655" w:rsidRPr="00ED4D49">
              <w:rPr>
                <w:rFonts w:asciiTheme="minorHAnsi" w:hAnsiTheme="minorHAnsi"/>
                <w:color w:val="0D0D0D" w:themeColor="text1" w:themeTint="F2"/>
                <w:sz w:val="16"/>
                <w:szCs w:val="16"/>
              </w:rPr>
              <w:t>ed</w:t>
            </w:r>
            <w:r w:rsidRPr="00ED4D49">
              <w:rPr>
                <w:rFonts w:asciiTheme="minorHAnsi" w:hAnsiTheme="minorHAnsi"/>
                <w:color w:val="0D0D0D" w:themeColor="text1" w:themeTint="F2"/>
                <w:sz w:val="16"/>
                <w:szCs w:val="16"/>
              </w:rPr>
              <w:t xml:space="preserve"> environmental permit</w:t>
            </w:r>
          </w:p>
        </w:tc>
      </w:tr>
      <w:tr w:rsidR="00AD24E9" w:rsidRPr="00ED4D49" w14:paraId="18D774FA" w14:textId="77777777" w:rsidTr="00160717">
        <w:tc>
          <w:tcPr>
            <w:tcW w:w="2484" w:type="dxa"/>
          </w:tcPr>
          <w:p w14:paraId="2727925D" w14:textId="1E8106CB" w:rsidR="00AD24E9" w:rsidRPr="00ED4D49" w:rsidRDefault="00AD24E9" w:rsidP="00022FFD">
            <w:pPr>
              <w:widowControl w:val="0"/>
              <w:autoSpaceDE w:val="0"/>
              <w:autoSpaceDN w:val="0"/>
              <w:adjustRightInd w:val="0"/>
              <w:spacing w:before="0" w:afterLines="60" w:after="144" w:line="240" w:lineRule="auto"/>
              <w:rPr>
                <w:rFonts w:asciiTheme="minorHAnsi" w:hAnsiTheme="minorHAnsi"/>
                <w:color w:val="0D0D0D" w:themeColor="text1" w:themeTint="F2"/>
                <w:sz w:val="16"/>
                <w:szCs w:val="16"/>
                <w:lang w:val="en-US"/>
              </w:rPr>
            </w:pPr>
            <w:r w:rsidRPr="00ED4D49">
              <w:rPr>
                <w:bCs/>
                <w:sz w:val="16"/>
                <w:szCs w:val="16"/>
              </w:rPr>
              <w:t xml:space="preserve">Solid waste management and protection of air, water and soil of the Sava Corridor in the Brčko District, and cross-border </w:t>
            </w:r>
            <w:r w:rsidRPr="00ED4D49">
              <w:rPr>
                <w:bCs/>
                <w:sz w:val="16"/>
                <w:szCs w:val="16"/>
              </w:rPr>
              <w:lastRenderedPageBreak/>
              <w:t>cooperation through tourism promotion (cycling and pathway on the Sava River)</w:t>
            </w:r>
          </w:p>
        </w:tc>
        <w:tc>
          <w:tcPr>
            <w:tcW w:w="4457" w:type="dxa"/>
          </w:tcPr>
          <w:p w14:paraId="088FBD98" w14:textId="10B0ABB3" w:rsidR="00AD24E9" w:rsidRPr="00ED4D49" w:rsidRDefault="00AD24E9" w:rsidP="00AD24E9">
            <w:pPr>
              <w:pStyle w:val="ListParagraph"/>
              <w:widowControl w:val="0"/>
              <w:autoSpaceDE w:val="0"/>
              <w:autoSpaceDN w:val="0"/>
              <w:adjustRightInd w:val="0"/>
              <w:spacing w:before="0" w:afterLines="60" w:after="144" w:line="240" w:lineRule="auto"/>
              <w:ind w:left="0"/>
              <w:rPr>
                <w:rFonts w:asciiTheme="minorHAnsi" w:hAnsiTheme="minorHAnsi"/>
                <w:color w:val="0D0D0D" w:themeColor="text1" w:themeTint="F2"/>
                <w:sz w:val="16"/>
                <w:szCs w:val="16"/>
              </w:rPr>
            </w:pPr>
            <w:r w:rsidRPr="00ED4D49">
              <w:rPr>
                <w:rFonts w:asciiTheme="minorHAnsi" w:hAnsiTheme="minorHAnsi"/>
                <w:color w:val="0D0D0D" w:themeColor="text1" w:themeTint="F2"/>
                <w:sz w:val="16"/>
                <w:szCs w:val="16"/>
              </w:rPr>
              <w:lastRenderedPageBreak/>
              <w:t xml:space="preserve">In Brčko District, prepare a Request for environmental permit and submit it to DSPPA BD, depending on the project location. Based on the Request, the responsible institution will decide on the necessity to conduct a full EIA in case of which an EIA study </w:t>
            </w:r>
            <w:r w:rsidRPr="00ED4D49">
              <w:rPr>
                <w:rFonts w:asciiTheme="minorHAnsi" w:hAnsiTheme="minorHAnsi"/>
                <w:color w:val="0D0D0D" w:themeColor="text1" w:themeTint="F2"/>
                <w:sz w:val="16"/>
                <w:szCs w:val="16"/>
              </w:rPr>
              <w:lastRenderedPageBreak/>
              <w:t>will be requested. The responsible institution will issue the environmental permit based on the Request or full EIA study, whichever is required by the procedure.</w:t>
            </w:r>
          </w:p>
          <w:p w14:paraId="3426C22B" w14:textId="77777777" w:rsidR="00AD24E9" w:rsidRPr="00ED4D49" w:rsidRDefault="00AD24E9" w:rsidP="00022FFD">
            <w:pPr>
              <w:pStyle w:val="ListParagraph"/>
              <w:widowControl w:val="0"/>
              <w:autoSpaceDE w:val="0"/>
              <w:autoSpaceDN w:val="0"/>
              <w:adjustRightInd w:val="0"/>
              <w:spacing w:before="0" w:afterLines="60" w:after="144" w:line="240" w:lineRule="auto"/>
              <w:ind w:left="0"/>
              <w:rPr>
                <w:rFonts w:asciiTheme="minorHAnsi" w:hAnsiTheme="minorHAnsi"/>
                <w:color w:val="0D0D0D" w:themeColor="text1" w:themeTint="F2"/>
                <w:sz w:val="16"/>
                <w:szCs w:val="16"/>
              </w:rPr>
            </w:pPr>
          </w:p>
        </w:tc>
        <w:tc>
          <w:tcPr>
            <w:tcW w:w="2126" w:type="dxa"/>
          </w:tcPr>
          <w:p w14:paraId="4DF3B0EE" w14:textId="00ADB452" w:rsidR="00AD24E9" w:rsidRPr="00ED4D49" w:rsidRDefault="00AD24E9" w:rsidP="00022FFD">
            <w:pPr>
              <w:pStyle w:val="ListParagraph"/>
              <w:widowControl w:val="0"/>
              <w:autoSpaceDE w:val="0"/>
              <w:autoSpaceDN w:val="0"/>
              <w:adjustRightInd w:val="0"/>
              <w:spacing w:before="0" w:afterLines="60" w:after="144" w:line="240" w:lineRule="auto"/>
              <w:ind w:left="0"/>
              <w:contextualSpacing w:val="0"/>
              <w:rPr>
                <w:rFonts w:asciiTheme="minorHAnsi" w:hAnsiTheme="minorHAnsi"/>
                <w:color w:val="0D0D0D" w:themeColor="text1" w:themeTint="F2"/>
                <w:sz w:val="16"/>
                <w:szCs w:val="16"/>
              </w:rPr>
            </w:pPr>
            <w:r w:rsidRPr="00ED4D49">
              <w:rPr>
                <w:rFonts w:asciiTheme="minorHAnsi" w:hAnsiTheme="minorHAnsi"/>
                <w:color w:val="0D0D0D" w:themeColor="text1" w:themeTint="F2"/>
                <w:sz w:val="16"/>
                <w:szCs w:val="16"/>
              </w:rPr>
              <w:lastRenderedPageBreak/>
              <w:t>Obtained environmental permit</w:t>
            </w:r>
          </w:p>
        </w:tc>
      </w:tr>
      <w:tr w:rsidR="004E6A8F" w:rsidRPr="00ED4D49" w14:paraId="670F25C3" w14:textId="77777777" w:rsidTr="00160717">
        <w:tc>
          <w:tcPr>
            <w:tcW w:w="2484" w:type="dxa"/>
          </w:tcPr>
          <w:p w14:paraId="24DDFA66" w14:textId="31A90E12" w:rsidR="004E6A8F" w:rsidRPr="00ED4D49" w:rsidRDefault="004E6A8F" w:rsidP="00A8306A">
            <w:pPr>
              <w:widowControl w:val="0"/>
              <w:autoSpaceDE w:val="0"/>
              <w:autoSpaceDN w:val="0"/>
              <w:adjustRightInd w:val="0"/>
              <w:spacing w:before="0" w:afterLines="60" w:after="144" w:line="240" w:lineRule="auto"/>
              <w:rPr>
                <w:bCs/>
                <w:sz w:val="16"/>
                <w:szCs w:val="16"/>
                <w:lang w:val="en-US"/>
              </w:rPr>
            </w:pPr>
            <w:r w:rsidRPr="00ED4D49">
              <w:rPr>
                <w:bCs/>
                <w:sz w:val="16"/>
                <w:szCs w:val="16"/>
                <w:lang w:val="en-US"/>
              </w:rPr>
              <w:t xml:space="preserve">Rehabilitation of </w:t>
            </w:r>
            <w:proofErr w:type="spellStart"/>
            <w:r w:rsidRPr="00ED4D49">
              <w:rPr>
                <w:bCs/>
                <w:sz w:val="16"/>
                <w:szCs w:val="16"/>
                <w:lang w:val="en-US"/>
              </w:rPr>
              <w:t>Modrac</w:t>
            </w:r>
            <w:proofErr w:type="spellEnd"/>
            <w:r w:rsidRPr="00ED4D49">
              <w:rPr>
                <w:bCs/>
                <w:sz w:val="16"/>
                <w:szCs w:val="16"/>
                <w:lang w:val="en-US"/>
              </w:rPr>
              <w:t xml:space="preserve"> lake dam – IV phase</w:t>
            </w:r>
          </w:p>
        </w:tc>
        <w:tc>
          <w:tcPr>
            <w:tcW w:w="4457" w:type="dxa"/>
          </w:tcPr>
          <w:p w14:paraId="72DBF0C5" w14:textId="77777777" w:rsidR="004E6A8F" w:rsidRPr="00ED4D49" w:rsidRDefault="004E6A8F" w:rsidP="00A8306A">
            <w:pPr>
              <w:pStyle w:val="ListParagraph"/>
              <w:widowControl w:val="0"/>
              <w:autoSpaceDE w:val="0"/>
              <w:autoSpaceDN w:val="0"/>
              <w:adjustRightInd w:val="0"/>
              <w:spacing w:before="0" w:afterLines="60" w:after="144" w:line="240" w:lineRule="auto"/>
              <w:ind w:left="0"/>
              <w:rPr>
                <w:rFonts w:asciiTheme="minorHAnsi" w:hAnsiTheme="minorHAnsi"/>
                <w:color w:val="0D0D0D" w:themeColor="text1" w:themeTint="F2"/>
                <w:sz w:val="16"/>
                <w:szCs w:val="16"/>
              </w:rPr>
            </w:pPr>
          </w:p>
        </w:tc>
        <w:tc>
          <w:tcPr>
            <w:tcW w:w="2126" w:type="dxa"/>
          </w:tcPr>
          <w:p w14:paraId="7AB0ADF9" w14:textId="3B523825" w:rsidR="004E6A8F" w:rsidRPr="00ED4D49" w:rsidRDefault="004E6A8F" w:rsidP="00A8306A">
            <w:pPr>
              <w:pStyle w:val="ListParagraph"/>
              <w:widowControl w:val="0"/>
              <w:autoSpaceDE w:val="0"/>
              <w:autoSpaceDN w:val="0"/>
              <w:adjustRightInd w:val="0"/>
              <w:spacing w:before="0" w:afterLines="60" w:after="144" w:line="240" w:lineRule="auto"/>
              <w:ind w:left="0"/>
              <w:contextualSpacing w:val="0"/>
              <w:rPr>
                <w:rFonts w:asciiTheme="minorHAnsi" w:hAnsiTheme="minorHAnsi"/>
                <w:color w:val="0D0D0D" w:themeColor="text1" w:themeTint="F2"/>
                <w:sz w:val="16"/>
                <w:szCs w:val="16"/>
              </w:rPr>
            </w:pPr>
            <w:r w:rsidRPr="00ED4D49">
              <w:rPr>
                <w:rFonts w:asciiTheme="minorHAnsi" w:hAnsiTheme="minorHAnsi"/>
                <w:color w:val="0D0D0D" w:themeColor="text1" w:themeTint="F2"/>
                <w:sz w:val="16"/>
                <w:szCs w:val="16"/>
              </w:rPr>
              <w:t>Obtained environmental permit</w:t>
            </w:r>
          </w:p>
        </w:tc>
      </w:tr>
      <w:tr w:rsidR="00A8306A" w:rsidRPr="00ED4D49" w14:paraId="30F31B79" w14:textId="77777777" w:rsidTr="00160717">
        <w:tc>
          <w:tcPr>
            <w:tcW w:w="2484" w:type="dxa"/>
          </w:tcPr>
          <w:p w14:paraId="0DD7BB9F" w14:textId="1A860CE4" w:rsidR="00A8306A" w:rsidRPr="00ED4D49" w:rsidRDefault="00A8306A" w:rsidP="00A8306A">
            <w:pPr>
              <w:widowControl w:val="0"/>
              <w:autoSpaceDE w:val="0"/>
              <w:autoSpaceDN w:val="0"/>
              <w:adjustRightInd w:val="0"/>
              <w:spacing w:before="0" w:afterLines="60" w:after="144" w:line="240" w:lineRule="auto"/>
              <w:rPr>
                <w:rFonts w:asciiTheme="minorHAnsi" w:hAnsiTheme="minorHAnsi"/>
                <w:color w:val="0D0D0D" w:themeColor="text1" w:themeTint="F2"/>
                <w:sz w:val="16"/>
                <w:szCs w:val="16"/>
                <w:lang w:val="en-US"/>
              </w:rPr>
            </w:pPr>
            <w:r w:rsidRPr="00ED4D49">
              <w:rPr>
                <w:bCs/>
                <w:sz w:val="16"/>
                <w:szCs w:val="16"/>
                <w:lang w:val="en-US"/>
              </w:rPr>
              <w:t>Nursery production, reforestation, arboretum establishment</w:t>
            </w:r>
          </w:p>
        </w:tc>
        <w:tc>
          <w:tcPr>
            <w:tcW w:w="4457" w:type="dxa"/>
          </w:tcPr>
          <w:p w14:paraId="284577D0" w14:textId="3E212E51" w:rsidR="00A8306A" w:rsidRPr="00ED4D49" w:rsidRDefault="00A8306A" w:rsidP="00A8306A">
            <w:pPr>
              <w:pStyle w:val="ListParagraph"/>
              <w:widowControl w:val="0"/>
              <w:autoSpaceDE w:val="0"/>
              <w:autoSpaceDN w:val="0"/>
              <w:adjustRightInd w:val="0"/>
              <w:spacing w:before="0" w:afterLines="60" w:after="144" w:line="240" w:lineRule="auto"/>
              <w:ind w:left="0"/>
              <w:rPr>
                <w:rFonts w:asciiTheme="minorHAnsi" w:hAnsiTheme="minorHAnsi"/>
                <w:color w:val="0D0D0D" w:themeColor="text1" w:themeTint="F2"/>
                <w:sz w:val="16"/>
                <w:szCs w:val="16"/>
              </w:rPr>
            </w:pPr>
            <w:r w:rsidRPr="00ED4D49">
              <w:rPr>
                <w:rFonts w:asciiTheme="minorHAnsi" w:hAnsiTheme="minorHAnsi"/>
                <w:color w:val="0D0D0D" w:themeColor="text1" w:themeTint="F2"/>
                <w:sz w:val="16"/>
                <w:szCs w:val="16"/>
              </w:rPr>
              <w:t>No action needed</w:t>
            </w:r>
          </w:p>
        </w:tc>
        <w:tc>
          <w:tcPr>
            <w:tcW w:w="2126" w:type="dxa"/>
          </w:tcPr>
          <w:p w14:paraId="0C12311F" w14:textId="19FAA94D" w:rsidR="00A8306A" w:rsidRPr="00ED4D49" w:rsidRDefault="00A8306A" w:rsidP="00A8306A">
            <w:pPr>
              <w:pStyle w:val="ListParagraph"/>
              <w:widowControl w:val="0"/>
              <w:autoSpaceDE w:val="0"/>
              <w:autoSpaceDN w:val="0"/>
              <w:adjustRightInd w:val="0"/>
              <w:spacing w:before="0" w:afterLines="60" w:after="144" w:line="240" w:lineRule="auto"/>
              <w:ind w:left="0"/>
              <w:contextualSpacing w:val="0"/>
              <w:rPr>
                <w:rFonts w:asciiTheme="minorHAnsi" w:hAnsiTheme="minorHAnsi"/>
                <w:color w:val="0D0D0D" w:themeColor="text1" w:themeTint="F2"/>
                <w:sz w:val="16"/>
                <w:szCs w:val="16"/>
              </w:rPr>
            </w:pPr>
            <w:r w:rsidRPr="00ED4D49">
              <w:rPr>
                <w:rFonts w:asciiTheme="minorHAnsi" w:hAnsiTheme="minorHAnsi"/>
                <w:color w:val="0D0D0D" w:themeColor="text1" w:themeTint="F2"/>
                <w:sz w:val="16"/>
                <w:szCs w:val="16"/>
              </w:rPr>
              <w:t>-</w:t>
            </w:r>
          </w:p>
        </w:tc>
      </w:tr>
      <w:tr w:rsidR="00A8306A" w:rsidRPr="00ED4D49" w14:paraId="3B30E23A" w14:textId="77777777" w:rsidTr="00160717">
        <w:tc>
          <w:tcPr>
            <w:tcW w:w="2484" w:type="dxa"/>
          </w:tcPr>
          <w:p w14:paraId="2D11E773" w14:textId="23A9483E" w:rsidR="00A8306A" w:rsidRPr="00ED4D49" w:rsidRDefault="00A8306A" w:rsidP="00A8306A">
            <w:pPr>
              <w:widowControl w:val="0"/>
              <w:autoSpaceDE w:val="0"/>
              <w:autoSpaceDN w:val="0"/>
              <w:adjustRightInd w:val="0"/>
              <w:spacing w:before="0" w:afterLines="60" w:after="144" w:line="240" w:lineRule="auto"/>
              <w:rPr>
                <w:rFonts w:asciiTheme="minorHAnsi" w:hAnsiTheme="minorHAnsi"/>
                <w:color w:val="0D0D0D" w:themeColor="text1" w:themeTint="F2"/>
                <w:sz w:val="16"/>
                <w:szCs w:val="16"/>
                <w:lang w:val="en-US"/>
              </w:rPr>
            </w:pPr>
            <w:r w:rsidRPr="00ED4D49">
              <w:rPr>
                <w:bCs/>
                <w:sz w:val="16"/>
                <w:szCs w:val="16"/>
                <w:lang w:val="en-US"/>
              </w:rPr>
              <w:t>Demining activities along the Sava Right bank within BiH</w:t>
            </w:r>
          </w:p>
        </w:tc>
        <w:tc>
          <w:tcPr>
            <w:tcW w:w="4457" w:type="dxa"/>
          </w:tcPr>
          <w:p w14:paraId="22E8E2F2" w14:textId="76FAD560" w:rsidR="00A8306A" w:rsidRPr="00ED4D49" w:rsidRDefault="00A8306A" w:rsidP="00A8306A">
            <w:pPr>
              <w:pStyle w:val="ListParagraph"/>
              <w:widowControl w:val="0"/>
              <w:autoSpaceDE w:val="0"/>
              <w:autoSpaceDN w:val="0"/>
              <w:adjustRightInd w:val="0"/>
              <w:spacing w:before="0" w:afterLines="60" w:after="144" w:line="240" w:lineRule="auto"/>
              <w:ind w:left="0"/>
              <w:rPr>
                <w:rFonts w:asciiTheme="minorHAnsi" w:hAnsiTheme="minorHAnsi"/>
                <w:color w:val="0D0D0D" w:themeColor="text1" w:themeTint="F2"/>
                <w:sz w:val="16"/>
                <w:szCs w:val="16"/>
              </w:rPr>
            </w:pPr>
            <w:r w:rsidRPr="00ED4D49">
              <w:rPr>
                <w:rFonts w:asciiTheme="minorHAnsi" w:hAnsiTheme="minorHAnsi"/>
                <w:color w:val="0D0D0D" w:themeColor="text1" w:themeTint="F2"/>
                <w:sz w:val="16"/>
                <w:szCs w:val="16"/>
              </w:rPr>
              <w:t>No action needed</w:t>
            </w:r>
          </w:p>
        </w:tc>
        <w:tc>
          <w:tcPr>
            <w:tcW w:w="2126" w:type="dxa"/>
          </w:tcPr>
          <w:p w14:paraId="5B573248" w14:textId="0FD8B88B" w:rsidR="00A8306A" w:rsidRPr="00ED4D49" w:rsidRDefault="00A8306A" w:rsidP="00A8306A">
            <w:pPr>
              <w:pStyle w:val="ListParagraph"/>
              <w:widowControl w:val="0"/>
              <w:autoSpaceDE w:val="0"/>
              <w:autoSpaceDN w:val="0"/>
              <w:adjustRightInd w:val="0"/>
              <w:spacing w:before="0" w:afterLines="60" w:after="144" w:line="240" w:lineRule="auto"/>
              <w:ind w:left="0"/>
              <w:contextualSpacing w:val="0"/>
              <w:rPr>
                <w:rFonts w:asciiTheme="minorHAnsi" w:hAnsiTheme="minorHAnsi"/>
                <w:color w:val="0D0D0D" w:themeColor="text1" w:themeTint="F2"/>
                <w:sz w:val="16"/>
                <w:szCs w:val="16"/>
              </w:rPr>
            </w:pPr>
            <w:r w:rsidRPr="00ED4D49">
              <w:rPr>
                <w:rFonts w:asciiTheme="minorHAnsi" w:hAnsiTheme="minorHAnsi"/>
                <w:color w:val="0D0D0D" w:themeColor="text1" w:themeTint="F2"/>
                <w:sz w:val="16"/>
                <w:szCs w:val="16"/>
              </w:rPr>
              <w:t>-</w:t>
            </w:r>
          </w:p>
        </w:tc>
      </w:tr>
      <w:tr w:rsidR="00DE05AE" w:rsidRPr="00ED4D49" w14:paraId="03AFF20E" w14:textId="77777777" w:rsidTr="00160717">
        <w:tc>
          <w:tcPr>
            <w:tcW w:w="2484" w:type="dxa"/>
          </w:tcPr>
          <w:p w14:paraId="3F2FFE21" w14:textId="6B6556F0" w:rsidR="00DE05AE" w:rsidRPr="00ED4D49" w:rsidRDefault="00DE05AE" w:rsidP="00DE05AE">
            <w:pPr>
              <w:widowControl w:val="0"/>
              <w:autoSpaceDE w:val="0"/>
              <w:autoSpaceDN w:val="0"/>
              <w:adjustRightInd w:val="0"/>
              <w:spacing w:before="0" w:afterLines="60" w:after="144" w:line="240" w:lineRule="auto"/>
              <w:rPr>
                <w:bCs/>
                <w:sz w:val="16"/>
                <w:szCs w:val="16"/>
                <w:lang w:val="en-US"/>
              </w:rPr>
            </w:pPr>
            <w:r w:rsidRPr="00ED4D49">
              <w:rPr>
                <w:bCs/>
                <w:sz w:val="16"/>
                <w:szCs w:val="16"/>
                <w:lang w:val="en-US"/>
              </w:rPr>
              <w:t xml:space="preserve">Development of regional studies for </w:t>
            </w:r>
            <w:proofErr w:type="gramStart"/>
            <w:r w:rsidRPr="00ED4D49">
              <w:rPr>
                <w:bCs/>
                <w:sz w:val="16"/>
                <w:szCs w:val="16"/>
                <w:lang w:val="en-US"/>
              </w:rPr>
              <w:t>Sava river</w:t>
            </w:r>
            <w:proofErr w:type="gramEnd"/>
            <w:r w:rsidRPr="00ED4D49">
              <w:rPr>
                <w:bCs/>
                <w:sz w:val="16"/>
                <w:szCs w:val="16"/>
                <w:lang w:val="en-US"/>
              </w:rPr>
              <w:t xml:space="preserve"> basin</w:t>
            </w:r>
          </w:p>
        </w:tc>
        <w:tc>
          <w:tcPr>
            <w:tcW w:w="4457" w:type="dxa"/>
          </w:tcPr>
          <w:p w14:paraId="2F3518DF" w14:textId="463C3248" w:rsidR="00DE05AE" w:rsidRPr="00ED4D49" w:rsidRDefault="00FB14DF" w:rsidP="00DE05AE">
            <w:pPr>
              <w:pStyle w:val="ListParagraph"/>
              <w:widowControl w:val="0"/>
              <w:autoSpaceDE w:val="0"/>
              <w:autoSpaceDN w:val="0"/>
              <w:adjustRightInd w:val="0"/>
              <w:spacing w:before="0" w:afterLines="60" w:after="144" w:line="240" w:lineRule="auto"/>
              <w:ind w:left="0"/>
              <w:rPr>
                <w:rFonts w:asciiTheme="minorHAnsi" w:hAnsiTheme="minorHAnsi"/>
                <w:color w:val="0D0D0D" w:themeColor="text1" w:themeTint="F2"/>
                <w:sz w:val="16"/>
                <w:szCs w:val="16"/>
              </w:rPr>
            </w:pPr>
            <w:r w:rsidRPr="00ED4D49">
              <w:rPr>
                <w:rFonts w:asciiTheme="minorHAnsi" w:hAnsiTheme="minorHAnsi"/>
                <w:color w:val="0D0D0D" w:themeColor="text1" w:themeTint="F2"/>
                <w:sz w:val="16"/>
                <w:szCs w:val="16"/>
              </w:rPr>
              <w:t xml:space="preserve">Translate </w:t>
            </w:r>
            <w:r w:rsidR="00450BDE" w:rsidRPr="00ED4D49">
              <w:rPr>
                <w:rFonts w:asciiTheme="minorHAnsi" w:hAnsiTheme="minorHAnsi"/>
                <w:color w:val="0D0D0D" w:themeColor="text1" w:themeTint="F2"/>
                <w:sz w:val="16"/>
                <w:szCs w:val="16"/>
              </w:rPr>
              <w:t xml:space="preserve">SESA prepared from the Bank </w:t>
            </w:r>
            <w:r w:rsidR="00DE05AE" w:rsidRPr="00ED4D49">
              <w:rPr>
                <w:rFonts w:asciiTheme="minorHAnsi" w:hAnsiTheme="minorHAnsi"/>
                <w:color w:val="0D0D0D" w:themeColor="text1" w:themeTint="F2"/>
                <w:sz w:val="16"/>
                <w:szCs w:val="16"/>
              </w:rPr>
              <w:t xml:space="preserve">and carry out the </w:t>
            </w:r>
            <w:r w:rsidRPr="00ED4D49">
              <w:rPr>
                <w:rFonts w:asciiTheme="minorHAnsi" w:hAnsiTheme="minorHAnsi"/>
                <w:color w:val="0D0D0D" w:themeColor="text1" w:themeTint="F2"/>
                <w:sz w:val="16"/>
                <w:szCs w:val="16"/>
              </w:rPr>
              <w:t xml:space="preserve">entity </w:t>
            </w:r>
            <w:r w:rsidR="00DE05AE" w:rsidRPr="00ED4D49">
              <w:rPr>
                <w:rFonts w:asciiTheme="minorHAnsi" w:hAnsiTheme="minorHAnsi"/>
                <w:color w:val="0D0D0D" w:themeColor="text1" w:themeTint="F2"/>
                <w:sz w:val="16"/>
                <w:szCs w:val="16"/>
              </w:rPr>
              <w:t>SEA procedure including public consultation.</w:t>
            </w:r>
          </w:p>
        </w:tc>
        <w:tc>
          <w:tcPr>
            <w:tcW w:w="2126" w:type="dxa"/>
          </w:tcPr>
          <w:p w14:paraId="2307F788" w14:textId="43D1E94B" w:rsidR="00DE05AE" w:rsidRPr="00ED4D49" w:rsidRDefault="00DE05AE" w:rsidP="00DE05AE">
            <w:pPr>
              <w:pStyle w:val="ListParagraph"/>
              <w:widowControl w:val="0"/>
              <w:autoSpaceDE w:val="0"/>
              <w:autoSpaceDN w:val="0"/>
              <w:adjustRightInd w:val="0"/>
              <w:spacing w:before="0" w:afterLines="60" w:after="144" w:line="240" w:lineRule="auto"/>
              <w:ind w:left="0"/>
              <w:contextualSpacing w:val="0"/>
              <w:rPr>
                <w:rFonts w:asciiTheme="minorHAnsi" w:hAnsiTheme="minorHAnsi"/>
                <w:color w:val="0D0D0D" w:themeColor="text1" w:themeTint="F2"/>
                <w:sz w:val="16"/>
                <w:szCs w:val="16"/>
              </w:rPr>
            </w:pPr>
            <w:r w:rsidRPr="00ED4D49">
              <w:rPr>
                <w:rFonts w:asciiTheme="minorHAnsi" w:hAnsiTheme="minorHAnsi"/>
                <w:color w:val="0D0D0D" w:themeColor="text1" w:themeTint="F2"/>
                <w:sz w:val="16"/>
                <w:szCs w:val="16"/>
              </w:rPr>
              <w:t xml:space="preserve">Improved regional studies </w:t>
            </w:r>
            <w:r w:rsidR="00FB14DF" w:rsidRPr="00ED4D49">
              <w:rPr>
                <w:rFonts w:asciiTheme="minorHAnsi" w:hAnsiTheme="minorHAnsi"/>
                <w:color w:val="0D0D0D" w:themeColor="text1" w:themeTint="F2"/>
                <w:sz w:val="16"/>
                <w:szCs w:val="16"/>
              </w:rPr>
              <w:t>based on the conclusions from SESA.</w:t>
            </w:r>
          </w:p>
        </w:tc>
      </w:tr>
    </w:tbl>
    <w:p w14:paraId="44092775" w14:textId="774C25FC" w:rsidR="00A422DD" w:rsidRPr="00ED4D49" w:rsidRDefault="00A422DD" w:rsidP="0048126F">
      <w:pPr>
        <w:rPr>
          <w:lang w:val="en-US" w:eastAsia="x-none"/>
        </w:rPr>
      </w:pPr>
    </w:p>
    <w:p w14:paraId="3F5A2BD5" w14:textId="5E572B9F" w:rsidR="00A422DD" w:rsidRPr="00ED4D49" w:rsidRDefault="00A422DD" w:rsidP="00A422DD">
      <w:pPr>
        <w:jc w:val="both"/>
        <w:rPr>
          <w:lang w:val="en-US" w:eastAsia="x-none"/>
        </w:rPr>
      </w:pPr>
      <w:bookmarkStart w:id="8" w:name="_Hlk25258023"/>
      <w:r w:rsidRPr="00ED4D49">
        <w:rPr>
          <w:b/>
          <w:lang w:val="en-US" w:eastAsia="x-none"/>
        </w:rPr>
        <w:t>Step 3. Organize consultation</w:t>
      </w:r>
      <w:r w:rsidR="00022FFD" w:rsidRPr="00ED4D49">
        <w:rPr>
          <w:b/>
          <w:lang w:val="en-US" w:eastAsia="x-none"/>
        </w:rPr>
        <w:t>s</w:t>
      </w:r>
      <w:r w:rsidRPr="00ED4D49">
        <w:rPr>
          <w:b/>
          <w:lang w:val="en-US" w:eastAsia="x-none"/>
        </w:rPr>
        <w:t xml:space="preserve"> with stakeholders </w:t>
      </w:r>
      <w:r w:rsidRPr="00ED4D49">
        <w:rPr>
          <w:lang w:val="en-US" w:eastAsia="x-none"/>
        </w:rPr>
        <w:t xml:space="preserve">at the location closest to the project implementation site in line with the requirements </w:t>
      </w:r>
      <w:r w:rsidR="00022FFD" w:rsidRPr="00ED4D49">
        <w:rPr>
          <w:lang w:val="en-US" w:eastAsia="x-none"/>
        </w:rPr>
        <w:t>of the</w:t>
      </w:r>
      <w:r w:rsidRPr="00ED4D49">
        <w:rPr>
          <w:lang w:val="en-US" w:eastAsia="x-none"/>
        </w:rPr>
        <w:t xml:space="preserve"> </w:t>
      </w:r>
      <w:r w:rsidRPr="00ED4D49">
        <w:rPr>
          <w:color w:val="1F497C"/>
          <w:lang w:val="en-US" w:eastAsia="x-none"/>
        </w:rPr>
        <w:t>Stakeholder Engagement Plan</w:t>
      </w:r>
      <w:r w:rsidR="00160717" w:rsidRPr="00ED4D49">
        <w:rPr>
          <w:color w:val="1F497C"/>
          <w:lang w:val="en-US" w:eastAsia="x-none"/>
        </w:rPr>
        <w:t xml:space="preserve"> (SEP)</w:t>
      </w:r>
      <w:r w:rsidRPr="00ED4D49">
        <w:rPr>
          <w:color w:val="1F497C"/>
          <w:lang w:val="en-US" w:eastAsia="x-none"/>
        </w:rPr>
        <w:t xml:space="preserve"> </w:t>
      </w:r>
      <w:r w:rsidR="0037114D" w:rsidRPr="00ED4D49">
        <w:rPr>
          <w:lang w:val="en-US" w:eastAsia="x-none"/>
        </w:rPr>
        <w:t xml:space="preserve">which has been </w:t>
      </w:r>
      <w:r w:rsidRPr="00ED4D49">
        <w:rPr>
          <w:lang w:val="en-US" w:eastAsia="x-none"/>
        </w:rPr>
        <w:t>developed as a separate document for the SDIP.</w:t>
      </w:r>
    </w:p>
    <w:p w14:paraId="26058E89" w14:textId="42C06EDB" w:rsidR="00A422DD" w:rsidRPr="00ED4D49" w:rsidRDefault="00A422DD" w:rsidP="00A422DD">
      <w:pPr>
        <w:jc w:val="both"/>
        <w:rPr>
          <w:bCs/>
          <w:lang w:val="en-US" w:eastAsia="x-none"/>
        </w:rPr>
      </w:pPr>
      <w:bookmarkStart w:id="9" w:name="_Hlk25258027"/>
      <w:bookmarkEnd w:id="8"/>
      <w:r w:rsidRPr="00ED4D49">
        <w:rPr>
          <w:b/>
          <w:lang w:val="en-US" w:eastAsia="x-none"/>
        </w:rPr>
        <w:t>Step 4. (</w:t>
      </w:r>
      <w:r w:rsidRPr="00ED4D49">
        <w:rPr>
          <w:b/>
          <w:i/>
          <w:iCs/>
          <w:lang w:val="en-US" w:eastAsia="x-none"/>
        </w:rPr>
        <w:t>If needed and where applicable</w:t>
      </w:r>
      <w:r w:rsidRPr="00ED4D49">
        <w:rPr>
          <w:b/>
          <w:lang w:val="en-US" w:eastAsia="x-none"/>
        </w:rPr>
        <w:t xml:space="preserve">) Obtain </w:t>
      </w:r>
      <w:r w:rsidR="0037114D" w:rsidRPr="00ED4D49">
        <w:rPr>
          <w:b/>
          <w:lang w:val="en-US" w:eastAsia="x-none"/>
        </w:rPr>
        <w:t>v</w:t>
      </w:r>
      <w:r w:rsidRPr="00ED4D49">
        <w:rPr>
          <w:b/>
          <w:lang w:val="en-US" w:eastAsia="x-none"/>
        </w:rPr>
        <w:t xml:space="preserve">arious </w:t>
      </w:r>
      <w:r w:rsidR="0037114D" w:rsidRPr="00ED4D49">
        <w:rPr>
          <w:b/>
          <w:lang w:val="en-US" w:eastAsia="x-none"/>
        </w:rPr>
        <w:t>p</w:t>
      </w:r>
      <w:r w:rsidRPr="00ED4D49">
        <w:rPr>
          <w:b/>
          <w:lang w:val="en-US" w:eastAsia="x-none"/>
        </w:rPr>
        <w:t>ermits and approval</w:t>
      </w:r>
      <w:r w:rsidR="0037114D" w:rsidRPr="00ED4D49">
        <w:rPr>
          <w:b/>
          <w:lang w:val="en-US" w:eastAsia="x-none"/>
        </w:rPr>
        <w:t>s</w:t>
      </w:r>
      <w:r w:rsidRPr="00ED4D49">
        <w:rPr>
          <w:b/>
          <w:lang w:val="en-US" w:eastAsia="x-none"/>
        </w:rPr>
        <w:t xml:space="preserve"> </w:t>
      </w:r>
      <w:r w:rsidRPr="00ED4D49">
        <w:rPr>
          <w:bCs/>
          <w:lang w:val="en-US" w:eastAsia="x-none"/>
        </w:rPr>
        <w:t>including water management acts and construction related acts.</w:t>
      </w:r>
    </w:p>
    <w:p w14:paraId="77AA13DD" w14:textId="73C5EAB1" w:rsidR="00A422DD" w:rsidRPr="00ED4D49" w:rsidRDefault="00A422DD" w:rsidP="00A422DD">
      <w:pPr>
        <w:jc w:val="both"/>
        <w:rPr>
          <w:lang w:val="en-US" w:eastAsia="x-none"/>
        </w:rPr>
      </w:pPr>
      <w:bookmarkStart w:id="10" w:name="_Hlk25258031"/>
      <w:bookmarkEnd w:id="9"/>
      <w:r w:rsidRPr="00ED4D49">
        <w:rPr>
          <w:lang w:val="en-US" w:eastAsia="x-none"/>
        </w:rPr>
        <w:t xml:space="preserve">Pursuant to the </w:t>
      </w:r>
      <w:r w:rsidR="00275D4E" w:rsidRPr="00ED4D49">
        <w:rPr>
          <w:lang w:val="en-US" w:eastAsia="x-none"/>
        </w:rPr>
        <w:t>WB</w:t>
      </w:r>
      <w:r w:rsidRPr="00ED4D49">
        <w:rPr>
          <w:lang w:val="en-US" w:eastAsia="x-none"/>
        </w:rPr>
        <w:t xml:space="preserve"> requirements, </w:t>
      </w:r>
      <w:r w:rsidR="00275D4E" w:rsidRPr="00ED4D49">
        <w:rPr>
          <w:lang w:val="en-US" w:eastAsia="x-none"/>
        </w:rPr>
        <w:t>a</w:t>
      </w:r>
      <w:r w:rsidRPr="00ED4D49">
        <w:rPr>
          <w:lang w:val="en-US" w:eastAsia="x-none"/>
        </w:rPr>
        <w:t xml:space="preserve"> </w:t>
      </w:r>
      <w:r w:rsidRPr="00ED4D49">
        <w:rPr>
          <w:color w:val="1F4E79"/>
          <w:lang w:val="en-US" w:eastAsia="x-none"/>
        </w:rPr>
        <w:t>Labor Management Procedure</w:t>
      </w:r>
      <w:r w:rsidR="00160717" w:rsidRPr="00ED4D49">
        <w:rPr>
          <w:color w:val="1F4E79"/>
          <w:lang w:val="en-US" w:eastAsia="x-none"/>
        </w:rPr>
        <w:t xml:space="preserve"> (LMP)</w:t>
      </w:r>
      <w:r w:rsidRPr="00ED4D49">
        <w:rPr>
          <w:color w:val="1F4E79"/>
          <w:lang w:val="en-US" w:eastAsia="x-none"/>
        </w:rPr>
        <w:t xml:space="preserve"> </w:t>
      </w:r>
      <w:r w:rsidRPr="00ED4D49">
        <w:rPr>
          <w:lang w:val="en-US" w:eastAsia="x-none"/>
        </w:rPr>
        <w:t xml:space="preserve">has been developed as a separate document and should be </w:t>
      </w:r>
      <w:r w:rsidR="00275D4E" w:rsidRPr="00ED4D49">
        <w:rPr>
          <w:lang w:val="en-US" w:eastAsia="x-none"/>
        </w:rPr>
        <w:t>implemented</w:t>
      </w:r>
      <w:r w:rsidRPr="00ED4D49">
        <w:rPr>
          <w:lang w:val="en-US" w:eastAsia="x-none"/>
        </w:rPr>
        <w:t xml:space="preserve"> </w:t>
      </w:r>
      <w:r w:rsidR="00275D4E" w:rsidRPr="00ED4D49">
        <w:rPr>
          <w:lang w:val="en-US" w:eastAsia="x-none"/>
        </w:rPr>
        <w:t>during the</w:t>
      </w:r>
      <w:r w:rsidRPr="00ED4D49">
        <w:rPr>
          <w:lang w:val="en-US" w:eastAsia="x-none"/>
        </w:rPr>
        <w:t xml:space="preserve"> implementation of all </w:t>
      </w:r>
      <w:r w:rsidR="00BB3655" w:rsidRPr="00ED4D49">
        <w:rPr>
          <w:lang w:val="en-US" w:eastAsia="x-none"/>
        </w:rPr>
        <w:t>subprojects</w:t>
      </w:r>
      <w:r w:rsidRPr="00ED4D49">
        <w:rPr>
          <w:lang w:val="en-US" w:eastAsia="x-none"/>
        </w:rPr>
        <w:t xml:space="preserve"> under this Program.</w:t>
      </w:r>
    </w:p>
    <w:bookmarkEnd w:id="10"/>
    <w:p w14:paraId="05DC30AD" w14:textId="6E637079" w:rsidR="00A422DD" w:rsidRPr="00ED4D49" w:rsidRDefault="00A422DD" w:rsidP="00A422DD">
      <w:pPr>
        <w:jc w:val="both"/>
        <w:rPr>
          <w:color w:val="1F497C"/>
          <w:lang w:val="en-US"/>
        </w:rPr>
      </w:pPr>
      <w:r w:rsidRPr="00ED4D49">
        <w:rPr>
          <w:color w:val="1F497C"/>
          <w:lang w:val="en-US" w:eastAsia="x-none"/>
        </w:rPr>
        <w:t>Monitoring and Reporting</w:t>
      </w:r>
    </w:p>
    <w:p w14:paraId="4F8E66A4" w14:textId="454940BD" w:rsidR="003309A6" w:rsidRPr="00ED4D49" w:rsidRDefault="00B21C87" w:rsidP="003309A6">
      <w:pPr>
        <w:jc w:val="both"/>
        <w:rPr>
          <w:rStyle w:val="tlid-translation"/>
          <w:rFonts w:cs="Calibri"/>
          <w:lang w:val="en-US"/>
        </w:rPr>
      </w:pPr>
      <w:bookmarkStart w:id="11" w:name="_Hlk25258041"/>
      <w:r w:rsidRPr="00ED4D49">
        <w:rPr>
          <w:rStyle w:val="tlid-translation"/>
          <w:rFonts w:cs="Calibri"/>
          <w:lang w:val="en-US"/>
        </w:rPr>
        <w:t xml:space="preserve">The </w:t>
      </w:r>
      <w:r w:rsidR="00A422DD" w:rsidRPr="00ED4D49">
        <w:rPr>
          <w:rStyle w:val="tlid-translation"/>
          <w:rFonts w:cs="Calibri"/>
          <w:lang w:val="en-US"/>
        </w:rPr>
        <w:t xml:space="preserve">PIUs shall monitor </w:t>
      </w:r>
      <w:r w:rsidRPr="00ED4D49">
        <w:rPr>
          <w:rStyle w:val="tlid-translation"/>
          <w:rFonts w:cs="Calibri"/>
          <w:lang w:val="en-US"/>
        </w:rPr>
        <w:t xml:space="preserve">the </w:t>
      </w:r>
      <w:r w:rsidR="00A422DD" w:rsidRPr="00ED4D49">
        <w:rPr>
          <w:rStyle w:val="tlid-translation"/>
          <w:rFonts w:cs="Calibri"/>
          <w:lang w:val="en-US"/>
        </w:rPr>
        <w:t xml:space="preserve">implementation of this Framework, both at overall Program level and individual </w:t>
      </w:r>
      <w:r w:rsidR="00BB3655" w:rsidRPr="00ED4D49">
        <w:rPr>
          <w:rStyle w:val="tlid-translation"/>
          <w:rFonts w:cs="Calibri"/>
          <w:lang w:val="en-US"/>
        </w:rPr>
        <w:t>subproject</w:t>
      </w:r>
      <w:r w:rsidR="00A422DD" w:rsidRPr="00ED4D49">
        <w:rPr>
          <w:rStyle w:val="tlid-translation"/>
          <w:rFonts w:cs="Calibri"/>
          <w:lang w:val="en-US"/>
        </w:rPr>
        <w:t xml:space="preserve"> level.</w:t>
      </w:r>
      <w:r w:rsidR="00160717" w:rsidRPr="00ED4D49">
        <w:rPr>
          <w:rStyle w:val="tlid-translation"/>
          <w:rFonts w:cs="Calibri"/>
          <w:lang w:val="en-US"/>
        </w:rPr>
        <w:t xml:space="preserve"> </w:t>
      </w:r>
      <w:r w:rsidRPr="00ED4D49">
        <w:rPr>
          <w:rStyle w:val="tlid-translation"/>
          <w:rFonts w:cs="Calibri"/>
          <w:lang w:val="en-US"/>
        </w:rPr>
        <w:t xml:space="preserve">The </w:t>
      </w:r>
      <w:r w:rsidR="00160717" w:rsidRPr="00ED4D49">
        <w:rPr>
          <w:rStyle w:val="tlid-translation"/>
          <w:rFonts w:cs="Calibri"/>
          <w:lang w:val="en-US"/>
        </w:rPr>
        <w:t xml:space="preserve">PIUs shall ensure that the requirements </w:t>
      </w:r>
      <w:r w:rsidRPr="00ED4D49">
        <w:rPr>
          <w:rStyle w:val="tlid-translation"/>
          <w:rFonts w:cs="Calibri"/>
          <w:lang w:val="en-US"/>
        </w:rPr>
        <w:t>of</w:t>
      </w:r>
      <w:r w:rsidR="00160717" w:rsidRPr="00ED4D49">
        <w:rPr>
          <w:rStyle w:val="tlid-translation"/>
          <w:rFonts w:cs="Calibri"/>
          <w:lang w:val="en-US"/>
        </w:rPr>
        <w:t xml:space="preserve"> the site-specific ESMPs and environmental permit</w:t>
      </w:r>
      <w:r w:rsidRPr="00ED4D49">
        <w:rPr>
          <w:rStyle w:val="tlid-translation"/>
          <w:rFonts w:cs="Calibri"/>
          <w:lang w:val="en-US"/>
        </w:rPr>
        <w:t>s</w:t>
      </w:r>
      <w:r w:rsidR="00160717" w:rsidRPr="00ED4D49">
        <w:rPr>
          <w:rStyle w:val="tlid-translation"/>
          <w:rFonts w:cs="Calibri"/>
          <w:lang w:val="en-US"/>
        </w:rPr>
        <w:t xml:space="preserve"> are included in employer’s requirement</w:t>
      </w:r>
      <w:r w:rsidRPr="00ED4D49">
        <w:rPr>
          <w:rStyle w:val="tlid-translation"/>
          <w:rFonts w:cs="Calibri"/>
          <w:lang w:val="en-US"/>
        </w:rPr>
        <w:t>s</w:t>
      </w:r>
      <w:r w:rsidR="00160717" w:rsidRPr="00ED4D49">
        <w:rPr>
          <w:rStyle w:val="tlid-translation"/>
          <w:rFonts w:cs="Calibri"/>
          <w:lang w:val="en-US"/>
        </w:rPr>
        <w:t xml:space="preserve">. Within </w:t>
      </w:r>
      <w:r w:rsidRPr="00ED4D49">
        <w:rPr>
          <w:rStyle w:val="tlid-translation"/>
          <w:rFonts w:cs="Calibri"/>
          <w:lang w:val="en-US"/>
        </w:rPr>
        <w:t>their</w:t>
      </w:r>
      <w:r w:rsidR="00160717" w:rsidRPr="00ED4D49">
        <w:rPr>
          <w:rStyle w:val="tlid-translation"/>
          <w:rFonts w:cs="Calibri"/>
          <w:lang w:val="en-US"/>
        </w:rPr>
        <w:t xml:space="preserve"> usual monitoring activities, </w:t>
      </w:r>
      <w:r w:rsidRPr="00ED4D49">
        <w:rPr>
          <w:rStyle w:val="tlid-translation"/>
          <w:rFonts w:cs="Calibri"/>
          <w:lang w:val="en-US"/>
        </w:rPr>
        <w:t xml:space="preserve">the </w:t>
      </w:r>
      <w:r w:rsidR="00160717" w:rsidRPr="00ED4D49">
        <w:rPr>
          <w:rStyle w:val="tlid-translation"/>
          <w:rFonts w:cs="Calibri"/>
          <w:lang w:val="en-US"/>
        </w:rPr>
        <w:t xml:space="preserve">PIUs shall perform monitoring (including on-site monitoring, as needed) to ensure that Contractors comply with their contractual obligations. </w:t>
      </w:r>
      <w:r w:rsidRPr="00ED4D49">
        <w:rPr>
          <w:rStyle w:val="tlid-translation"/>
          <w:rFonts w:cs="Calibri"/>
          <w:lang w:val="en-US"/>
        </w:rPr>
        <w:t xml:space="preserve">The </w:t>
      </w:r>
      <w:r w:rsidR="00160717" w:rsidRPr="00ED4D49">
        <w:rPr>
          <w:rStyle w:val="tlid-translation"/>
          <w:rFonts w:cs="Calibri"/>
          <w:lang w:val="en-US"/>
        </w:rPr>
        <w:t xml:space="preserve">PIUs shall establish and maintain records on </w:t>
      </w:r>
      <w:r w:rsidRPr="00ED4D49">
        <w:rPr>
          <w:rStyle w:val="tlid-translation"/>
          <w:rFonts w:cs="Calibri"/>
          <w:lang w:val="en-US"/>
        </w:rPr>
        <w:t xml:space="preserve">dissemination of </w:t>
      </w:r>
      <w:r w:rsidR="00160717" w:rsidRPr="00ED4D49">
        <w:rPr>
          <w:rStyle w:val="tlid-translation"/>
          <w:rFonts w:cs="Calibri"/>
          <w:lang w:val="en-US"/>
        </w:rPr>
        <w:t>information and engagement of all stakeholders in accordance with the SEP.</w:t>
      </w:r>
    </w:p>
    <w:p w14:paraId="5B8B2817" w14:textId="157687EA" w:rsidR="00160717" w:rsidRPr="00ED4D49" w:rsidRDefault="00160717" w:rsidP="003309A6">
      <w:pPr>
        <w:jc w:val="both"/>
        <w:rPr>
          <w:lang w:val="en-US" w:eastAsia="x-none"/>
        </w:rPr>
      </w:pPr>
      <w:r w:rsidRPr="00ED4D49">
        <w:rPr>
          <w:lang w:val="en-US"/>
        </w:rPr>
        <w:t xml:space="preserve">It is the responsibility of the Contractor to ensure the proper execution of works and labor management compliance, according to measures </w:t>
      </w:r>
      <w:r w:rsidR="000C5CAF" w:rsidRPr="00ED4D49">
        <w:rPr>
          <w:lang w:val="en-US"/>
        </w:rPr>
        <w:t xml:space="preserve">prescribed </w:t>
      </w:r>
      <w:r w:rsidRPr="00ED4D49">
        <w:rPr>
          <w:lang w:val="en-US"/>
        </w:rPr>
        <w:t xml:space="preserve">in this Framework and </w:t>
      </w:r>
      <w:r w:rsidR="000C5CAF" w:rsidRPr="00ED4D49">
        <w:rPr>
          <w:rStyle w:val="tlid-translation"/>
          <w:rFonts w:cs="Calibri"/>
          <w:lang w:val="en-US"/>
        </w:rPr>
        <w:t xml:space="preserve">the </w:t>
      </w:r>
      <w:r w:rsidRPr="00ED4D49">
        <w:rPr>
          <w:lang w:val="en-US"/>
        </w:rPr>
        <w:t>LMP</w:t>
      </w:r>
      <w:r w:rsidR="000C5CAF" w:rsidRPr="00ED4D49">
        <w:rPr>
          <w:lang w:val="en-US"/>
        </w:rPr>
        <w:t>,</w:t>
      </w:r>
      <w:r w:rsidRPr="00ED4D49">
        <w:rPr>
          <w:lang w:val="en-US"/>
        </w:rPr>
        <w:t xml:space="preserve"> and in line with national and international standards.</w:t>
      </w:r>
    </w:p>
    <w:p w14:paraId="5FC581F5" w14:textId="0E7AEECD" w:rsidR="00160717" w:rsidRPr="00ED4D49" w:rsidRDefault="000C5CAF" w:rsidP="00160717">
      <w:pPr>
        <w:jc w:val="both"/>
        <w:rPr>
          <w:rStyle w:val="tlid-translation"/>
          <w:rFonts w:cs="Calibri"/>
          <w:lang w:val="en-US"/>
        </w:rPr>
      </w:pPr>
      <w:r w:rsidRPr="00ED4D49">
        <w:rPr>
          <w:rStyle w:val="tlid-translation"/>
          <w:rFonts w:cs="Calibri"/>
          <w:lang w:val="en-US"/>
        </w:rPr>
        <w:t xml:space="preserve">The </w:t>
      </w:r>
      <w:r w:rsidR="00160717" w:rsidRPr="00ED4D49">
        <w:rPr>
          <w:rStyle w:val="tlid-translation"/>
          <w:rFonts w:cs="Calibri"/>
          <w:lang w:val="en-US"/>
        </w:rPr>
        <w:t xml:space="preserve">PIUs </w:t>
      </w:r>
      <w:r w:rsidRPr="00ED4D49">
        <w:rPr>
          <w:rStyle w:val="tlid-translation"/>
          <w:rFonts w:cs="Calibri"/>
          <w:lang w:val="en-US"/>
        </w:rPr>
        <w:t>will</w:t>
      </w:r>
      <w:r w:rsidR="00160717" w:rsidRPr="00ED4D49">
        <w:rPr>
          <w:rStyle w:val="tlid-translation"/>
          <w:rFonts w:cs="Calibri"/>
          <w:lang w:val="en-US"/>
        </w:rPr>
        <w:t xml:space="preserve"> report on</w:t>
      </w:r>
      <w:r w:rsidRPr="00ED4D49">
        <w:rPr>
          <w:rStyle w:val="tlid-translation"/>
          <w:rFonts w:cs="Calibri"/>
          <w:lang w:val="en-US"/>
        </w:rPr>
        <w:t xml:space="preserve"> a</w:t>
      </w:r>
      <w:r w:rsidR="00160717" w:rsidRPr="00ED4D49">
        <w:rPr>
          <w:rStyle w:val="tlid-translation"/>
          <w:rFonts w:cs="Calibri"/>
          <w:lang w:val="en-US"/>
        </w:rPr>
        <w:t xml:space="preserve"> regular basis to </w:t>
      </w:r>
      <w:r w:rsidRPr="00ED4D49">
        <w:rPr>
          <w:rStyle w:val="tlid-translation"/>
          <w:rFonts w:cs="Calibri"/>
          <w:lang w:val="en-US"/>
        </w:rPr>
        <w:t>WB</w:t>
      </w:r>
      <w:r w:rsidR="00160717" w:rsidRPr="00ED4D49">
        <w:rPr>
          <w:rStyle w:val="tlid-translation"/>
          <w:rFonts w:cs="Calibri"/>
          <w:lang w:val="en-US"/>
        </w:rPr>
        <w:t xml:space="preserve"> on </w:t>
      </w:r>
      <w:r w:rsidR="00BB3655" w:rsidRPr="00ED4D49">
        <w:rPr>
          <w:rStyle w:val="tlid-translation"/>
          <w:rFonts w:cs="Calibri"/>
          <w:lang w:val="en-US"/>
        </w:rPr>
        <w:t>subproject</w:t>
      </w:r>
      <w:r w:rsidR="00160717" w:rsidRPr="00ED4D49">
        <w:rPr>
          <w:rStyle w:val="tlid-translation"/>
          <w:rFonts w:cs="Calibri"/>
          <w:lang w:val="en-US"/>
        </w:rPr>
        <w:t xml:space="preserve"> screening, approval and monitoring results.</w:t>
      </w:r>
    </w:p>
    <w:p w14:paraId="1D520826" w14:textId="0444E7E6" w:rsidR="008E40A2" w:rsidRPr="00ED4D49" w:rsidRDefault="008E40A2" w:rsidP="00160717">
      <w:pPr>
        <w:jc w:val="both"/>
        <w:rPr>
          <w:color w:val="1F497C"/>
          <w:lang w:val="en-US" w:eastAsia="x-none"/>
        </w:rPr>
      </w:pPr>
      <w:r w:rsidRPr="00ED4D49">
        <w:rPr>
          <w:color w:val="1F497C"/>
          <w:lang w:val="en-US" w:eastAsia="x-none"/>
        </w:rPr>
        <w:t>Demining</w:t>
      </w:r>
      <w:r w:rsidR="004C3C6A" w:rsidRPr="00ED4D49">
        <w:rPr>
          <w:color w:val="1F497C"/>
          <w:lang w:val="en-US" w:eastAsia="x-none"/>
        </w:rPr>
        <w:t xml:space="preserve"> of the right bank of the </w:t>
      </w:r>
      <w:proofErr w:type="gramStart"/>
      <w:r w:rsidR="004C3C6A" w:rsidRPr="00ED4D49">
        <w:rPr>
          <w:color w:val="1F497C"/>
          <w:lang w:val="en-US" w:eastAsia="x-none"/>
        </w:rPr>
        <w:t>Sava river</w:t>
      </w:r>
      <w:proofErr w:type="gramEnd"/>
    </w:p>
    <w:p w14:paraId="28DBF6FA" w14:textId="3E838336" w:rsidR="004C3C6A" w:rsidRPr="00ED4D49" w:rsidRDefault="004C3C6A" w:rsidP="004C3C6A">
      <w:pPr>
        <w:jc w:val="both"/>
        <w:rPr>
          <w:lang w:val="en-US" w:eastAsia="x-none"/>
        </w:rPr>
      </w:pPr>
      <w:r w:rsidRPr="00ED4D49">
        <w:rPr>
          <w:lang w:val="en-US" w:eastAsia="x-none"/>
        </w:rPr>
        <w:t>The demining works in the right bank of the Sava will be conducted following BHMAC’s IMAS-based SOPs. During SDIP implementation, and upon confirmation of grant financing, a Site-specific Environmental and Social Management Plan (ESMP) will be developed to complement and further inform the way demining activities will be conducted. This ESMP will be consulted publicly and disclosed prior to the commencement of civil works, and in a manner consistent with SOP and IMAS principles.</w:t>
      </w:r>
    </w:p>
    <w:p w14:paraId="3FC45373" w14:textId="019AC479" w:rsidR="00A05261" w:rsidRPr="00ED4D49" w:rsidRDefault="00A05261" w:rsidP="00A05261">
      <w:pPr>
        <w:jc w:val="both"/>
        <w:rPr>
          <w:color w:val="1F497C"/>
          <w:lang w:val="en-US" w:eastAsia="x-none"/>
        </w:rPr>
      </w:pPr>
      <w:r w:rsidRPr="00ED4D49">
        <w:rPr>
          <w:color w:val="1F497C"/>
          <w:lang w:val="en-US" w:eastAsia="x-none"/>
        </w:rPr>
        <w:t>Public consultations process</w:t>
      </w:r>
    </w:p>
    <w:p w14:paraId="73A0AE63" w14:textId="526121A9" w:rsidR="006F6F8A" w:rsidRPr="00ED4D49" w:rsidRDefault="006F6F8A" w:rsidP="006F6F8A">
      <w:pPr>
        <w:widowControl w:val="0"/>
        <w:jc w:val="both"/>
        <w:rPr>
          <w:rFonts w:cs="Calibri"/>
          <w:szCs w:val="20"/>
          <w:lang w:val="en-US"/>
        </w:rPr>
      </w:pPr>
      <w:r w:rsidRPr="00ED4D49">
        <w:rPr>
          <w:rFonts w:cs="Calibri"/>
          <w:szCs w:val="20"/>
          <w:lang w:val="en-US"/>
        </w:rPr>
        <w:t xml:space="preserve">This ESMF has been finalized and disclosed for consultations in December 2019, on the website of the </w:t>
      </w:r>
      <w:r w:rsidR="00494E15" w:rsidRPr="00ED4D49">
        <w:rPr>
          <w:lang w:val="en-US" w:eastAsia="x-none"/>
        </w:rPr>
        <w:t xml:space="preserve">Ministry of Agriculture and Rural Development of </w:t>
      </w:r>
      <w:proofErr w:type="spellStart"/>
      <w:r w:rsidR="00494E15" w:rsidRPr="00ED4D49">
        <w:rPr>
          <w:lang w:val="en-US" w:eastAsia="x-none"/>
        </w:rPr>
        <w:t>Republika</w:t>
      </w:r>
      <w:proofErr w:type="spellEnd"/>
      <w:r w:rsidR="00494E15" w:rsidRPr="00ED4D49">
        <w:rPr>
          <w:lang w:val="en-US" w:eastAsia="x-none"/>
        </w:rPr>
        <w:t xml:space="preserve"> Srpska. The ESMF has been revised in July 2022 to include updated details on the scope of project-financed works in District of Brcko and Federation BiH. The ESMF </w:t>
      </w:r>
      <w:r w:rsidR="00575F56" w:rsidRPr="00ED4D49">
        <w:rPr>
          <w:lang w:val="en-US" w:eastAsia="x-none"/>
        </w:rPr>
        <w:t>has been</w:t>
      </w:r>
      <w:r w:rsidR="00494E15" w:rsidRPr="00ED4D49">
        <w:rPr>
          <w:lang w:val="en-US" w:eastAsia="x-none"/>
        </w:rPr>
        <w:t xml:space="preserve"> re-disclosed in FBIH and DB </w:t>
      </w:r>
      <w:r w:rsidR="00575F56" w:rsidRPr="00ED4D49">
        <w:rPr>
          <w:lang w:val="en-US" w:eastAsia="x-none"/>
        </w:rPr>
        <w:t xml:space="preserve">in March 2023, </w:t>
      </w:r>
      <w:r w:rsidR="00494E15" w:rsidRPr="00ED4D49">
        <w:rPr>
          <w:lang w:val="en-US" w:eastAsia="x-none"/>
        </w:rPr>
        <w:t>and updated with the findings and conclusions from these consultations. The consultations process is being carried out fully in line with t</w:t>
      </w:r>
      <w:r w:rsidRPr="00ED4D49">
        <w:rPr>
          <w:rFonts w:cs="Calibri"/>
          <w:szCs w:val="20"/>
          <w:lang w:val="en-US"/>
        </w:rPr>
        <w:t xml:space="preserve">he WB standard on </w:t>
      </w:r>
      <w:r w:rsidRPr="00ED4D49">
        <w:rPr>
          <w:rFonts w:cs="Calibri"/>
          <w:color w:val="1F4E79"/>
          <w:szCs w:val="20"/>
          <w:lang w:val="en-US"/>
        </w:rPr>
        <w:t xml:space="preserve">Stakeholder </w:t>
      </w:r>
      <w:r w:rsidRPr="00ED4D49">
        <w:rPr>
          <w:rFonts w:cs="Calibri"/>
          <w:color w:val="1F4E79"/>
          <w:szCs w:val="20"/>
          <w:lang w:val="en-US"/>
        </w:rPr>
        <w:lastRenderedPageBreak/>
        <w:t xml:space="preserve">Engagement and Information Disclosure 10 </w:t>
      </w:r>
      <w:r w:rsidRPr="00ED4D49">
        <w:rPr>
          <w:rFonts w:cs="Calibri"/>
          <w:szCs w:val="20"/>
          <w:lang w:val="en-US"/>
        </w:rPr>
        <w:t>(“</w:t>
      </w:r>
      <w:r w:rsidRPr="00ED4D49">
        <w:rPr>
          <w:rFonts w:cs="Calibri"/>
          <w:color w:val="1F4E79"/>
          <w:szCs w:val="20"/>
          <w:lang w:val="en-US"/>
        </w:rPr>
        <w:t>ESS10</w:t>
      </w:r>
      <w:r w:rsidRPr="00ED4D49">
        <w:rPr>
          <w:rFonts w:cs="Calibri"/>
          <w:szCs w:val="20"/>
          <w:lang w:val="en-US"/>
        </w:rPr>
        <w:t>“) recognizes the importance of open and transparent engagement between the Borrower and project stakeholders as an essential element of good international practice. Effective stakeholder engagement can improve the E&amp;S sustainability of projects, enhance project acceptance, and make a significant contribution to successful project design and implementation.</w:t>
      </w:r>
      <w:r w:rsidR="00063272" w:rsidRPr="00ED4D49">
        <w:rPr>
          <w:rFonts w:cs="Calibri"/>
          <w:szCs w:val="20"/>
          <w:lang w:val="en-US"/>
        </w:rPr>
        <w:t xml:space="preserve"> The provisions of ESS10 are also included in the Stakeholder Engagement Plan that has been prepared specifically for this Project and as part of the package of documents that include this ESMF. </w:t>
      </w:r>
    </w:p>
    <w:p w14:paraId="1BACDA77" w14:textId="77777777" w:rsidR="007E7168" w:rsidRPr="00ED4D49" w:rsidRDefault="007E7168" w:rsidP="006F6F8A">
      <w:pPr>
        <w:widowControl w:val="0"/>
        <w:jc w:val="both"/>
        <w:rPr>
          <w:rFonts w:cs="Calibri"/>
          <w:szCs w:val="20"/>
          <w:lang w:val="en-US"/>
        </w:rPr>
      </w:pPr>
    </w:p>
    <w:p w14:paraId="2DB4A739" w14:textId="77777777" w:rsidR="007E7168" w:rsidRPr="00ED4D49" w:rsidRDefault="007E7168" w:rsidP="006F6F8A">
      <w:pPr>
        <w:widowControl w:val="0"/>
        <w:jc w:val="both"/>
        <w:rPr>
          <w:rFonts w:cs="Calibri"/>
          <w:szCs w:val="20"/>
          <w:lang w:val="en-US"/>
        </w:rPr>
      </w:pPr>
    </w:p>
    <w:p w14:paraId="067FF1F4" w14:textId="77777777" w:rsidR="007E7168" w:rsidRPr="00ED4D49" w:rsidRDefault="007E7168" w:rsidP="006F6F8A">
      <w:pPr>
        <w:widowControl w:val="0"/>
        <w:jc w:val="both"/>
        <w:rPr>
          <w:rFonts w:cs="Calibri"/>
          <w:szCs w:val="20"/>
          <w:lang w:val="en-US"/>
        </w:rPr>
      </w:pPr>
    </w:p>
    <w:p w14:paraId="7571D29D" w14:textId="77777777" w:rsidR="007E7168" w:rsidRPr="00ED4D49" w:rsidRDefault="007E7168" w:rsidP="006F6F8A">
      <w:pPr>
        <w:widowControl w:val="0"/>
        <w:jc w:val="both"/>
        <w:rPr>
          <w:rFonts w:cs="Calibri"/>
          <w:szCs w:val="20"/>
          <w:lang w:val="en-US"/>
        </w:rPr>
      </w:pPr>
    </w:p>
    <w:p w14:paraId="2AA9BAFC" w14:textId="77777777" w:rsidR="007E7168" w:rsidRPr="00ED4D49" w:rsidRDefault="007E7168" w:rsidP="006F6F8A">
      <w:pPr>
        <w:widowControl w:val="0"/>
        <w:jc w:val="both"/>
        <w:rPr>
          <w:rFonts w:cs="Calibri"/>
          <w:szCs w:val="20"/>
          <w:lang w:val="en-US"/>
        </w:rPr>
      </w:pPr>
    </w:p>
    <w:p w14:paraId="4C772964" w14:textId="77777777" w:rsidR="007E7168" w:rsidRPr="00ED4D49" w:rsidRDefault="007E7168" w:rsidP="006F6F8A">
      <w:pPr>
        <w:widowControl w:val="0"/>
        <w:jc w:val="both"/>
        <w:rPr>
          <w:rFonts w:cs="Calibri"/>
          <w:szCs w:val="20"/>
          <w:lang w:val="en-US"/>
        </w:rPr>
      </w:pPr>
    </w:p>
    <w:p w14:paraId="127BC4FC" w14:textId="77777777" w:rsidR="007E7168" w:rsidRPr="00ED4D49" w:rsidRDefault="007E7168" w:rsidP="006F6F8A">
      <w:pPr>
        <w:widowControl w:val="0"/>
        <w:jc w:val="both"/>
        <w:rPr>
          <w:rFonts w:cs="Calibri"/>
          <w:szCs w:val="20"/>
          <w:lang w:val="en-US"/>
        </w:rPr>
      </w:pPr>
    </w:p>
    <w:p w14:paraId="3140C15A" w14:textId="77777777" w:rsidR="007E7168" w:rsidRPr="00ED4D49" w:rsidRDefault="007E7168" w:rsidP="006F6F8A">
      <w:pPr>
        <w:widowControl w:val="0"/>
        <w:jc w:val="both"/>
        <w:rPr>
          <w:rFonts w:cs="Calibri"/>
          <w:szCs w:val="20"/>
          <w:lang w:val="en-US"/>
        </w:rPr>
      </w:pPr>
    </w:p>
    <w:p w14:paraId="1C467051" w14:textId="77777777" w:rsidR="007E7168" w:rsidRPr="00ED4D49" w:rsidRDefault="007E7168" w:rsidP="006F6F8A">
      <w:pPr>
        <w:widowControl w:val="0"/>
        <w:jc w:val="both"/>
        <w:rPr>
          <w:rFonts w:cs="Calibri"/>
          <w:szCs w:val="20"/>
          <w:lang w:val="en-US"/>
        </w:rPr>
      </w:pPr>
    </w:p>
    <w:p w14:paraId="554F8600" w14:textId="77777777" w:rsidR="007E7168" w:rsidRPr="00ED4D49" w:rsidRDefault="007E7168" w:rsidP="006F6F8A">
      <w:pPr>
        <w:widowControl w:val="0"/>
        <w:jc w:val="both"/>
        <w:rPr>
          <w:rFonts w:cs="Calibri"/>
          <w:szCs w:val="20"/>
          <w:lang w:val="en-US"/>
        </w:rPr>
      </w:pPr>
    </w:p>
    <w:p w14:paraId="66D49F24" w14:textId="77777777" w:rsidR="007E7168" w:rsidRPr="00ED4D49" w:rsidRDefault="007E7168" w:rsidP="006F6F8A">
      <w:pPr>
        <w:widowControl w:val="0"/>
        <w:jc w:val="both"/>
        <w:rPr>
          <w:rFonts w:cs="Calibri"/>
          <w:szCs w:val="20"/>
          <w:lang w:val="en-US"/>
        </w:rPr>
      </w:pPr>
    </w:p>
    <w:p w14:paraId="05EA0C90" w14:textId="77777777" w:rsidR="007E7168" w:rsidRPr="00ED4D49" w:rsidRDefault="007E7168" w:rsidP="006F6F8A">
      <w:pPr>
        <w:widowControl w:val="0"/>
        <w:jc w:val="both"/>
        <w:rPr>
          <w:rFonts w:cs="Calibri"/>
          <w:szCs w:val="20"/>
          <w:lang w:val="en-US"/>
        </w:rPr>
      </w:pPr>
    </w:p>
    <w:p w14:paraId="7EF093AD" w14:textId="77777777" w:rsidR="007E7168" w:rsidRPr="00ED4D49" w:rsidRDefault="007E7168" w:rsidP="006F6F8A">
      <w:pPr>
        <w:widowControl w:val="0"/>
        <w:jc w:val="both"/>
        <w:rPr>
          <w:rFonts w:cs="Calibri"/>
          <w:szCs w:val="20"/>
          <w:lang w:val="en-US"/>
        </w:rPr>
      </w:pPr>
    </w:p>
    <w:p w14:paraId="6E5E49DB" w14:textId="77777777" w:rsidR="007E7168" w:rsidRPr="00ED4D49" w:rsidRDefault="007E7168" w:rsidP="006F6F8A">
      <w:pPr>
        <w:widowControl w:val="0"/>
        <w:jc w:val="both"/>
        <w:rPr>
          <w:rFonts w:cs="Calibri"/>
          <w:szCs w:val="20"/>
          <w:lang w:val="en-US"/>
        </w:rPr>
      </w:pPr>
    </w:p>
    <w:p w14:paraId="32445A0F" w14:textId="77777777" w:rsidR="007E7168" w:rsidRPr="00ED4D49" w:rsidRDefault="007E7168" w:rsidP="006F6F8A">
      <w:pPr>
        <w:widowControl w:val="0"/>
        <w:jc w:val="both"/>
        <w:rPr>
          <w:rFonts w:cs="Calibri"/>
          <w:szCs w:val="20"/>
          <w:lang w:val="en-US"/>
        </w:rPr>
      </w:pPr>
    </w:p>
    <w:p w14:paraId="033FC2E6" w14:textId="77777777" w:rsidR="007E7168" w:rsidRPr="00ED4D49" w:rsidRDefault="007E7168" w:rsidP="006F6F8A">
      <w:pPr>
        <w:widowControl w:val="0"/>
        <w:jc w:val="both"/>
        <w:rPr>
          <w:rFonts w:cs="Calibri"/>
          <w:szCs w:val="20"/>
          <w:lang w:val="en-US"/>
        </w:rPr>
      </w:pPr>
    </w:p>
    <w:p w14:paraId="4024B60A" w14:textId="77777777" w:rsidR="007E7168" w:rsidRPr="00ED4D49" w:rsidRDefault="007E7168" w:rsidP="006F6F8A">
      <w:pPr>
        <w:widowControl w:val="0"/>
        <w:jc w:val="both"/>
        <w:rPr>
          <w:rFonts w:cs="Calibri"/>
          <w:szCs w:val="20"/>
          <w:lang w:val="en-US"/>
        </w:rPr>
      </w:pPr>
    </w:p>
    <w:p w14:paraId="5B687839" w14:textId="77777777" w:rsidR="007E7168" w:rsidRPr="00ED4D49" w:rsidRDefault="007E7168" w:rsidP="006F6F8A">
      <w:pPr>
        <w:widowControl w:val="0"/>
        <w:jc w:val="both"/>
        <w:rPr>
          <w:rFonts w:cs="Calibri"/>
          <w:szCs w:val="20"/>
          <w:lang w:val="en-US"/>
        </w:rPr>
      </w:pPr>
    </w:p>
    <w:p w14:paraId="40B5376D" w14:textId="77777777" w:rsidR="007E7168" w:rsidRPr="00ED4D49" w:rsidRDefault="007E7168" w:rsidP="006F6F8A">
      <w:pPr>
        <w:widowControl w:val="0"/>
        <w:jc w:val="both"/>
        <w:rPr>
          <w:rFonts w:cs="Calibri"/>
          <w:szCs w:val="20"/>
          <w:lang w:val="en-US"/>
        </w:rPr>
      </w:pPr>
    </w:p>
    <w:p w14:paraId="031C1F6D" w14:textId="77777777" w:rsidR="007E7168" w:rsidRPr="00ED4D49" w:rsidRDefault="007E7168" w:rsidP="006F6F8A">
      <w:pPr>
        <w:widowControl w:val="0"/>
        <w:jc w:val="both"/>
        <w:rPr>
          <w:rFonts w:cs="Calibri"/>
          <w:szCs w:val="20"/>
          <w:lang w:val="en-US"/>
        </w:rPr>
      </w:pPr>
    </w:p>
    <w:p w14:paraId="68EE4F5E" w14:textId="77777777" w:rsidR="007E7168" w:rsidRPr="00ED4D49" w:rsidRDefault="007E7168" w:rsidP="006F6F8A">
      <w:pPr>
        <w:widowControl w:val="0"/>
        <w:jc w:val="both"/>
        <w:rPr>
          <w:rFonts w:cs="Calibri"/>
          <w:szCs w:val="20"/>
          <w:lang w:val="en-US"/>
        </w:rPr>
      </w:pPr>
    </w:p>
    <w:p w14:paraId="1967C0E4" w14:textId="77777777" w:rsidR="007E7168" w:rsidRPr="00ED4D49" w:rsidRDefault="007E7168" w:rsidP="006F6F8A">
      <w:pPr>
        <w:widowControl w:val="0"/>
        <w:jc w:val="both"/>
        <w:rPr>
          <w:rFonts w:cs="Calibri"/>
          <w:szCs w:val="20"/>
          <w:lang w:val="en-US"/>
        </w:rPr>
      </w:pPr>
    </w:p>
    <w:p w14:paraId="3C5F98FC" w14:textId="77777777" w:rsidR="007E7168" w:rsidRPr="00ED4D49" w:rsidRDefault="007E7168" w:rsidP="006F6F8A">
      <w:pPr>
        <w:widowControl w:val="0"/>
        <w:jc w:val="both"/>
        <w:rPr>
          <w:rFonts w:cs="Calibri"/>
          <w:szCs w:val="20"/>
          <w:lang w:val="en-US"/>
        </w:rPr>
      </w:pPr>
    </w:p>
    <w:p w14:paraId="3A7CD131" w14:textId="77777777" w:rsidR="007E7168" w:rsidRPr="00ED4D49" w:rsidRDefault="007E7168" w:rsidP="006F6F8A">
      <w:pPr>
        <w:widowControl w:val="0"/>
        <w:jc w:val="both"/>
        <w:rPr>
          <w:rFonts w:cs="Calibri"/>
          <w:szCs w:val="20"/>
          <w:lang w:val="en-US"/>
        </w:rPr>
      </w:pPr>
    </w:p>
    <w:p w14:paraId="61720FE1" w14:textId="77777777" w:rsidR="007E7168" w:rsidRPr="00ED4D49" w:rsidRDefault="007E7168" w:rsidP="006F6F8A">
      <w:pPr>
        <w:widowControl w:val="0"/>
        <w:jc w:val="both"/>
        <w:rPr>
          <w:rFonts w:cs="Calibri"/>
          <w:szCs w:val="20"/>
          <w:lang w:val="en-US"/>
        </w:rPr>
      </w:pPr>
    </w:p>
    <w:p w14:paraId="331A3726" w14:textId="22053011" w:rsidR="00747347" w:rsidRPr="00ED4D49" w:rsidRDefault="00F57E67" w:rsidP="00460020">
      <w:pPr>
        <w:pStyle w:val="Heading1"/>
        <w:shd w:val="clear" w:color="auto" w:fill="F2F2F2"/>
        <w:spacing w:before="0"/>
        <w:rPr>
          <w:rFonts w:cs="Calibri"/>
          <w:lang w:val="en-US"/>
        </w:rPr>
      </w:pPr>
      <w:bookmarkStart w:id="12" w:name="_Toc31811043"/>
      <w:bookmarkEnd w:id="11"/>
      <w:r w:rsidRPr="00ED4D49">
        <w:rPr>
          <w:rFonts w:cs="Calibri"/>
          <w:lang w:val="en-US"/>
        </w:rPr>
        <w:lastRenderedPageBreak/>
        <w:t>INTRODUCTION</w:t>
      </w:r>
      <w:bookmarkEnd w:id="1"/>
      <w:bookmarkEnd w:id="12"/>
    </w:p>
    <w:p w14:paraId="64088905" w14:textId="26E4E833" w:rsidR="008700A3" w:rsidRPr="00ED4D49" w:rsidRDefault="00DA00BD" w:rsidP="0063606C">
      <w:pPr>
        <w:pStyle w:val="Heading2"/>
      </w:pPr>
      <w:bookmarkStart w:id="13" w:name="_Toc438547143"/>
      <w:bookmarkStart w:id="14" w:name="_Toc31811044"/>
      <w:bookmarkStart w:id="15" w:name="_Hlk25258072"/>
      <w:bookmarkStart w:id="16" w:name="_Toc438547145"/>
      <w:r w:rsidRPr="00ED4D49">
        <w:t>Brief</w:t>
      </w:r>
      <w:r w:rsidR="008700A3" w:rsidRPr="00ED4D49">
        <w:t xml:space="preserve"> </w:t>
      </w:r>
      <w:r w:rsidRPr="00ED4D49">
        <w:t xml:space="preserve">Project </w:t>
      </w:r>
      <w:bookmarkEnd w:id="13"/>
      <w:r w:rsidRPr="00ED4D49">
        <w:t>Description</w:t>
      </w:r>
      <w:bookmarkEnd w:id="14"/>
    </w:p>
    <w:p w14:paraId="15A2F5D2" w14:textId="290856E1" w:rsidR="00B0209B" w:rsidRPr="00ED4D49" w:rsidRDefault="00AA0164" w:rsidP="0023292C">
      <w:pPr>
        <w:pStyle w:val="Heading3"/>
      </w:pPr>
      <w:bookmarkStart w:id="17" w:name="_Toc31811045"/>
      <w:r w:rsidRPr="00ED4D49">
        <w:t>O</w:t>
      </w:r>
      <w:r w:rsidR="00B31964" w:rsidRPr="00ED4D49">
        <w:t>bjective</w:t>
      </w:r>
      <w:r w:rsidR="0009258B" w:rsidRPr="00ED4D49">
        <w:t>s</w:t>
      </w:r>
      <w:bookmarkEnd w:id="17"/>
    </w:p>
    <w:p w14:paraId="41D6CE63" w14:textId="3E5145FF" w:rsidR="0009258B" w:rsidRPr="00ED4D49" w:rsidRDefault="0009258B" w:rsidP="0009258B">
      <w:pPr>
        <w:jc w:val="both"/>
        <w:rPr>
          <w:lang w:val="en-US" w:eastAsia="x-none"/>
        </w:rPr>
      </w:pPr>
      <w:r w:rsidRPr="00ED4D49">
        <w:rPr>
          <w:b/>
          <w:lang w:val="en-US"/>
        </w:rPr>
        <w:t>The Higher-level Objective</w:t>
      </w:r>
      <w:r w:rsidRPr="00ED4D49">
        <w:rPr>
          <w:bCs/>
          <w:lang w:val="en-US"/>
        </w:rPr>
        <w:t xml:space="preserve"> of the Sava</w:t>
      </w:r>
      <w:r w:rsidR="00A05261" w:rsidRPr="00ED4D49">
        <w:rPr>
          <w:bCs/>
          <w:lang w:val="en-US"/>
        </w:rPr>
        <w:t xml:space="preserve"> and </w:t>
      </w:r>
      <w:r w:rsidRPr="00ED4D49">
        <w:rPr>
          <w:bCs/>
          <w:lang w:val="en-US"/>
        </w:rPr>
        <w:t>Drina River</w:t>
      </w:r>
      <w:r w:rsidR="00A05261" w:rsidRPr="00ED4D49">
        <w:rPr>
          <w:bCs/>
          <w:lang w:val="en-US"/>
        </w:rPr>
        <w:t>s</w:t>
      </w:r>
      <w:r w:rsidRPr="00ED4D49">
        <w:rPr>
          <w:bCs/>
          <w:lang w:val="en-US"/>
        </w:rPr>
        <w:t xml:space="preserve"> Corridor</w:t>
      </w:r>
      <w:r w:rsidR="00A05261" w:rsidRPr="00ED4D49">
        <w:rPr>
          <w:bCs/>
          <w:lang w:val="en-US"/>
        </w:rPr>
        <w:t>s</w:t>
      </w:r>
      <w:r w:rsidRPr="00ED4D49">
        <w:rPr>
          <w:bCs/>
          <w:lang w:val="en-US"/>
        </w:rPr>
        <w:t xml:space="preserve"> Integrated Development Program </w:t>
      </w:r>
      <w:r w:rsidR="00AA0164" w:rsidRPr="00ED4D49">
        <w:rPr>
          <w:bCs/>
          <w:lang w:val="en-US"/>
        </w:rPr>
        <w:t xml:space="preserve">(SDIP) </w:t>
      </w:r>
      <w:r w:rsidRPr="00ED4D49">
        <w:rPr>
          <w:bCs/>
          <w:lang w:val="en-US"/>
        </w:rPr>
        <w:t xml:space="preserve">is to </w:t>
      </w:r>
      <w:r w:rsidR="00A8306A" w:rsidRPr="00ED4D49">
        <w:rPr>
          <w:bCs/>
          <w:lang w:val="en-US"/>
        </w:rPr>
        <w:t>strengthen transboundary water cooperation and improve navigability and flood protection in the Sava and Drina Rivers Corridors</w:t>
      </w:r>
      <w:r w:rsidRPr="00ED4D49">
        <w:rPr>
          <w:bCs/>
          <w:lang w:val="en-US"/>
        </w:rPr>
        <w:t>.</w:t>
      </w:r>
    </w:p>
    <w:p w14:paraId="26268165" w14:textId="7A9C1A58" w:rsidR="00B31964" w:rsidRPr="00ED4D49" w:rsidRDefault="00B31964" w:rsidP="00B31964">
      <w:pPr>
        <w:jc w:val="both"/>
        <w:rPr>
          <w:lang w:val="en-US"/>
        </w:rPr>
      </w:pPr>
      <w:r w:rsidRPr="00ED4D49">
        <w:rPr>
          <w:b/>
          <w:bCs/>
          <w:lang w:val="en-US"/>
        </w:rPr>
        <w:t>The Development Objective</w:t>
      </w:r>
      <w:r w:rsidRPr="00ED4D49">
        <w:rPr>
          <w:lang w:val="en-US"/>
        </w:rPr>
        <w:t xml:space="preserve"> of the </w:t>
      </w:r>
      <w:r w:rsidR="00AA0164" w:rsidRPr="00ED4D49">
        <w:rPr>
          <w:lang w:val="en-US"/>
        </w:rPr>
        <w:t>SDIP</w:t>
      </w:r>
      <w:r w:rsidRPr="00ED4D49">
        <w:rPr>
          <w:lang w:val="en-US"/>
        </w:rPr>
        <w:t xml:space="preserve"> (Phase </w:t>
      </w:r>
      <w:r w:rsidR="007B2B4B" w:rsidRPr="00ED4D49">
        <w:rPr>
          <w:lang w:val="en-US"/>
        </w:rPr>
        <w:t>1</w:t>
      </w:r>
      <w:r w:rsidRPr="00ED4D49">
        <w:rPr>
          <w:lang w:val="en-US"/>
        </w:rPr>
        <w:t xml:space="preserve"> of the Program) is to </w:t>
      </w:r>
      <w:r w:rsidR="00A8306A" w:rsidRPr="00ED4D49">
        <w:rPr>
          <w:lang w:val="en-US"/>
        </w:rPr>
        <w:t>improve flood protection and enable transboundary water cooperation in the Sava and Drina Rivers Corridors</w:t>
      </w:r>
      <w:r w:rsidRPr="00ED4D49">
        <w:rPr>
          <w:lang w:val="en-US"/>
        </w:rPr>
        <w:t>.</w:t>
      </w:r>
    </w:p>
    <w:p w14:paraId="240424E8" w14:textId="3FF9ACF6" w:rsidR="00B31964" w:rsidRPr="00ED4D49" w:rsidRDefault="00AA0164" w:rsidP="0023292C">
      <w:pPr>
        <w:pStyle w:val="Heading3"/>
      </w:pPr>
      <w:bookmarkStart w:id="18" w:name="_Toc31811046"/>
      <w:bookmarkStart w:id="19" w:name="_Hlk25258096"/>
      <w:bookmarkEnd w:id="15"/>
      <w:r w:rsidRPr="00ED4D49">
        <w:t>C</w:t>
      </w:r>
      <w:r w:rsidR="00B31964" w:rsidRPr="00ED4D49">
        <w:t>omponents</w:t>
      </w:r>
      <w:bookmarkEnd w:id="18"/>
    </w:p>
    <w:p w14:paraId="08F2A435" w14:textId="66AE88DA" w:rsidR="00B31964" w:rsidRPr="00ED4D49" w:rsidRDefault="00B31964" w:rsidP="007B2B4B">
      <w:pPr>
        <w:jc w:val="both"/>
        <w:rPr>
          <w:lang w:val="en-US"/>
        </w:rPr>
      </w:pPr>
      <w:r w:rsidRPr="00ED4D49">
        <w:rPr>
          <w:lang w:val="en-US"/>
        </w:rPr>
        <w:t xml:space="preserve">This project will implement </w:t>
      </w:r>
      <w:r w:rsidR="00BB3655" w:rsidRPr="00ED4D49">
        <w:rPr>
          <w:lang w:val="en-US"/>
        </w:rPr>
        <w:t>subprojects</w:t>
      </w:r>
      <w:r w:rsidRPr="00ED4D49">
        <w:rPr>
          <w:lang w:val="en-US"/>
        </w:rPr>
        <w:t xml:space="preserve"> with high implementation readiness and relevance to the program objectives, with detail designs and tender documents </w:t>
      </w:r>
      <w:r w:rsidR="00575F56" w:rsidRPr="00ED4D49">
        <w:rPr>
          <w:lang w:val="en-US"/>
        </w:rPr>
        <w:t>to be prepared early under Implementation</w:t>
      </w:r>
      <w:r w:rsidR="007B2B4B" w:rsidRPr="00ED4D49">
        <w:rPr>
          <w:lang w:val="en-US"/>
        </w:rPr>
        <w:t xml:space="preserve"> </w:t>
      </w:r>
      <w:r w:rsidRPr="00ED4D49">
        <w:rPr>
          <w:lang w:val="en-US"/>
        </w:rPr>
        <w:t xml:space="preserve">in Montenegro, </w:t>
      </w:r>
      <w:r w:rsidR="00696BC9" w:rsidRPr="00ED4D49">
        <w:rPr>
          <w:lang w:val="en-US"/>
        </w:rPr>
        <w:t>Bosnia and Herzegovina (</w:t>
      </w:r>
      <w:r w:rsidRPr="00ED4D49">
        <w:rPr>
          <w:lang w:val="en-US"/>
        </w:rPr>
        <w:t>BiH</w:t>
      </w:r>
      <w:r w:rsidR="00696BC9" w:rsidRPr="00ED4D49">
        <w:rPr>
          <w:lang w:val="en-US"/>
        </w:rPr>
        <w:t>)</w:t>
      </w:r>
      <w:r w:rsidRPr="00ED4D49">
        <w:rPr>
          <w:lang w:val="en-US"/>
        </w:rPr>
        <w:t xml:space="preserve"> and Serbia, while simultaneously preparing subprojects that will be implemented during the second phase of the Regional Program. The project consists of three components as described below:</w:t>
      </w:r>
    </w:p>
    <w:p w14:paraId="08D08D04" w14:textId="1881D137" w:rsidR="00B31964" w:rsidRPr="00ED4D49" w:rsidRDefault="00B31964" w:rsidP="00B31964">
      <w:pPr>
        <w:spacing w:after="0"/>
        <w:jc w:val="both"/>
        <w:rPr>
          <w:rStyle w:val="tlid-translation"/>
          <w:rFonts w:cs="Calibri"/>
          <w:color w:val="1F497D"/>
          <w:lang w:val="en-US"/>
        </w:rPr>
      </w:pPr>
      <w:r w:rsidRPr="00ED4D49">
        <w:rPr>
          <w:rStyle w:val="tlid-translation"/>
          <w:rFonts w:cs="Calibri"/>
          <w:color w:val="1F497D"/>
          <w:lang w:val="en-US"/>
        </w:rPr>
        <w:t xml:space="preserve">Component 1: Integrated </w:t>
      </w:r>
      <w:r w:rsidR="009F37FC" w:rsidRPr="00ED4D49">
        <w:rPr>
          <w:rStyle w:val="tlid-translation"/>
          <w:rFonts w:cs="Calibri"/>
          <w:color w:val="1F497D"/>
          <w:lang w:val="en-US"/>
        </w:rPr>
        <w:t xml:space="preserve">Management and </w:t>
      </w:r>
      <w:r w:rsidRPr="00ED4D49">
        <w:rPr>
          <w:rStyle w:val="tlid-translation"/>
          <w:rFonts w:cs="Calibri"/>
          <w:color w:val="1F497D"/>
          <w:lang w:val="en-US"/>
        </w:rPr>
        <w:t xml:space="preserve">Development of the Sava River Corridor </w:t>
      </w:r>
    </w:p>
    <w:p w14:paraId="7D338381" w14:textId="4219A80E" w:rsidR="00B31964" w:rsidRPr="00ED4D49" w:rsidRDefault="00B31964" w:rsidP="00F61961">
      <w:pPr>
        <w:jc w:val="both"/>
        <w:rPr>
          <w:lang w:val="en-US"/>
        </w:rPr>
      </w:pPr>
      <w:r w:rsidRPr="00ED4D49">
        <w:rPr>
          <w:lang w:val="en-US"/>
        </w:rPr>
        <w:t xml:space="preserve">Sub-component 1.1: </w:t>
      </w:r>
      <w:r w:rsidRPr="00ED4D49">
        <w:rPr>
          <w:b/>
          <w:lang w:val="en-US"/>
        </w:rPr>
        <w:t>Flood protection, environmental management and climate change adaptation</w:t>
      </w:r>
      <w:r w:rsidRPr="00ED4D49">
        <w:rPr>
          <w:lang w:val="en-US"/>
        </w:rPr>
        <w:t xml:space="preserve">. </w:t>
      </w:r>
      <w:r w:rsidR="00F61961" w:rsidRPr="00ED4D49">
        <w:rPr>
          <w:lang w:val="en-US"/>
        </w:rPr>
        <w:t>This sub-component will finance construction and rehabilitation of embankments at selected priority areas along the Sava River Corridor as well as nature-based solutions to re-vitalize selected protected areas of ecological significance to the Western Balkans. Upgraded flood protection capacity (at or above 1 in 100-year event) also enhance climate adaptation capacity of protected areas.</w:t>
      </w:r>
    </w:p>
    <w:p w14:paraId="521F962B" w14:textId="7C148617" w:rsidR="00B31964" w:rsidRPr="00ED4D49" w:rsidRDefault="00B31964" w:rsidP="00B31964">
      <w:pPr>
        <w:jc w:val="both"/>
        <w:rPr>
          <w:lang w:val="en-US"/>
        </w:rPr>
      </w:pPr>
      <w:r w:rsidRPr="00ED4D49">
        <w:rPr>
          <w:lang w:val="en-US"/>
        </w:rPr>
        <w:t xml:space="preserve">Sub-component 1.2: </w:t>
      </w:r>
      <w:r w:rsidR="00F61961" w:rsidRPr="00ED4D49">
        <w:rPr>
          <w:b/>
          <w:lang w:val="en-US"/>
        </w:rPr>
        <w:t>Waterway improvements</w:t>
      </w:r>
      <w:r w:rsidRPr="00ED4D49">
        <w:rPr>
          <w:lang w:val="en-US"/>
        </w:rPr>
        <w:t xml:space="preserve">. </w:t>
      </w:r>
      <w:r w:rsidR="00F61961" w:rsidRPr="00ED4D49">
        <w:rPr>
          <w:lang w:val="en-US"/>
        </w:rPr>
        <w:t xml:space="preserve">Under this sub-component, grant financing will be mobilized to finance demining activities along the Sava’s right bank within BiH, as a pre-requisite to the execution of civil works—planned for Phase II of the program—to increase the navigational capacity of the </w:t>
      </w:r>
      <w:proofErr w:type="gramStart"/>
      <w:r w:rsidR="00F61961" w:rsidRPr="00ED4D49">
        <w:rPr>
          <w:lang w:val="en-US"/>
        </w:rPr>
        <w:t>Sava river</w:t>
      </w:r>
      <w:proofErr w:type="gramEnd"/>
      <w:r w:rsidR="00F61961" w:rsidRPr="00ED4D49">
        <w:rPr>
          <w:lang w:val="en-US"/>
        </w:rPr>
        <w:t xml:space="preserve">. The preparatory documentation for these Phase II works (engineering designs, environmental and social safeguards instruments, expected climate change impacts on navigability, bidding documents) will also be finalized during the project. The project-supported demining efforts are also an operational pre-requisite to the planned improvements to </w:t>
      </w:r>
      <w:proofErr w:type="gramStart"/>
      <w:r w:rsidR="00F61961" w:rsidRPr="00ED4D49">
        <w:rPr>
          <w:lang w:val="en-US"/>
        </w:rPr>
        <w:t>Sava river</w:t>
      </w:r>
      <w:proofErr w:type="gramEnd"/>
      <w:r w:rsidR="00F61961" w:rsidRPr="00ED4D49">
        <w:rPr>
          <w:lang w:val="en-US"/>
        </w:rPr>
        <w:t xml:space="preserve"> ports under Phase II. Demining activities are proposed as a no-regret investment that will help unlock the river’s economic potential for generations to come.</w:t>
      </w:r>
      <w:r w:rsidRPr="00ED4D49">
        <w:rPr>
          <w:lang w:val="en-US"/>
        </w:rPr>
        <w:t xml:space="preserve"> </w:t>
      </w:r>
    </w:p>
    <w:p w14:paraId="0F4DC03C" w14:textId="26CBCCD3" w:rsidR="00B31964" w:rsidRPr="00ED4D49" w:rsidRDefault="00B31964" w:rsidP="00B31964">
      <w:pPr>
        <w:spacing w:after="0"/>
        <w:jc w:val="both"/>
        <w:rPr>
          <w:rStyle w:val="tlid-translation"/>
          <w:rFonts w:cs="Calibri"/>
          <w:bCs/>
          <w:color w:val="1F497D"/>
          <w:lang w:val="en-US"/>
        </w:rPr>
      </w:pPr>
      <w:r w:rsidRPr="00ED4D49">
        <w:rPr>
          <w:rStyle w:val="tlid-translation"/>
          <w:rFonts w:cs="Calibri"/>
          <w:bCs/>
          <w:color w:val="1F497D"/>
          <w:lang w:val="en-US"/>
        </w:rPr>
        <w:t xml:space="preserve">Component 2: </w:t>
      </w:r>
      <w:r w:rsidR="009F37FC" w:rsidRPr="00ED4D49">
        <w:rPr>
          <w:rStyle w:val="tlid-translation"/>
          <w:rFonts w:cs="Calibri"/>
          <w:bCs/>
          <w:color w:val="1F497D"/>
          <w:lang w:val="en-US"/>
        </w:rPr>
        <w:t>Integrated Management and Development of the Drina River Corridor</w:t>
      </w:r>
      <w:r w:rsidR="00C6478C" w:rsidRPr="00ED4D49">
        <w:rPr>
          <w:rStyle w:val="tlid-translation"/>
          <w:rFonts w:cs="Calibri"/>
          <w:bCs/>
          <w:color w:val="1F497D"/>
          <w:lang w:val="en-US"/>
        </w:rPr>
        <w:t xml:space="preserve"> </w:t>
      </w:r>
    </w:p>
    <w:p w14:paraId="3756C4DD" w14:textId="75E72C6F" w:rsidR="00B31964" w:rsidRPr="00ED4D49" w:rsidRDefault="00B31964" w:rsidP="00B31964">
      <w:pPr>
        <w:jc w:val="both"/>
        <w:rPr>
          <w:lang w:val="en-US"/>
        </w:rPr>
      </w:pPr>
      <w:r w:rsidRPr="00ED4D49">
        <w:rPr>
          <w:lang w:val="en-US"/>
        </w:rPr>
        <w:t xml:space="preserve">Sub-component 2.1: </w:t>
      </w:r>
      <w:r w:rsidR="00344BF0" w:rsidRPr="00ED4D49">
        <w:rPr>
          <w:b/>
          <w:lang w:val="en-US"/>
        </w:rPr>
        <w:t>Flood protection and environmental management</w:t>
      </w:r>
      <w:r w:rsidRPr="00ED4D49">
        <w:rPr>
          <w:lang w:val="en-US"/>
        </w:rPr>
        <w:t>.</w:t>
      </w:r>
      <w:r w:rsidR="00344BF0" w:rsidRPr="00ED4D49">
        <w:rPr>
          <w:lang w:val="en-US"/>
        </w:rPr>
        <w:t xml:space="preserve"> </w:t>
      </w:r>
      <w:r w:rsidR="00F61961" w:rsidRPr="00ED4D49">
        <w:rPr>
          <w:lang w:val="en-US"/>
        </w:rPr>
        <w:t>This sub-component will finance infrastructure works (for example, flood protection in Gorazde City, FBiH), studies, surveys, consultations and preparation of detailed design of interventions related to the management of environmental assets (the protection of local ecosystems that act as carbon sinks) along the Drina Corridor. The on-going GEF-SCCF-financed Drina River Basin Management project as well as the ESMAP technical assistance, are conducting studies that will identify the additional actions needed for flood protection, bank stabilization, drainage and river training works, and reservoir management in the Drina Corridor. Upgraded flood protection capacity (at or above 1 in 100-year event) also enhance climate adaptation capacity of protected areas.</w:t>
      </w:r>
    </w:p>
    <w:p w14:paraId="0D3EA741" w14:textId="54FF41B1" w:rsidR="00344BF0" w:rsidRPr="00ED4D49" w:rsidRDefault="00344BF0" w:rsidP="00B31964">
      <w:pPr>
        <w:jc w:val="both"/>
        <w:rPr>
          <w:lang w:val="en-US"/>
        </w:rPr>
      </w:pPr>
      <w:r w:rsidRPr="00ED4D49">
        <w:rPr>
          <w:lang w:val="en-US"/>
        </w:rPr>
        <w:t xml:space="preserve">Sub-component 2.2: </w:t>
      </w:r>
      <w:r w:rsidRPr="00ED4D49">
        <w:rPr>
          <w:b/>
          <w:bCs/>
          <w:lang w:val="en-US"/>
        </w:rPr>
        <w:t xml:space="preserve">Integrated development of </w:t>
      </w:r>
      <w:r w:rsidR="00F61961" w:rsidRPr="00ED4D49">
        <w:rPr>
          <w:b/>
          <w:bCs/>
          <w:lang w:val="en-US"/>
        </w:rPr>
        <w:t>Drina</w:t>
      </w:r>
      <w:r w:rsidRPr="00ED4D49">
        <w:rPr>
          <w:b/>
          <w:bCs/>
          <w:lang w:val="en-US"/>
        </w:rPr>
        <w:t xml:space="preserve"> watershed</w:t>
      </w:r>
      <w:r w:rsidRPr="00ED4D49">
        <w:rPr>
          <w:lang w:val="en-US"/>
        </w:rPr>
        <w:t xml:space="preserve">. </w:t>
      </w:r>
      <w:r w:rsidR="00F61961" w:rsidRPr="00ED4D49">
        <w:rPr>
          <w:lang w:val="en-US"/>
        </w:rPr>
        <w:t xml:space="preserve">This sub-component will finance improved watershed management in the Lim and </w:t>
      </w:r>
      <w:proofErr w:type="spellStart"/>
      <w:r w:rsidR="00F61961" w:rsidRPr="00ED4D49">
        <w:rPr>
          <w:lang w:val="en-US"/>
        </w:rPr>
        <w:t>Grncar</w:t>
      </w:r>
      <w:proofErr w:type="spellEnd"/>
      <w:r w:rsidR="00F61961" w:rsidRPr="00ED4D49">
        <w:rPr>
          <w:lang w:val="en-US"/>
        </w:rPr>
        <w:t xml:space="preserve"> River basins of Montenegro, as well as works related to flood protection, drainage and irrigation measures within the Lim River Basin (a tributary of the Drina River) to mitigate flood risks and promote sustainable use of natural resources. These measures include: river bank stabilization; river training works; flood protection embankments and dykes. The detailed designs of these </w:t>
      </w:r>
      <w:r w:rsidR="00F61961" w:rsidRPr="00ED4D49">
        <w:rPr>
          <w:lang w:val="en-US"/>
        </w:rPr>
        <w:lastRenderedPageBreak/>
        <w:t>investments are under preparation through the ongoing GEF-SCCF project. This sub-component will further finance the preparation of selected priority investments in line with the project development objective.</w:t>
      </w:r>
    </w:p>
    <w:p w14:paraId="090FD454" w14:textId="08B53716" w:rsidR="00B31964" w:rsidRPr="00ED4D49" w:rsidRDefault="00B31964" w:rsidP="00B31964">
      <w:pPr>
        <w:spacing w:after="0"/>
        <w:jc w:val="both"/>
        <w:rPr>
          <w:rStyle w:val="tlid-translation"/>
          <w:rFonts w:cs="Calibri"/>
          <w:color w:val="1F497D"/>
          <w:lang w:val="en-US"/>
        </w:rPr>
      </w:pPr>
      <w:r w:rsidRPr="00ED4D49">
        <w:rPr>
          <w:rStyle w:val="tlid-translation"/>
          <w:rFonts w:cs="Calibri"/>
          <w:color w:val="1F497D"/>
          <w:lang w:val="en-US"/>
        </w:rPr>
        <w:t xml:space="preserve">Component 3: </w:t>
      </w:r>
      <w:r w:rsidR="00F61961" w:rsidRPr="00ED4D49">
        <w:rPr>
          <w:rStyle w:val="tlid-translation"/>
          <w:rFonts w:cs="Calibri"/>
          <w:color w:val="1F497D"/>
          <w:lang w:val="en-US"/>
        </w:rPr>
        <w:t>Project preparation and management</w:t>
      </w:r>
      <w:r w:rsidRPr="00ED4D49">
        <w:rPr>
          <w:rStyle w:val="tlid-translation"/>
          <w:rFonts w:cs="Calibri"/>
          <w:color w:val="1F497D"/>
          <w:lang w:val="en-US"/>
        </w:rPr>
        <w:t xml:space="preserve"> </w:t>
      </w:r>
    </w:p>
    <w:p w14:paraId="2FB09DD9" w14:textId="6618096D" w:rsidR="00B31964" w:rsidRPr="00ED4D49" w:rsidRDefault="00B31964" w:rsidP="00B31964">
      <w:pPr>
        <w:jc w:val="both"/>
        <w:rPr>
          <w:lang w:val="en-US"/>
        </w:rPr>
      </w:pPr>
      <w:r w:rsidRPr="00ED4D49">
        <w:rPr>
          <w:lang w:val="en-US"/>
        </w:rPr>
        <w:t xml:space="preserve">Sub-component 3.1: </w:t>
      </w:r>
      <w:r w:rsidRPr="00ED4D49">
        <w:rPr>
          <w:b/>
          <w:lang w:val="en-US"/>
        </w:rPr>
        <w:t>Project preparation</w:t>
      </w:r>
      <w:r w:rsidRPr="00ED4D49">
        <w:rPr>
          <w:lang w:val="en-US"/>
        </w:rPr>
        <w:t>. This sub-component will finance preparation of project documentation for phase II of the program, including environmental and social assessments.</w:t>
      </w:r>
    </w:p>
    <w:p w14:paraId="2E1EAF2F" w14:textId="594649FE" w:rsidR="00B31964" w:rsidRPr="00ED4D49" w:rsidRDefault="00B31964" w:rsidP="00B31964">
      <w:pPr>
        <w:jc w:val="both"/>
        <w:rPr>
          <w:lang w:val="en-US"/>
        </w:rPr>
      </w:pPr>
      <w:r w:rsidRPr="00ED4D49">
        <w:rPr>
          <w:lang w:val="en-US"/>
        </w:rPr>
        <w:t xml:space="preserve">Sub-component 3.2: </w:t>
      </w:r>
      <w:r w:rsidR="00F61961" w:rsidRPr="00ED4D49">
        <w:rPr>
          <w:b/>
          <w:lang w:val="en-US"/>
        </w:rPr>
        <w:t>Institutional strengthening and project management</w:t>
      </w:r>
      <w:r w:rsidRPr="00ED4D49">
        <w:rPr>
          <w:lang w:val="en-US"/>
        </w:rPr>
        <w:t xml:space="preserve">. </w:t>
      </w:r>
      <w:r w:rsidR="00F61961" w:rsidRPr="00ED4D49">
        <w:rPr>
          <w:lang w:val="en-US"/>
        </w:rPr>
        <w:t>This sub-component will finance activities to increase institutional capacity and inter-sectoral coordination in the participating countries to ensure more efficient decision making and program management at regional level. This sub-component will promote joint action and decision making in river basin management and flood risk management among riparian countries, thus enhance the climate adaptation capacity of the region.</w:t>
      </w:r>
    </w:p>
    <w:p w14:paraId="77CEAC5F" w14:textId="48CB9E98" w:rsidR="00F61961" w:rsidRPr="00ED4D49" w:rsidRDefault="00F61961" w:rsidP="00F61961">
      <w:pPr>
        <w:spacing w:after="0"/>
        <w:jc w:val="both"/>
        <w:rPr>
          <w:rStyle w:val="tlid-translation"/>
          <w:rFonts w:cs="Calibri"/>
          <w:color w:val="1F497D"/>
          <w:lang w:val="en-US"/>
        </w:rPr>
      </w:pPr>
      <w:r w:rsidRPr="00ED4D49">
        <w:rPr>
          <w:rStyle w:val="tlid-translation"/>
          <w:rFonts w:cs="Calibri"/>
          <w:color w:val="1F497D"/>
          <w:lang w:val="en-US"/>
        </w:rPr>
        <w:t xml:space="preserve">Component 4: Regional activities </w:t>
      </w:r>
    </w:p>
    <w:p w14:paraId="78917E3F" w14:textId="06A7F5A9" w:rsidR="00F61961" w:rsidRPr="00ED4D49" w:rsidRDefault="00F61961" w:rsidP="00F61961">
      <w:pPr>
        <w:jc w:val="both"/>
        <w:rPr>
          <w:lang w:val="en-US"/>
        </w:rPr>
      </w:pPr>
      <w:r w:rsidRPr="00ED4D49">
        <w:rPr>
          <w:lang w:val="en-US"/>
        </w:rPr>
        <w:t>This component will support policy dialogue, consultations, preparation of plans and studies, and investments to strengthen the nexus between water services and connectivity with the regional development and economic cooperation objectives of the Sava and Drina Corridor. Examples include the Sava River Basin Management Plan and Hydrological assessments, Climate Change Adaptation Strategy for the Sava River Basin, planning and development of tourism in the Sava and Drina Rivers corridors including the designing of Master Plans for Nautical tourism and Ecotourism. River Basin Management Plans and Hydrological assessments will ultimately support integrated water resources management, thereby indirectly increasing the resilience of riparian countries to climate change; requested GEF funding will co-finance measures related to river basin planning and management, flood monitoring network, institutional capacity building, and studies that inform or prepare future investments. An advocacy and communication plan will be prepared and implemented to promote regional cooperation. Regional studies (i.e., hydrological, sediment, climate changes adaptation, etc.) in the Sava and Drina Rivers Corridors will improve the understanding of the Basin’s unique characteristics and opportunities to boost regional cooperation and integrated management.</w:t>
      </w:r>
    </w:p>
    <w:p w14:paraId="2CC2DC5E" w14:textId="3F03F0C2" w:rsidR="00AA0164" w:rsidRPr="00ED4D49" w:rsidRDefault="007B2B4B" w:rsidP="0023292C">
      <w:pPr>
        <w:pStyle w:val="Heading3"/>
      </w:pPr>
      <w:bookmarkStart w:id="20" w:name="_Toc31811047"/>
      <w:bookmarkEnd w:id="19"/>
      <w:r w:rsidRPr="00ED4D49">
        <w:t>I</w:t>
      </w:r>
      <w:r w:rsidR="00AA0164" w:rsidRPr="00ED4D49">
        <w:t xml:space="preserve">mplementation </w:t>
      </w:r>
      <w:r w:rsidR="00DA00BD" w:rsidRPr="00ED4D49">
        <w:t>A</w:t>
      </w:r>
      <w:r w:rsidRPr="00ED4D49">
        <w:t>rrangements</w:t>
      </w:r>
      <w:bookmarkEnd w:id="20"/>
    </w:p>
    <w:p w14:paraId="4A8CD71E" w14:textId="79027162" w:rsidR="00AA0164" w:rsidRPr="00ED4D49" w:rsidRDefault="00AA0164" w:rsidP="00AA0164">
      <w:pPr>
        <w:jc w:val="both"/>
        <w:rPr>
          <w:lang w:val="en-US" w:eastAsia="x-none"/>
        </w:rPr>
      </w:pPr>
      <w:bookmarkStart w:id="21" w:name="_Hlk25258108"/>
      <w:r w:rsidRPr="00ED4D49">
        <w:rPr>
          <w:lang w:val="en-US" w:eastAsia="x-none"/>
        </w:rPr>
        <w:t>SDIP will be implemented through a sequential and simultaneous multiphase programmatic approach with five participating countries: Serbia, BiH, Montenegro, Croatia, and Slovenia. Slovenia will be the only non-borrowing program beneficiary; it will participate in the regional studies, regional dialogue, capacity building tools, and related activities under Component 3.</w:t>
      </w:r>
      <w:r w:rsidR="007B2B4B" w:rsidRPr="00ED4D49">
        <w:rPr>
          <w:lang w:val="en-US"/>
        </w:rPr>
        <w:t xml:space="preserve"> </w:t>
      </w:r>
      <w:r w:rsidR="00BB3655" w:rsidRPr="00ED4D49">
        <w:rPr>
          <w:lang w:val="en-US"/>
        </w:rPr>
        <w:t>Subprojects</w:t>
      </w:r>
      <w:r w:rsidR="007B2B4B" w:rsidRPr="00ED4D49">
        <w:rPr>
          <w:lang w:val="en-US"/>
        </w:rPr>
        <w:t xml:space="preserve"> will be implemented at national level and will have cumulative regional benefits.</w:t>
      </w:r>
      <w:r w:rsidR="00C6478C" w:rsidRPr="00ED4D49">
        <w:rPr>
          <w:lang w:val="en-US"/>
        </w:rPr>
        <w:t xml:space="preserve"> </w:t>
      </w:r>
    </w:p>
    <w:p w14:paraId="3B9DA86B" w14:textId="2A6013D1" w:rsidR="007B2B4B" w:rsidRPr="00ED4D49" w:rsidRDefault="007B2B4B" w:rsidP="00AA0164">
      <w:pPr>
        <w:jc w:val="both"/>
        <w:rPr>
          <w:lang w:val="en-US" w:eastAsia="x-none"/>
        </w:rPr>
      </w:pPr>
      <w:bookmarkStart w:id="22" w:name="_Hlk25258112"/>
      <w:bookmarkEnd w:id="21"/>
      <w:r w:rsidRPr="00ED4D49">
        <w:rPr>
          <w:lang w:val="en-US" w:eastAsia="x-none"/>
        </w:rPr>
        <w:t>SDIP will be implemented by participating countries in a coordinated manner through two levels of coordination. At the regional level, a regional committee consisting of the existing ISRBC members and senior officials from key sectors such as water, transport, energy and tourism will facilitate dialogue and cooperation in the region. This committee will also provide strategic oversight and guidance for the implementation of regional activities in addition to national subprojects, ensuring stronger dialogue, integration and knowledge sharing. During implementation, other sectors will be coopted as and when the need arises.</w:t>
      </w:r>
    </w:p>
    <w:p w14:paraId="664C48A1" w14:textId="50C50443" w:rsidR="007B2B4B" w:rsidRPr="00ED4D49" w:rsidRDefault="007B2B4B" w:rsidP="007B2B4B">
      <w:pPr>
        <w:jc w:val="both"/>
        <w:rPr>
          <w:lang w:val="en-US" w:eastAsia="x-none"/>
        </w:rPr>
      </w:pPr>
      <w:bookmarkStart w:id="23" w:name="_Hlk25258131"/>
      <w:bookmarkEnd w:id="22"/>
      <w:r w:rsidRPr="00ED4D49">
        <w:rPr>
          <w:lang w:val="en-US" w:eastAsia="x-none"/>
        </w:rPr>
        <w:t xml:space="preserve">At the national level, implementation will be undertaken by </w:t>
      </w:r>
      <w:r w:rsidR="00FD3DCC" w:rsidRPr="00ED4D49">
        <w:rPr>
          <w:lang w:val="en-US" w:eastAsia="x-none"/>
        </w:rPr>
        <w:t>PIUs</w:t>
      </w:r>
      <w:r w:rsidRPr="00ED4D49">
        <w:rPr>
          <w:lang w:val="en-US" w:eastAsia="x-none"/>
        </w:rPr>
        <w:t xml:space="preserve"> within line ministries of each country/entity. In each country/entity, PIUs will be established comprising of the required technical and managerial expertise to support project implementation. </w:t>
      </w:r>
      <w:bookmarkEnd w:id="23"/>
      <w:r w:rsidRPr="00ED4D49">
        <w:rPr>
          <w:lang w:val="en-US" w:eastAsia="x-none"/>
        </w:rPr>
        <w:t xml:space="preserve">In </w:t>
      </w:r>
      <w:r w:rsidR="00696BC9" w:rsidRPr="00ED4D49">
        <w:rPr>
          <w:lang w:val="en-US" w:eastAsia="x-none"/>
        </w:rPr>
        <w:t xml:space="preserve">the Federation of </w:t>
      </w:r>
      <w:r w:rsidR="00696BC9" w:rsidRPr="00ED4D49">
        <w:rPr>
          <w:rStyle w:val="tlid-translation"/>
          <w:rFonts w:cs="Calibri"/>
          <w:lang w:val="en-US"/>
        </w:rPr>
        <w:t>BiH (FBiH)</w:t>
      </w:r>
      <w:r w:rsidRPr="00ED4D49">
        <w:rPr>
          <w:lang w:val="en-US" w:eastAsia="x-none"/>
        </w:rPr>
        <w:t xml:space="preserve">, the existing PIU within FBiH </w:t>
      </w:r>
      <w:r w:rsidR="00A422DD" w:rsidRPr="00ED4D49">
        <w:rPr>
          <w:lang w:val="en-US" w:eastAsia="x-none"/>
        </w:rPr>
        <w:t>M</w:t>
      </w:r>
      <w:r w:rsidRPr="00ED4D49">
        <w:rPr>
          <w:lang w:val="en-US" w:eastAsia="x-none"/>
        </w:rPr>
        <w:t>inistr</w:t>
      </w:r>
      <w:r w:rsidR="00A422DD" w:rsidRPr="00ED4D49">
        <w:rPr>
          <w:lang w:val="en-US" w:eastAsia="x-none"/>
        </w:rPr>
        <w:t>y</w:t>
      </w:r>
      <w:r w:rsidRPr="00ED4D49">
        <w:rPr>
          <w:lang w:val="en-US" w:eastAsia="x-none"/>
        </w:rPr>
        <w:t xml:space="preserve"> of Agriculture, Water Management and Forestry will be responsible for implementation of the activities in FBiH. </w:t>
      </w:r>
      <w:r w:rsidR="00FD3DCC" w:rsidRPr="00ED4D49">
        <w:rPr>
          <w:lang w:val="en-US" w:eastAsia="x-none"/>
        </w:rPr>
        <w:t xml:space="preserve">The </w:t>
      </w:r>
      <w:r w:rsidRPr="00ED4D49">
        <w:rPr>
          <w:lang w:val="en-US" w:eastAsia="x-none"/>
        </w:rPr>
        <w:t xml:space="preserve">Federal Ministry of Transport and Communications, </w:t>
      </w:r>
      <w:r w:rsidR="00FD3DCC" w:rsidRPr="00ED4D49">
        <w:rPr>
          <w:lang w:val="en-US" w:eastAsia="x-none"/>
        </w:rPr>
        <w:t xml:space="preserve">the </w:t>
      </w:r>
      <w:r w:rsidRPr="00ED4D49">
        <w:rPr>
          <w:lang w:val="en-US" w:eastAsia="x-none"/>
        </w:rPr>
        <w:t xml:space="preserve">Water Agency Sava and other institutions responsible for particular sectors (navigation, flood protection, tourism) will provide technical support. In </w:t>
      </w:r>
      <w:proofErr w:type="spellStart"/>
      <w:r w:rsidR="00696BC9" w:rsidRPr="00ED4D49">
        <w:rPr>
          <w:lang w:val="en-US" w:eastAsia="x-none"/>
        </w:rPr>
        <w:t>Republika</w:t>
      </w:r>
      <w:proofErr w:type="spellEnd"/>
      <w:r w:rsidR="00696BC9" w:rsidRPr="00ED4D49">
        <w:rPr>
          <w:lang w:val="en-US" w:eastAsia="x-none"/>
        </w:rPr>
        <w:t xml:space="preserve"> Srpska (</w:t>
      </w:r>
      <w:r w:rsidR="00FD3DCC" w:rsidRPr="00ED4D49">
        <w:rPr>
          <w:lang w:val="en-US" w:eastAsia="x-none"/>
        </w:rPr>
        <w:t>RS</w:t>
      </w:r>
      <w:r w:rsidR="00696BC9" w:rsidRPr="00ED4D49">
        <w:rPr>
          <w:lang w:val="en-US" w:eastAsia="x-none"/>
        </w:rPr>
        <w:t>)</w:t>
      </w:r>
      <w:r w:rsidRPr="00ED4D49">
        <w:rPr>
          <w:lang w:val="en-US" w:eastAsia="x-none"/>
        </w:rPr>
        <w:t xml:space="preserve">, the existing PIU within </w:t>
      </w:r>
      <w:r w:rsidR="00FD3DCC" w:rsidRPr="00ED4D49">
        <w:rPr>
          <w:rStyle w:val="tlid-translation"/>
          <w:rFonts w:cs="Calibri"/>
          <w:lang w:val="en-US"/>
        </w:rPr>
        <w:t xml:space="preserve">the </w:t>
      </w:r>
      <w:r w:rsidRPr="00ED4D49">
        <w:rPr>
          <w:lang w:val="en-US" w:eastAsia="x-none"/>
        </w:rPr>
        <w:t xml:space="preserve">RS Ministry of Agriculture, Forestry and Water Management will implement the project, and technical support will be provided </w:t>
      </w:r>
      <w:r w:rsidR="00FD3DCC" w:rsidRPr="00ED4D49">
        <w:rPr>
          <w:lang w:val="en-US" w:eastAsia="x-none"/>
        </w:rPr>
        <w:t xml:space="preserve">by </w:t>
      </w:r>
      <w:r w:rsidR="00FD3DCC" w:rsidRPr="00ED4D49">
        <w:rPr>
          <w:rStyle w:val="tlid-translation"/>
          <w:rFonts w:cs="Calibri"/>
          <w:lang w:val="en-US"/>
        </w:rPr>
        <w:t>the</w:t>
      </w:r>
      <w:r w:rsidRPr="00ED4D49">
        <w:rPr>
          <w:lang w:val="en-US" w:eastAsia="x-none"/>
        </w:rPr>
        <w:t xml:space="preserve"> Ministry of Transport and Communications, Ministry of Spatial Planning, Construction and Ecology, </w:t>
      </w:r>
      <w:r w:rsidR="00823DBC" w:rsidRPr="00ED4D49">
        <w:rPr>
          <w:rStyle w:val="tlid-translation"/>
          <w:rFonts w:cs="Calibri"/>
          <w:lang w:val="en-US"/>
        </w:rPr>
        <w:t xml:space="preserve">the </w:t>
      </w:r>
      <w:r w:rsidRPr="00ED4D49">
        <w:rPr>
          <w:lang w:val="en-US" w:eastAsia="x-none"/>
        </w:rPr>
        <w:t xml:space="preserve">Water Agency and other relevant </w:t>
      </w:r>
      <w:r w:rsidRPr="00ED4D49">
        <w:rPr>
          <w:lang w:val="en-US" w:eastAsia="x-none"/>
        </w:rPr>
        <w:lastRenderedPageBreak/>
        <w:t xml:space="preserve">institutions. In </w:t>
      </w:r>
      <w:r w:rsidR="00FE2C39" w:rsidRPr="00ED4D49">
        <w:rPr>
          <w:lang w:val="en-US" w:eastAsia="x-none"/>
        </w:rPr>
        <w:t>BD</w:t>
      </w:r>
      <w:r w:rsidRPr="00ED4D49">
        <w:rPr>
          <w:lang w:val="en-US" w:eastAsia="x-none"/>
        </w:rPr>
        <w:t xml:space="preserve">, a new PIU </w:t>
      </w:r>
      <w:r w:rsidR="00575F56" w:rsidRPr="00ED4D49">
        <w:rPr>
          <w:lang w:val="en-US" w:eastAsia="x-none"/>
        </w:rPr>
        <w:t>has been</w:t>
      </w:r>
      <w:r w:rsidRPr="00ED4D49">
        <w:rPr>
          <w:lang w:val="en-US" w:eastAsia="x-none"/>
        </w:rPr>
        <w:t xml:space="preserve"> established for project implementation</w:t>
      </w:r>
      <w:r w:rsidR="00575F56" w:rsidRPr="00ED4D49">
        <w:rPr>
          <w:lang w:val="en-US" w:eastAsia="x-none"/>
        </w:rPr>
        <w:t xml:space="preserve"> and is being adequately staffed</w:t>
      </w:r>
      <w:r w:rsidRPr="00ED4D49">
        <w:rPr>
          <w:lang w:val="en-US" w:eastAsia="x-none"/>
        </w:rPr>
        <w:t xml:space="preserve">. </w:t>
      </w:r>
      <w:r w:rsidR="00823DBC" w:rsidRPr="00ED4D49">
        <w:rPr>
          <w:lang w:val="en-US" w:eastAsia="x-none"/>
        </w:rPr>
        <w:t xml:space="preserve"> </w:t>
      </w:r>
      <w:r w:rsidR="00051B4E" w:rsidRPr="00ED4D49">
        <w:rPr>
          <w:lang w:val="en-US" w:eastAsia="x-none"/>
        </w:rPr>
        <w:t xml:space="preserve">At the BiH state level, for the purposes of implementing component 1.2, upon approval of grant funds for financing the </w:t>
      </w:r>
      <w:r w:rsidR="00742931" w:rsidRPr="00ED4D49">
        <w:rPr>
          <w:lang w:val="en-US" w:eastAsia="x-none"/>
        </w:rPr>
        <w:t>activity</w:t>
      </w:r>
      <w:r w:rsidR="00051B4E" w:rsidRPr="00ED4D49">
        <w:rPr>
          <w:lang w:val="en-US" w:eastAsia="x-none"/>
        </w:rPr>
        <w:t xml:space="preserve">, a PIU will be established, which will consist of members from </w:t>
      </w:r>
      <w:proofErr w:type="spellStart"/>
      <w:r w:rsidR="00051B4E" w:rsidRPr="00ED4D49">
        <w:rPr>
          <w:lang w:val="en-US" w:eastAsia="x-none"/>
        </w:rPr>
        <w:t>M</w:t>
      </w:r>
      <w:r w:rsidR="00742931" w:rsidRPr="00ED4D49">
        <w:rPr>
          <w:lang w:val="en-US" w:eastAsia="x-none"/>
        </w:rPr>
        <w:t>oCT</w:t>
      </w:r>
      <w:proofErr w:type="spellEnd"/>
      <w:r w:rsidR="00051B4E" w:rsidRPr="00ED4D49">
        <w:rPr>
          <w:lang w:val="en-US" w:eastAsia="x-none"/>
        </w:rPr>
        <w:t xml:space="preserve"> and BHMAC and will be responsible for the implementation of the </w:t>
      </w:r>
      <w:r w:rsidR="00742931" w:rsidRPr="00ED4D49">
        <w:rPr>
          <w:lang w:val="en-US" w:eastAsia="x-none"/>
        </w:rPr>
        <w:t>activity.</w:t>
      </w:r>
    </w:p>
    <w:p w14:paraId="134ACC71" w14:textId="120E01F8" w:rsidR="007B2B4B" w:rsidRPr="00ED4D49" w:rsidRDefault="007B2B4B" w:rsidP="0023292C">
      <w:pPr>
        <w:pStyle w:val="Heading3"/>
      </w:pPr>
      <w:bookmarkStart w:id="24" w:name="_Toc31811048"/>
      <w:r w:rsidRPr="00ED4D49">
        <w:t xml:space="preserve">Timeline and </w:t>
      </w:r>
      <w:r w:rsidR="000825D3" w:rsidRPr="00ED4D49">
        <w:t>B</w:t>
      </w:r>
      <w:r w:rsidRPr="00ED4D49">
        <w:t>udget</w:t>
      </w:r>
      <w:bookmarkEnd w:id="24"/>
    </w:p>
    <w:p w14:paraId="0A3D0D28" w14:textId="4E133252" w:rsidR="007B2B4B" w:rsidRPr="00ED4D49" w:rsidRDefault="007B2B4B" w:rsidP="00AA0164">
      <w:pPr>
        <w:jc w:val="both"/>
        <w:rPr>
          <w:lang w:val="en-US" w:eastAsia="x-none"/>
        </w:rPr>
      </w:pPr>
      <w:bookmarkStart w:id="25" w:name="_Hlk25258141"/>
      <w:r w:rsidRPr="00ED4D49">
        <w:rPr>
          <w:lang w:val="en-US" w:eastAsia="x-none"/>
        </w:rPr>
        <w:t xml:space="preserve">The program will be implemented over a period of 10 years, organized in two phases. Phase </w:t>
      </w:r>
      <w:r w:rsidR="00D04572" w:rsidRPr="00ED4D49">
        <w:rPr>
          <w:lang w:val="en-US" w:eastAsia="x-none"/>
        </w:rPr>
        <w:t>I</w:t>
      </w:r>
      <w:r w:rsidRPr="00ED4D49">
        <w:rPr>
          <w:lang w:val="en-US" w:eastAsia="x-none"/>
        </w:rPr>
        <w:t xml:space="preserve"> will focus on flood protection and river basin management activities in the Sava and Drina River Corridors. Phase </w:t>
      </w:r>
      <w:r w:rsidR="00D04572" w:rsidRPr="00ED4D49">
        <w:rPr>
          <w:lang w:val="en-US" w:eastAsia="x-none"/>
        </w:rPr>
        <w:t>II</w:t>
      </w:r>
      <w:r w:rsidRPr="00ED4D49">
        <w:rPr>
          <w:lang w:val="en-US" w:eastAsia="x-none"/>
        </w:rPr>
        <w:t xml:space="preserve"> will build on Phase </w:t>
      </w:r>
      <w:r w:rsidR="00D04572" w:rsidRPr="00ED4D49">
        <w:rPr>
          <w:lang w:val="en-US" w:eastAsia="x-none"/>
        </w:rPr>
        <w:t>I</w:t>
      </w:r>
      <w:r w:rsidRPr="00ED4D49">
        <w:rPr>
          <w:lang w:val="en-US" w:eastAsia="x-none"/>
        </w:rPr>
        <w:t xml:space="preserve"> and strengthen river port connectivity and environmental management. </w:t>
      </w:r>
      <w:r w:rsidR="00D04572" w:rsidRPr="00ED4D49">
        <w:rPr>
          <w:lang w:val="en-US" w:eastAsia="x-none"/>
        </w:rPr>
        <w:t xml:space="preserve">Countries will proceed to Phase II based on the readiness of jointly identified priority interventions prepared during Phase I. </w:t>
      </w:r>
      <w:r w:rsidRPr="00ED4D49">
        <w:rPr>
          <w:lang w:val="en-US" w:eastAsia="x-none"/>
        </w:rPr>
        <w:t>The estimated program cost for both phases is US$</w:t>
      </w:r>
      <w:r w:rsidR="00D04572" w:rsidRPr="00ED4D49">
        <w:rPr>
          <w:lang w:val="en-US" w:eastAsia="x-none"/>
        </w:rPr>
        <w:t>338</w:t>
      </w:r>
      <w:r w:rsidRPr="00ED4D49">
        <w:rPr>
          <w:lang w:val="en-US" w:eastAsia="x-none"/>
        </w:rPr>
        <w:t xml:space="preserve"> million.</w:t>
      </w:r>
    </w:p>
    <w:p w14:paraId="32D46E2B" w14:textId="77777777" w:rsidR="00B0209B" w:rsidRPr="00ED4D49" w:rsidRDefault="00B0209B" w:rsidP="0063606C">
      <w:pPr>
        <w:pStyle w:val="Heading2"/>
      </w:pPr>
      <w:bookmarkStart w:id="26" w:name="_Toc19223866"/>
      <w:bookmarkStart w:id="27" w:name="_Toc31811049"/>
      <w:bookmarkEnd w:id="25"/>
      <w:r w:rsidRPr="00ED4D49">
        <w:t>Objectives of this Environmental and Social Management Framework</w:t>
      </w:r>
      <w:bookmarkEnd w:id="26"/>
      <w:bookmarkEnd w:id="27"/>
      <w:r w:rsidRPr="00ED4D49">
        <w:t xml:space="preserve"> </w:t>
      </w:r>
    </w:p>
    <w:p w14:paraId="7792E5C8" w14:textId="33B1B631" w:rsidR="006B41C6" w:rsidRPr="00ED4D49" w:rsidRDefault="00B0209B" w:rsidP="00B0209B">
      <w:pPr>
        <w:jc w:val="both"/>
        <w:rPr>
          <w:rStyle w:val="tlid-translation"/>
          <w:rFonts w:cs="Calibri"/>
          <w:b/>
          <w:lang w:val="en-US"/>
        </w:rPr>
      </w:pPr>
      <w:bookmarkStart w:id="28" w:name="_Hlk25258153"/>
      <w:r w:rsidRPr="00ED4D49">
        <w:rPr>
          <w:rStyle w:val="tlid-translation"/>
          <w:rFonts w:cs="Calibri"/>
          <w:lang w:val="en-US"/>
        </w:rPr>
        <w:t>According to the</w:t>
      </w:r>
      <w:r w:rsidR="00FE2C39" w:rsidRPr="00ED4D49">
        <w:rPr>
          <w:rStyle w:val="tlid-translation"/>
          <w:rFonts w:cs="Calibri"/>
          <w:lang w:val="en-US"/>
        </w:rPr>
        <w:t xml:space="preserve"> World Bank</w:t>
      </w:r>
      <w:r w:rsidRPr="00ED4D49">
        <w:rPr>
          <w:rStyle w:val="tlid-translation"/>
          <w:rFonts w:cs="Calibri"/>
          <w:lang w:val="en-US"/>
        </w:rPr>
        <w:t xml:space="preserve"> </w:t>
      </w:r>
      <w:r w:rsidR="00FE2C39" w:rsidRPr="00ED4D49">
        <w:rPr>
          <w:rStyle w:val="tlid-translation"/>
          <w:rFonts w:cs="Calibri"/>
          <w:lang w:val="en-US"/>
        </w:rPr>
        <w:t>(</w:t>
      </w:r>
      <w:r w:rsidR="00823DBC" w:rsidRPr="00ED4D49">
        <w:rPr>
          <w:rStyle w:val="tlid-translation"/>
          <w:rFonts w:cs="Calibri"/>
          <w:lang w:val="en-US"/>
        </w:rPr>
        <w:t>WB</w:t>
      </w:r>
      <w:r w:rsidR="00FE2C39" w:rsidRPr="00ED4D49">
        <w:rPr>
          <w:rStyle w:val="tlid-translation"/>
          <w:rFonts w:cs="Calibri"/>
          <w:lang w:val="en-US"/>
        </w:rPr>
        <w:t>)</w:t>
      </w:r>
      <w:r w:rsidRPr="00ED4D49">
        <w:rPr>
          <w:rStyle w:val="tlid-translation"/>
          <w:rFonts w:cs="Calibri"/>
          <w:lang w:val="en-US"/>
        </w:rPr>
        <w:t xml:space="preserve"> Environmental and Social Framework of 2016</w:t>
      </w:r>
      <w:r w:rsidR="001E42C9" w:rsidRPr="00ED4D49">
        <w:rPr>
          <w:rStyle w:val="tlid-translation"/>
          <w:rFonts w:cs="Calibri"/>
          <w:lang w:val="en-US"/>
        </w:rPr>
        <w:t xml:space="preserve"> (ESF)</w:t>
      </w:r>
      <w:r w:rsidRPr="00ED4D49">
        <w:rPr>
          <w:rStyle w:val="tlid-translation"/>
          <w:rFonts w:cs="Calibri"/>
          <w:lang w:val="en-US"/>
        </w:rPr>
        <w:t xml:space="preserve"> (described in more detail in the Legal Framework </w:t>
      </w:r>
      <w:r w:rsidR="001E42C9" w:rsidRPr="00ED4D49">
        <w:rPr>
          <w:rStyle w:val="tlid-translation"/>
          <w:rFonts w:cs="Calibri"/>
          <w:lang w:val="en-US"/>
        </w:rPr>
        <w:t>s</w:t>
      </w:r>
      <w:r w:rsidRPr="00ED4D49">
        <w:rPr>
          <w:rStyle w:val="tlid-translation"/>
          <w:rFonts w:cs="Calibri"/>
          <w:lang w:val="en-US"/>
        </w:rPr>
        <w:t>ection</w:t>
      </w:r>
      <w:r w:rsidR="001E42C9" w:rsidRPr="00ED4D49">
        <w:rPr>
          <w:rStyle w:val="tlid-translation"/>
          <w:rFonts w:cs="Calibri"/>
          <w:lang w:val="en-US"/>
        </w:rPr>
        <w:t xml:space="preserve"> of this document</w:t>
      </w:r>
      <w:r w:rsidRPr="00ED4D49">
        <w:rPr>
          <w:rStyle w:val="tlid-translation"/>
          <w:rFonts w:cs="Calibri"/>
          <w:lang w:val="en-US"/>
        </w:rPr>
        <w:t xml:space="preserve">), </w:t>
      </w:r>
      <w:r w:rsidR="003C551F" w:rsidRPr="00ED4D49">
        <w:rPr>
          <w:rStyle w:val="tlid-translation"/>
          <w:rFonts w:cs="Calibri"/>
          <w:lang w:val="en-US"/>
        </w:rPr>
        <w:t xml:space="preserve">the </w:t>
      </w:r>
      <w:r w:rsidRPr="00ED4D49">
        <w:rPr>
          <w:rStyle w:val="tlid-translation"/>
          <w:rFonts w:cs="Calibri"/>
          <w:i/>
          <w:lang w:val="en-US"/>
        </w:rPr>
        <w:t xml:space="preserve">Environmental and Social Management Framework (ESMF) </w:t>
      </w:r>
      <w:r w:rsidR="00823DBC" w:rsidRPr="00ED4D49">
        <w:rPr>
          <w:rStyle w:val="tlid-translation"/>
          <w:rFonts w:cs="Calibri"/>
          <w:bCs/>
          <w:lang w:val="en-US"/>
        </w:rPr>
        <w:t>is</w:t>
      </w:r>
      <w:r w:rsidR="00823DBC" w:rsidRPr="00ED4D49">
        <w:rPr>
          <w:rStyle w:val="tlid-translation"/>
          <w:rFonts w:cs="Calibri"/>
          <w:b/>
          <w:lang w:val="en-US"/>
        </w:rPr>
        <w:t xml:space="preserve"> an instrument that examines the risks and impacts when a project consists of a program and/or series of subprojects, and the risks and impacts cannot be determined until the program or subproject details have been identified</w:t>
      </w:r>
      <w:r w:rsidRPr="00ED4D49">
        <w:rPr>
          <w:rStyle w:val="tlid-translation"/>
          <w:rFonts w:cs="Calibri"/>
          <w:b/>
          <w:lang w:val="en-US"/>
        </w:rPr>
        <w:t>.</w:t>
      </w:r>
      <w:r w:rsidR="00C6478C" w:rsidRPr="00ED4D49">
        <w:rPr>
          <w:rStyle w:val="tlid-translation"/>
          <w:rFonts w:cs="Calibri"/>
          <w:b/>
          <w:lang w:val="en-US"/>
        </w:rPr>
        <w:t xml:space="preserve"> </w:t>
      </w:r>
    </w:p>
    <w:p w14:paraId="0746599C" w14:textId="25FAAE60" w:rsidR="006B41C6" w:rsidRPr="00ED4D49" w:rsidRDefault="0071790D" w:rsidP="00B0209B">
      <w:pPr>
        <w:jc w:val="both"/>
        <w:rPr>
          <w:lang w:val="en-US"/>
        </w:rPr>
      </w:pPr>
      <w:r w:rsidRPr="00ED4D49">
        <w:rPr>
          <w:lang w:val="en-US"/>
        </w:rPr>
        <w:t xml:space="preserve">Although the potential </w:t>
      </w:r>
      <w:r w:rsidR="00BB3655" w:rsidRPr="00ED4D49">
        <w:rPr>
          <w:lang w:val="en-US"/>
        </w:rPr>
        <w:t>subprojects</w:t>
      </w:r>
      <w:r w:rsidRPr="00ED4D49">
        <w:rPr>
          <w:lang w:val="en-US"/>
        </w:rPr>
        <w:t xml:space="preserve"> </w:t>
      </w:r>
      <w:r w:rsidR="006B41C6" w:rsidRPr="00ED4D49">
        <w:rPr>
          <w:lang w:val="en-US"/>
        </w:rPr>
        <w:t>have</w:t>
      </w:r>
      <w:r w:rsidRPr="00ED4D49">
        <w:rPr>
          <w:lang w:val="en-US"/>
        </w:rPr>
        <w:t xml:space="preserve"> already </w:t>
      </w:r>
      <w:r w:rsidR="006B41C6" w:rsidRPr="00ED4D49">
        <w:rPr>
          <w:lang w:val="en-US"/>
        </w:rPr>
        <w:t xml:space="preserve">been </w:t>
      </w:r>
      <w:r w:rsidRPr="00ED4D49">
        <w:rPr>
          <w:lang w:val="en-US"/>
        </w:rPr>
        <w:t xml:space="preserve">proposed for each of the phases, taking into consideration the large geographical scope of the Sava and Drina watersheds, and the overall duration of the Program, there is a great chance that a number of proposed </w:t>
      </w:r>
      <w:r w:rsidR="00BB3655" w:rsidRPr="00ED4D49">
        <w:rPr>
          <w:lang w:val="en-US"/>
        </w:rPr>
        <w:t>subprojects</w:t>
      </w:r>
      <w:r w:rsidRPr="00ED4D49">
        <w:rPr>
          <w:lang w:val="en-US"/>
        </w:rPr>
        <w:t xml:space="preserve"> will be developed, or further developed during the actual implementation of the project. In order to facilitate </w:t>
      </w:r>
      <w:r w:rsidR="006B41C6" w:rsidRPr="00ED4D49">
        <w:rPr>
          <w:lang w:val="en-US"/>
        </w:rPr>
        <w:t xml:space="preserve">the </w:t>
      </w:r>
      <w:r w:rsidRPr="00ED4D49">
        <w:rPr>
          <w:lang w:val="en-US"/>
        </w:rPr>
        <w:t xml:space="preserve">adequate preparation of such </w:t>
      </w:r>
      <w:r w:rsidR="00BB3655" w:rsidRPr="00ED4D49">
        <w:rPr>
          <w:lang w:val="en-US"/>
        </w:rPr>
        <w:t>subprojects</w:t>
      </w:r>
      <w:r w:rsidRPr="00ED4D49">
        <w:rPr>
          <w:lang w:val="en-US"/>
        </w:rPr>
        <w:t xml:space="preserve">, </w:t>
      </w:r>
      <w:r w:rsidR="006B41C6" w:rsidRPr="00ED4D49">
        <w:rPr>
          <w:lang w:val="en-US"/>
        </w:rPr>
        <w:t>the</w:t>
      </w:r>
      <w:r w:rsidRPr="00ED4D49">
        <w:rPr>
          <w:lang w:val="en-US"/>
        </w:rPr>
        <w:t xml:space="preserve"> ESMF is used to define and guide the</w:t>
      </w:r>
      <w:r w:rsidR="006B41C6" w:rsidRPr="00ED4D49">
        <w:rPr>
          <w:lang w:val="en-US"/>
        </w:rPr>
        <w:t xml:space="preserve"> environmental and social (E&amp;S)</w:t>
      </w:r>
      <w:r w:rsidRPr="00ED4D49">
        <w:rPr>
          <w:lang w:val="en-US"/>
        </w:rPr>
        <w:t xml:space="preserve"> due diligence mechanisms for the said activities. </w:t>
      </w:r>
    </w:p>
    <w:p w14:paraId="2A660FD3" w14:textId="0036BF32" w:rsidR="00B0209B" w:rsidRPr="00ED4D49" w:rsidRDefault="006B41C6" w:rsidP="00B0209B">
      <w:pPr>
        <w:jc w:val="both"/>
        <w:rPr>
          <w:rFonts w:cs="Calibri"/>
          <w:lang w:val="en-US" w:eastAsia="x-none"/>
        </w:rPr>
      </w:pPr>
      <w:r w:rsidRPr="00ED4D49">
        <w:rPr>
          <w:lang w:val="en-US"/>
        </w:rPr>
        <w:t xml:space="preserve">The </w:t>
      </w:r>
      <w:r w:rsidR="00B0209B" w:rsidRPr="00ED4D49">
        <w:rPr>
          <w:rStyle w:val="tlid-translation"/>
          <w:rFonts w:cs="Calibri"/>
          <w:lang w:val="en-US"/>
        </w:rPr>
        <w:t>ESMF establishes principles, rule and procedure</w:t>
      </w:r>
      <w:r w:rsidRPr="00ED4D49">
        <w:rPr>
          <w:rStyle w:val="tlid-translation"/>
          <w:rFonts w:cs="Calibri"/>
          <w:lang w:val="en-US"/>
        </w:rPr>
        <w:t>s</w:t>
      </w:r>
      <w:r w:rsidR="00B0209B" w:rsidRPr="00ED4D49">
        <w:rPr>
          <w:rStyle w:val="tlid-translation"/>
          <w:rFonts w:cs="Calibri"/>
          <w:lang w:val="en-US"/>
        </w:rPr>
        <w:t xml:space="preserve"> for assessment of </w:t>
      </w:r>
      <w:r w:rsidRPr="00ED4D49">
        <w:rPr>
          <w:rStyle w:val="tlid-translation"/>
          <w:rFonts w:cs="Calibri"/>
          <w:lang w:val="en-US"/>
        </w:rPr>
        <w:t xml:space="preserve">E&amp;S </w:t>
      </w:r>
      <w:r w:rsidR="00B0209B" w:rsidRPr="00ED4D49">
        <w:rPr>
          <w:rStyle w:val="tlid-translation"/>
          <w:rFonts w:cs="Calibri"/>
          <w:lang w:val="en-US"/>
        </w:rPr>
        <w:t xml:space="preserve">risks and impacts. It includes measures and plans </w:t>
      </w:r>
      <w:r w:rsidR="007B2B4B" w:rsidRPr="00ED4D49">
        <w:rPr>
          <w:rStyle w:val="tlid-translation"/>
          <w:rFonts w:cs="Calibri"/>
          <w:lang w:val="en-US"/>
        </w:rPr>
        <w:t>for</w:t>
      </w:r>
      <w:r w:rsidR="00B0209B" w:rsidRPr="00ED4D49">
        <w:rPr>
          <w:rStyle w:val="tlid-translation"/>
          <w:rFonts w:cs="Calibri"/>
          <w:lang w:val="en-US"/>
        </w:rPr>
        <w:t xml:space="preserve"> reduction, mitigation and/or compensation of negative risks and impacts, rules for estimating and budgeting costs of such measures, as well as information on the agency or agencies responsible </w:t>
      </w:r>
      <w:r w:rsidRPr="00ED4D49">
        <w:rPr>
          <w:rStyle w:val="tlid-translation"/>
          <w:rFonts w:cs="Calibri"/>
          <w:lang w:val="en-US"/>
        </w:rPr>
        <w:t>for</w:t>
      </w:r>
      <w:r w:rsidR="00B0209B" w:rsidRPr="00ED4D49">
        <w:rPr>
          <w:rStyle w:val="tlid-translation"/>
          <w:rFonts w:cs="Calibri"/>
          <w:lang w:val="en-US"/>
        </w:rPr>
        <w:t xml:space="preserve"> address</w:t>
      </w:r>
      <w:r w:rsidRPr="00ED4D49">
        <w:rPr>
          <w:rStyle w:val="tlid-translation"/>
          <w:rFonts w:cs="Calibri"/>
          <w:lang w:val="en-US"/>
        </w:rPr>
        <w:t>ing</w:t>
      </w:r>
      <w:r w:rsidR="00B0209B" w:rsidRPr="00ED4D49">
        <w:rPr>
          <w:rStyle w:val="tlid-translation"/>
          <w:rFonts w:cs="Calibri"/>
          <w:lang w:val="en-US"/>
        </w:rPr>
        <w:t xml:space="preserve"> project risks and impacts, including information on such body’s capacity to manage </w:t>
      </w:r>
      <w:r w:rsidR="003C551F" w:rsidRPr="00ED4D49">
        <w:rPr>
          <w:rStyle w:val="tlid-translation"/>
          <w:rFonts w:cs="Calibri"/>
          <w:lang w:val="en-US"/>
        </w:rPr>
        <w:t>E&amp;S</w:t>
      </w:r>
      <w:r w:rsidR="00B0209B" w:rsidRPr="00ED4D49">
        <w:rPr>
          <w:rStyle w:val="tlid-translation"/>
          <w:rFonts w:cs="Calibri"/>
          <w:lang w:val="en-US"/>
        </w:rPr>
        <w:t xml:space="preserve"> risks and impacts. It also includes adequate information on the area where </w:t>
      </w:r>
      <w:r w:rsidR="00CA5159" w:rsidRPr="00ED4D49">
        <w:rPr>
          <w:rStyle w:val="tlid-translation"/>
          <w:rFonts w:cs="Calibri"/>
          <w:lang w:val="en-US"/>
        </w:rPr>
        <w:t>a</w:t>
      </w:r>
      <w:r w:rsidR="00B0209B" w:rsidRPr="00ED4D49">
        <w:rPr>
          <w:rStyle w:val="tlid-translation"/>
          <w:rFonts w:cs="Calibri"/>
          <w:lang w:val="en-US"/>
        </w:rPr>
        <w:t xml:space="preserve"> </w:t>
      </w:r>
      <w:r w:rsidR="0099422A" w:rsidRPr="00ED4D49">
        <w:rPr>
          <w:rStyle w:val="tlid-translation"/>
          <w:rFonts w:cs="Calibri"/>
          <w:lang w:val="en-US"/>
        </w:rPr>
        <w:t>subproject</w:t>
      </w:r>
      <w:r w:rsidR="00CA5159" w:rsidRPr="00ED4D49">
        <w:rPr>
          <w:rStyle w:val="tlid-translation"/>
          <w:rFonts w:cs="Calibri"/>
          <w:lang w:val="en-US"/>
        </w:rPr>
        <w:t xml:space="preserve"> </w:t>
      </w:r>
      <w:r w:rsidR="00B0209B" w:rsidRPr="00ED4D49">
        <w:rPr>
          <w:rStyle w:val="tlid-translation"/>
          <w:rFonts w:cs="Calibri"/>
          <w:lang w:val="en-US"/>
        </w:rPr>
        <w:t xml:space="preserve">is expected to be implemented, including any potential </w:t>
      </w:r>
      <w:r w:rsidR="00CA5159" w:rsidRPr="00ED4D49">
        <w:rPr>
          <w:rStyle w:val="tlid-translation"/>
          <w:rFonts w:cs="Calibri"/>
          <w:lang w:val="en-US"/>
        </w:rPr>
        <w:t xml:space="preserve">E&amp;S </w:t>
      </w:r>
      <w:r w:rsidR="00B0209B" w:rsidRPr="00ED4D49">
        <w:rPr>
          <w:rStyle w:val="tlid-translation"/>
          <w:rFonts w:cs="Calibri"/>
          <w:lang w:val="en-US"/>
        </w:rPr>
        <w:t>vulnerability of such area; as well as information</w:t>
      </w:r>
      <w:r w:rsidR="00CA5159" w:rsidRPr="00ED4D49">
        <w:rPr>
          <w:rStyle w:val="tlid-translation"/>
          <w:rFonts w:cs="Calibri"/>
          <w:lang w:val="en-US"/>
        </w:rPr>
        <w:t xml:space="preserve"> on</w:t>
      </w:r>
      <w:r w:rsidR="00B0209B" w:rsidRPr="00ED4D49">
        <w:rPr>
          <w:rStyle w:val="tlid-translation"/>
          <w:rFonts w:cs="Calibri"/>
          <w:lang w:val="en-US"/>
        </w:rPr>
        <w:t xml:space="preserve"> the potential impacts and mitigation measures which could be implemented. </w:t>
      </w:r>
    </w:p>
    <w:p w14:paraId="2879D05E" w14:textId="0213B0B2" w:rsidR="00B0209B" w:rsidRPr="00ED4D49" w:rsidRDefault="00B0209B" w:rsidP="00B0209B">
      <w:pPr>
        <w:jc w:val="both"/>
        <w:rPr>
          <w:rFonts w:cs="Calibri"/>
          <w:lang w:val="en-US" w:eastAsia="x-none"/>
        </w:rPr>
      </w:pPr>
      <w:r w:rsidRPr="00ED4D49">
        <w:rPr>
          <w:rFonts w:cs="Calibri"/>
          <w:lang w:val="en-US" w:eastAsia="x-none"/>
        </w:rPr>
        <w:t xml:space="preserve">This ESMF </w:t>
      </w:r>
      <w:r w:rsidR="003C551F" w:rsidRPr="00ED4D49">
        <w:rPr>
          <w:rFonts w:cs="Calibri"/>
          <w:lang w:val="en-US" w:eastAsia="x-none"/>
        </w:rPr>
        <w:t xml:space="preserve">has been </w:t>
      </w:r>
      <w:r w:rsidRPr="00ED4D49">
        <w:rPr>
          <w:rFonts w:cs="Calibri"/>
          <w:lang w:val="en-US" w:eastAsia="x-none"/>
        </w:rPr>
        <w:t xml:space="preserve">prepared with the aim to ensure: </w:t>
      </w:r>
    </w:p>
    <w:p w14:paraId="643B8142" w14:textId="112453B1" w:rsidR="00B0209B" w:rsidRPr="00ED4D49" w:rsidRDefault="007E3B0E" w:rsidP="008D64BA">
      <w:pPr>
        <w:pStyle w:val="Bullets"/>
      </w:pPr>
      <w:r w:rsidRPr="00ED4D49">
        <w:t xml:space="preserve">project </w:t>
      </w:r>
      <w:r w:rsidR="00B0209B" w:rsidRPr="00ED4D49">
        <w:t xml:space="preserve">compliance with all relevant local polices and legislation, as well as </w:t>
      </w:r>
      <w:r w:rsidR="00CA5159" w:rsidRPr="00ED4D49">
        <w:t>WB</w:t>
      </w:r>
      <w:r w:rsidR="00B0209B" w:rsidRPr="00ED4D49">
        <w:t xml:space="preserve"> requirements</w:t>
      </w:r>
      <w:r w:rsidR="003C551F" w:rsidRPr="00ED4D49">
        <w:t>, and</w:t>
      </w:r>
      <w:r w:rsidR="0071790D" w:rsidRPr="00ED4D49">
        <w:t xml:space="preserve"> therefore</w:t>
      </w:r>
    </w:p>
    <w:p w14:paraId="59DABC62" w14:textId="740BC45C" w:rsidR="00B0209B" w:rsidRPr="00ED4D49" w:rsidRDefault="003C551F" w:rsidP="008D64BA">
      <w:pPr>
        <w:pStyle w:val="Bullets"/>
      </w:pPr>
      <w:r w:rsidRPr="00ED4D49">
        <w:t>a</w:t>
      </w:r>
      <w:r w:rsidR="00B0209B" w:rsidRPr="00ED4D49">
        <w:t xml:space="preserve">dequate mitigation of all potentially adverse </w:t>
      </w:r>
      <w:r w:rsidR="00CA5159" w:rsidRPr="00ED4D49">
        <w:rPr>
          <w:rStyle w:val="tlid-translation"/>
        </w:rPr>
        <w:t xml:space="preserve">E&amp;S </w:t>
      </w:r>
      <w:r w:rsidR="00B0209B" w:rsidRPr="00ED4D49">
        <w:t xml:space="preserve">impacts of the </w:t>
      </w:r>
      <w:r w:rsidR="007E3B0E" w:rsidRPr="00ED4D49">
        <w:t>Program</w:t>
      </w:r>
      <w:r w:rsidR="00B0209B" w:rsidRPr="00ED4D49">
        <w:t xml:space="preserve">. </w:t>
      </w:r>
    </w:p>
    <w:p w14:paraId="612D9ECD" w14:textId="389BACFB" w:rsidR="00CD2E20" w:rsidRPr="00ED4D49" w:rsidRDefault="00B0209B" w:rsidP="00CD2E20">
      <w:pPr>
        <w:jc w:val="both"/>
        <w:rPr>
          <w:lang w:val="en-US"/>
        </w:rPr>
      </w:pPr>
      <w:r w:rsidRPr="00ED4D49">
        <w:rPr>
          <w:rFonts w:cs="Calibri"/>
          <w:lang w:val="en-US" w:eastAsia="x-none"/>
        </w:rPr>
        <w:t xml:space="preserve">This document provides </w:t>
      </w:r>
      <w:r w:rsidR="00CA5159" w:rsidRPr="00ED4D49">
        <w:rPr>
          <w:rFonts w:cs="Calibri"/>
          <w:lang w:val="en-US" w:eastAsia="x-none"/>
        </w:rPr>
        <w:t xml:space="preserve">a </w:t>
      </w:r>
      <w:r w:rsidRPr="00ED4D49">
        <w:rPr>
          <w:rFonts w:cs="Calibri"/>
          <w:lang w:val="en-US" w:eastAsia="x-none"/>
        </w:rPr>
        <w:t>detailed description of the procedures related to</w:t>
      </w:r>
      <w:r w:rsidR="00FD0742" w:rsidRPr="00ED4D49">
        <w:rPr>
          <w:rFonts w:cs="Calibri"/>
          <w:lang w:val="en-US" w:eastAsia="x-none"/>
        </w:rPr>
        <w:t xml:space="preserve"> </w:t>
      </w:r>
      <w:r w:rsidRPr="00ED4D49">
        <w:rPr>
          <w:rFonts w:cs="Calibri"/>
          <w:lang w:val="en-US" w:eastAsia="x-none"/>
        </w:rPr>
        <w:t xml:space="preserve">assessment, management and monitoring of </w:t>
      </w:r>
      <w:r w:rsidR="00CA5159" w:rsidRPr="00ED4D49">
        <w:rPr>
          <w:rStyle w:val="tlid-translation"/>
          <w:rFonts w:cs="Calibri"/>
          <w:lang w:val="en-US"/>
        </w:rPr>
        <w:t xml:space="preserve">E&amp;S </w:t>
      </w:r>
      <w:r w:rsidRPr="00ED4D49">
        <w:rPr>
          <w:rFonts w:cs="Calibri"/>
          <w:lang w:val="en-US" w:eastAsia="x-none"/>
        </w:rPr>
        <w:t xml:space="preserve">risks and impacts of the </w:t>
      </w:r>
      <w:r w:rsidR="00BB3655" w:rsidRPr="00ED4D49">
        <w:rPr>
          <w:rFonts w:cs="Calibri"/>
          <w:lang w:val="en-US" w:eastAsia="x-none"/>
        </w:rPr>
        <w:t>subprojects</w:t>
      </w:r>
      <w:r w:rsidRPr="00ED4D49">
        <w:rPr>
          <w:rFonts w:cs="Calibri"/>
          <w:lang w:val="en-US" w:eastAsia="x-none"/>
        </w:rPr>
        <w:t>.</w:t>
      </w:r>
      <w:r w:rsidR="00FD0742" w:rsidRPr="00ED4D49">
        <w:rPr>
          <w:rFonts w:cs="Calibri"/>
          <w:lang w:val="en-US" w:eastAsia="x-none"/>
        </w:rPr>
        <w:t xml:space="preserve"> </w:t>
      </w:r>
      <w:r w:rsidRPr="00ED4D49">
        <w:rPr>
          <w:rFonts w:cs="Calibri"/>
          <w:lang w:val="en-US"/>
        </w:rPr>
        <w:t xml:space="preserve">All </w:t>
      </w:r>
      <w:r w:rsidR="00BB3655" w:rsidRPr="00ED4D49">
        <w:rPr>
          <w:rFonts w:cs="Calibri"/>
          <w:lang w:val="en-US"/>
        </w:rPr>
        <w:t>subprojects</w:t>
      </w:r>
      <w:r w:rsidRPr="00ED4D49">
        <w:rPr>
          <w:rFonts w:cs="Calibri"/>
          <w:lang w:val="en-US"/>
        </w:rPr>
        <w:t xml:space="preserve"> to be financed under the </w:t>
      </w:r>
      <w:r w:rsidR="007E3B0E" w:rsidRPr="00ED4D49">
        <w:rPr>
          <w:rFonts w:cs="Calibri"/>
          <w:lang w:val="en-US"/>
        </w:rPr>
        <w:t xml:space="preserve">Program </w:t>
      </w:r>
      <w:r w:rsidR="00CA5159" w:rsidRPr="00ED4D49">
        <w:rPr>
          <w:rFonts w:cs="Calibri"/>
          <w:lang w:val="en-US"/>
        </w:rPr>
        <w:t>will</w:t>
      </w:r>
      <w:r w:rsidRPr="00ED4D49">
        <w:rPr>
          <w:rFonts w:cs="Calibri"/>
          <w:lang w:val="en-US"/>
        </w:rPr>
        <w:t xml:space="preserve"> be subject to</w:t>
      </w:r>
      <w:r w:rsidR="0071790D" w:rsidRPr="00ED4D49">
        <w:rPr>
          <w:rFonts w:cs="Calibri"/>
          <w:lang w:val="en-US"/>
        </w:rPr>
        <w:t xml:space="preserve"> </w:t>
      </w:r>
      <w:r w:rsidR="00CA5159" w:rsidRPr="00ED4D49">
        <w:rPr>
          <w:rFonts w:cs="Calibri"/>
          <w:lang w:val="en-US"/>
        </w:rPr>
        <w:t xml:space="preserve">an </w:t>
      </w:r>
      <w:r w:rsidR="0071790D" w:rsidRPr="00ED4D49">
        <w:rPr>
          <w:rFonts w:cs="Calibri"/>
          <w:lang w:val="en-US"/>
        </w:rPr>
        <w:t xml:space="preserve">assessment of </w:t>
      </w:r>
      <w:r w:rsidR="00CA5159" w:rsidRPr="00ED4D49">
        <w:rPr>
          <w:rStyle w:val="tlid-translation"/>
          <w:rFonts w:cs="Calibri"/>
          <w:lang w:val="en-US"/>
        </w:rPr>
        <w:t xml:space="preserve">E&amp;S </w:t>
      </w:r>
      <w:r w:rsidR="0071790D" w:rsidRPr="00ED4D49">
        <w:rPr>
          <w:rFonts w:cs="Calibri"/>
          <w:lang w:val="en-US"/>
        </w:rPr>
        <w:t xml:space="preserve">risks </w:t>
      </w:r>
      <w:r w:rsidRPr="00ED4D49">
        <w:rPr>
          <w:rFonts w:cs="Calibri"/>
          <w:lang w:val="en-US"/>
        </w:rPr>
        <w:t xml:space="preserve">by </w:t>
      </w:r>
      <w:r w:rsidR="00CA5159" w:rsidRPr="00ED4D49">
        <w:rPr>
          <w:rFonts w:cs="Calibri"/>
          <w:lang w:val="en-US"/>
        </w:rPr>
        <w:t>the</w:t>
      </w:r>
      <w:r w:rsidR="007E3B0E" w:rsidRPr="00ED4D49">
        <w:rPr>
          <w:rFonts w:cs="Calibri"/>
          <w:lang w:val="en-US"/>
        </w:rPr>
        <w:t xml:space="preserve"> PIUs</w:t>
      </w:r>
      <w:r w:rsidRPr="00ED4D49">
        <w:rPr>
          <w:rFonts w:cs="Calibri"/>
          <w:lang w:val="en-US"/>
        </w:rPr>
        <w:t>, following the procedures described in this Framework.</w:t>
      </w:r>
      <w:r w:rsidR="00CD2E20" w:rsidRPr="00ED4D49">
        <w:rPr>
          <w:rFonts w:cs="Calibri"/>
          <w:lang w:val="en-US"/>
        </w:rPr>
        <w:t xml:space="preserve"> F</w:t>
      </w:r>
      <w:r w:rsidR="00CD2E20" w:rsidRPr="00ED4D49">
        <w:rPr>
          <w:lang w:val="en-US"/>
        </w:rPr>
        <w:t xml:space="preserve">or “high” risk </w:t>
      </w:r>
      <w:r w:rsidR="00BB3655" w:rsidRPr="00ED4D49">
        <w:rPr>
          <w:lang w:val="en-US"/>
        </w:rPr>
        <w:t>subprojects</w:t>
      </w:r>
      <w:r w:rsidR="00CA5159" w:rsidRPr="00ED4D49">
        <w:rPr>
          <w:lang w:val="en-US"/>
        </w:rPr>
        <w:t>,</w:t>
      </w:r>
      <w:r w:rsidR="00CD2E20" w:rsidRPr="00ED4D49">
        <w:rPr>
          <w:lang w:val="en-US"/>
        </w:rPr>
        <w:t xml:space="preserve"> an </w:t>
      </w:r>
      <w:r w:rsidR="00CD2E20" w:rsidRPr="00ED4D49">
        <w:rPr>
          <w:i/>
          <w:iCs/>
          <w:lang w:val="en-US"/>
        </w:rPr>
        <w:t>Environmental and Social Impact Assessment (ESIA)</w:t>
      </w:r>
      <w:r w:rsidR="00CD2E20" w:rsidRPr="00ED4D49">
        <w:rPr>
          <w:lang w:val="en-US"/>
        </w:rPr>
        <w:t xml:space="preserve"> will be </w:t>
      </w:r>
      <w:r w:rsidR="00CA5159" w:rsidRPr="00ED4D49">
        <w:rPr>
          <w:lang w:val="en-US"/>
        </w:rPr>
        <w:t>developed,</w:t>
      </w:r>
      <w:r w:rsidR="00CD2E20" w:rsidRPr="00ED4D49">
        <w:rPr>
          <w:lang w:val="en-US"/>
        </w:rPr>
        <w:t xml:space="preserve"> while for “substantial”, “moderate” and “low” risk </w:t>
      </w:r>
      <w:r w:rsidR="00BB3655" w:rsidRPr="00ED4D49">
        <w:rPr>
          <w:lang w:val="en-US"/>
        </w:rPr>
        <w:t>subprojects</w:t>
      </w:r>
      <w:r w:rsidR="00CA5159" w:rsidRPr="00ED4D49">
        <w:rPr>
          <w:lang w:val="en-US"/>
        </w:rPr>
        <w:t>,</w:t>
      </w:r>
      <w:r w:rsidR="00CD2E20" w:rsidRPr="00ED4D49">
        <w:rPr>
          <w:lang w:val="en-US"/>
        </w:rPr>
        <w:t xml:space="preserve"> </w:t>
      </w:r>
      <w:r w:rsidR="00CA5159" w:rsidRPr="00ED4D49">
        <w:rPr>
          <w:lang w:val="en-US"/>
        </w:rPr>
        <w:t>an</w:t>
      </w:r>
      <w:r w:rsidR="00CD2E20" w:rsidRPr="00ED4D49">
        <w:rPr>
          <w:lang w:val="en-US"/>
        </w:rPr>
        <w:t xml:space="preserve"> assessment will be carried out in line with the FBIH, RS and BD environmental laws (</w:t>
      </w:r>
      <w:r w:rsidR="00CA5159" w:rsidRPr="00ED4D49">
        <w:rPr>
          <w:lang w:val="en-US"/>
        </w:rPr>
        <w:t>depending</w:t>
      </w:r>
      <w:r w:rsidR="00CD2E20" w:rsidRPr="00ED4D49">
        <w:rPr>
          <w:lang w:val="en-US"/>
        </w:rPr>
        <w:t xml:space="preserve"> o</w:t>
      </w:r>
      <w:r w:rsidR="00CA5159" w:rsidRPr="00ED4D49">
        <w:rPr>
          <w:lang w:val="en-US"/>
        </w:rPr>
        <w:t>n</w:t>
      </w:r>
      <w:r w:rsidR="00CD2E20" w:rsidRPr="00ED4D49">
        <w:rPr>
          <w:lang w:val="en-US"/>
        </w:rPr>
        <w:t xml:space="preserve"> the </w:t>
      </w:r>
      <w:r w:rsidR="0099422A" w:rsidRPr="00ED4D49">
        <w:rPr>
          <w:lang w:val="en-US"/>
        </w:rPr>
        <w:t>subproject</w:t>
      </w:r>
      <w:r w:rsidR="00CA5159" w:rsidRPr="00ED4D49">
        <w:rPr>
          <w:lang w:val="en-US"/>
        </w:rPr>
        <w:t xml:space="preserve"> </w:t>
      </w:r>
      <w:r w:rsidR="00CD2E20" w:rsidRPr="00ED4D49">
        <w:rPr>
          <w:lang w:val="en-US"/>
        </w:rPr>
        <w:t xml:space="preserve">location) and will include preparation of a site-specific </w:t>
      </w:r>
      <w:r w:rsidR="00CD2E20" w:rsidRPr="00ED4D49">
        <w:rPr>
          <w:rStyle w:val="tlid-translation"/>
          <w:rFonts w:cs="Calibri"/>
          <w:i/>
          <w:lang w:val="en-US"/>
        </w:rPr>
        <w:t>Environmental and Social Management Plan</w:t>
      </w:r>
      <w:r w:rsidR="00CA5159" w:rsidRPr="00ED4D49">
        <w:rPr>
          <w:rStyle w:val="tlid-translation"/>
          <w:rFonts w:cs="Calibri"/>
          <w:i/>
          <w:lang w:val="en-US"/>
        </w:rPr>
        <w:t xml:space="preserve"> (ESMP)</w:t>
      </w:r>
      <w:r w:rsidR="00CD2E20" w:rsidRPr="00ED4D49">
        <w:rPr>
          <w:rStyle w:val="tlid-translation"/>
          <w:rFonts w:cs="Calibri"/>
          <w:iCs/>
          <w:lang w:val="en-US"/>
        </w:rPr>
        <w:t>, all</w:t>
      </w:r>
      <w:r w:rsidR="00CD2E20" w:rsidRPr="00ED4D49">
        <w:rPr>
          <w:lang w:val="en-US"/>
        </w:rPr>
        <w:t xml:space="preserve"> in line with this ESMF and provisions set forth under the World Bank ESS1 and ESF. </w:t>
      </w:r>
    </w:p>
    <w:bookmarkEnd w:id="28"/>
    <w:p w14:paraId="642FAFA3" w14:textId="18FC555B" w:rsidR="00B0209B" w:rsidRPr="00ED4D49" w:rsidRDefault="00B0209B" w:rsidP="00B0209B">
      <w:pPr>
        <w:jc w:val="both"/>
        <w:rPr>
          <w:rFonts w:cs="Calibri"/>
          <w:lang w:val="en-US" w:eastAsia="x-none"/>
        </w:rPr>
      </w:pPr>
    </w:p>
    <w:p w14:paraId="7C1DBC0C" w14:textId="1BC40FB9" w:rsidR="00CD2E20" w:rsidRPr="00ED4D49" w:rsidRDefault="00CD2E20" w:rsidP="00B0209B">
      <w:pPr>
        <w:jc w:val="both"/>
        <w:rPr>
          <w:rFonts w:cs="Calibri"/>
          <w:lang w:val="en-US" w:eastAsia="x-none"/>
        </w:rPr>
      </w:pPr>
    </w:p>
    <w:p w14:paraId="4B9BED52" w14:textId="77777777" w:rsidR="00CD2E20" w:rsidRPr="00ED4D49" w:rsidRDefault="00CD2E20" w:rsidP="00B0209B">
      <w:pPr>
        <w:jc w:val="both"/>
        <w:rPr>
          <w:rFonts w:cs="Calibri"/>
          <w:lang w:val="en-US" w:eastAsia="x-none"/>
        </w:rPr>
      </w:pPr>
    </w:p>
    <w:p w14:paraId="134A0B9C" w14:textId="7035E82A" w:rsidR="008700A3" w:rsidRPr="00ED4D49" w:rsidRDefault="008700A3" w:rsidP="0063606C">
      <w:pPr>
        <w:pStyle w:val="Heading2"/>
      </w:pPr>
      <w:bookmarkStart w:id="29" w:name="_Toc22563165"/>
      <w:bookmarkStart w:id="30" w:name="_Toc22583763"/>
      <w:bookmarkStart w:id="31" w:name="_Toc31811050"/>
      <w:bookmarkEnd w:id="29"/>
      <w:bookmarkEnd w:id="30"/>
      <w:r w:rsidRPr="00ED4D49">
        <w:t xml:space="preserve">Basic </w:t>
      </w:r>
      <w:r w:rsidR="000825D3" w:rsidRPr="00ED4D49">
        <w:t>I</w:t>
      </w:r>
      <w:r w:rsidRPr="00ED4D49">
        <w:t xml:space="preserve">nformation </w:t>
      </w:r>
      <w:bookmarkEnd w:id="16"/>
      <w:r w:rsidR="000825D3" w:rsidRPr="00ED4D49">
        <w:t xml:space="preserve">About </w:t>
      </w:r>
      <w:r w:rsidR="00054204" w:rsidRPr="00ED4D49">
        <w:t xml:space="preserve">the </w:t>
      </w:r>
      <w:r w:rsidR="000825D3" w:rsidRPr="00ED4D49">
        <w:t>Country</w:t>
      </w:r>
      <w:bookmarkEnd w:id="31"/>
    </w:p>
    <w:tbl>
      <w:tblPr>
        <w:tblW w:w="4909" w:type="pct"/>
        <w:tblInd w:w="10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2440"/>
        <w:gridCol w:w="6406"/>
      </w:tblGrid>
      <w:tr w:rsidR="00B109BB" w:rsidRPr="00ED4D49" w14:paraId="3A951B04" w14:textId="77777777" w:rsidTr="00C27BB5">
        <w:tc>
          <w:tcPr>
            <w:tcW w:w="1379" w:type="pct"/>
            <w:shd w:val="clear" w:color="auto" w:fill="auto"/>
            <w:vAlign w:val="center"/>
          </w:tcPr>
          <w:p w14:paraId="4FA68FD1" w14:textId="77777777" w:rsidR="00B109BB" w:rsidRPr="00ED4D49" w:rsidRDefault="00B109BB" w:rsidP="0052417D">
            <w:pPr>
              <w:spacing w:beforeLines="20" w:before="48" w:after="20"/>
              <w:ind w:left="144" w:right="144"/>
              <w:rPr>
                <w:rFonts w:cs="Calibri"/>
                <w:color w:val="336699"/>
                <w:sz w:val="18"/>
                <w:szCs w:val="18"/>
                <w:lang w:val="en-US"/>
              </w:rPr>
            </w:pPr>
            <w:r w:rsidRPr="00ED4D49">
              <w:rPr>
                <w:rFonts w:cs="Calibri"/>
                <w:color w:val="336699"/>
                <w:sz w:val="18"/>
                <w:szCs w:val="18"/>
                <w:lang w:val="en-US"/>
              </w:rPr>
              <w:t>Official name:</w:t>
            </w:r>
          </w:p>
        </w:tc>
        <w:tc>
          <w:tcPr>
            <w:tcW w:w="3621" w:type="pct"/>
            <w:shd w:val="clear" w:color="auto" w:fill="auto"/>
          </w:tcPr>
          <w:p w14:paraId="43E81C5E" w14:textId="77777777" w:rsidR="00B109BB" w:rsidRPr="00ED4D49" w:rsidRDefault="00B109BB" w:rsidP="0052417D">
            <w:pPr>
              <w:spacing w:beforeLines="20" w:before="48" w:after="20"/>
              <w:rPr>
                <w:sz w:val="18"/>
                <w:szCs w:val="18"/>
                <w:lang w:val="en-US"/>
              </w:rPr>
            </w:pPr>
            <w:r w:rsidRPr="00ED4D49">
              <w:rPr>
                <w:sz w:val="18"/>
                <w:szCs w:val="18"/>
                <w:lang w:val="en-US"/>
              </w:rPr>
              <w:t>Bosnia and Herzegovina</w:t>
            </w:r>
          </w:p>
        </w:tc>
      </w:tr>
      <w:tr w:rsidR="00054204" w:rsidRPr="00ED4D49" w14:paraId="21394754" w14:textId="77777777" w:rsidTr="00C27BB5">
        <w:tc>
          <w:tcPr>
            <w:tcW w:w="1379" w:type="pct"/>
            <w:shd w:val="clear" w:color="auto" w:fill="auto"/>
            <w:vAlign w:val="center"/>
          </w:tcPr>
          <w:p w14:paraId="18726B24" w14:textId="46B336D7" w:rsidR="00054204" w:rsidRPr="00ED4D49" w:rsidRDefault="00054204" w:rsidP="0052417D">
            <w:pPr>
              <w:spacing w:beforeLines="20" w:before="48" w:after="20"/>
              <w:ind w:left="144" w:right="144"/>
              <w:rPr>
                <w:rFonts w:cs="Calibri"/>
                <w:color w:val="336699"/>
                <w:sz w:val="18"/>
                <w:szCs w:val="18"/>
                <w:lang w:val="en-US"/>
              </w:rPr>
            </w:pPr>
            <w:r w:rsidRPr="00ED4D49">
              <w:rPr>
                <w:rFonts w:cs="Calibri"/>
                <w:color w:val="336699"/>
                <w:sz w:val="18"/>
                <w:szCs w:val="18"/>
                <w:lang w:val="en-US"/>
              </w:rPr>
              <w:t>Abbreviation:</w:t>
            </w:r>
          </w:p>
        </w:tc>
        <w:tc>
          <w:tcPr>
            <w:tcW w:w="3621" w:type="pct"/>
            <w:shd w:val="clear" w:color="auto" w:fill="auto"/>
          </w:tcPr>
          <w:p w14:paraId="7884FF0B" w14:textId="7B2BCDDB" w:rsidR="00054204" w:rsidRPr="00ED4D49" w:rsidRDefault="00054204" w:rsidP="0052417D">
            <w:pPr>
              <w:spacing w:beforeLines="20" w:before="48" w:after="20"/>
              <w:rPr>
                <w:sz w:val="18"/>
                <w:szCs w:val="18"/>
                <w:lang w:val="en-US"/>
              </w:rPr>
            </w:pPr>
            <w:r w:rsidRPr="00ED4D49">
              <w:rPr>
                <w:sz w:val="18"/>
                <w:szCs w:val="18"/>
                <w:lang w:val="en-US"/>
              </w:rPr>
              <w:t>BiH</w:t>
            </w:r>
          </w:p>
        </w:tc>
      </w:tr>
      <w:tr w:rsidR="00B109BB" w:rsidRPr="00ED4D49" w14:paraId="3B9B5CE8" w14:textId="77777777" w:rsidTr="00C27BB5">
        <w:tc>
          <w:tcPr>
            <w:tcW w:w="1379" w:type="pct"/>
            <w:shd w:val="clear" w:color="auto" w:fill="auto"/>
            <w:vAlign w:val="center"/>
          </w:tcPr>
          <w:p w14:paraId="053A2C44" w14:textId="77777777" w:rsidR="00B109BB" w:rsidRPr="00ED4D49" w:rsidRDefault="00B109BB" w:rsidP="0052417D">
            <w:pPr>
              <w:spacing w:beforeLines="20" w:before="48" w:after="20"/>
              <w:ind w:left="144" w:right="144"/>
              <w:rPr>
                <w:rFonts w:cs="Calibri"/>
                <w:color w:val="336699"/>
                <w:sz w:val="18"/>
                <w:szCs w:val="18"/>
                <w:lang w:val="en-US"/>
              </w:rPr>
            </w:pPr>
            <w:r w:rsidRPr="00ED4D49">
              <w:rPr>
                <w:rFonts w:cs="Calibri"/>
                <w:color w:val="336699"/>
                <w:sz w:val="18"/>
                <w:szCs w:val="18"/>
                <w:lang w:val="en-US"/>
              </w:rPr>
              <w:t>Capital:</w:t>
            </w:r>
          </w:p>
        </w:tc>
        <w:tc>
          <w:tcPr>
            <w:tcW w:w="3621" w:type="pct"/>
            <w:shd w:val="clear" w:color="auto" w:fill="auto"/>
          </w:tcPr>
          <w:p w14:paraId="23C0EEF1" w14:textId="77777777" w:rsidR="00B109BB" w:rsidRPr="00ED4D49" w:rsidRDefault="00B109BB" w:rsidP="0052417D">
            <w:pPr>
              <w:spacing w:beforeLines="20" w:before="48" w:after="20"/>
              <w:rPr>
                <w:sz w:val="18"/>
                <w:szCs w:val="18"/>
                <w:lang w:val="en-US"/>
              </w:rPr>
            </w:pPr>
            <w:r w:rsidRPr="00ED4D49">
              <w:rPr>
                <w:sz w:val="18"/>
                <w:szCs w:val="18"/>
                <w:lang w:val="en-US"/>
              </w:rPr>
              <w:t>Sarajevo</w:t>
            </w:r>
          </w:p>
        </w:tc>
      </w:tr>
      <w:tr w:rsidR="00B109BB" w:rsidRPr="00ED4D49" w14:paraId="718391F1" w14:textId="77777777" w:rsidTr="00C27BB5">
        <w:tc>
          <w:tcPr>
            <w:tcW w:w="1379" w:type="pct"/>
            <w:shd w:val="clear" w:color="auto" w:fill="auto"/>
            <w:vAlign w:val="center"/>
          </w:tcPr>
          <w:p w14:paraId="52480373" w14:textId="3E5FF196" w:rsidR="00B109BB" w:rsidRPr="00ED4D49" w:rsidRDefault="00157D54" w:rsidP="0052417D">
            <w:pPr>
              <w:spacing w:beforeLines="20" w:before="48" w:after="20"/>
              <w:ind w:left="144" w:right="144"/>
              <w:rPr>
                <w:rFonts w:cs="Calibri"/>
                <w:color w:val="336699"/>
                <w:sz w:val="18"/>
                <w:szCs w:val="18"/>
                <w:lang w:val="en-US"/>
              </w:rPr>
            </w:pPr>
            <w:r w:rsidRPr="00ED4D49">
              <w:rPr>
                <w:rFonts w:cs="Calibri"/>
                <w:color w:val="336699"/>
                <w:sz w:val="18"/>
                <w:szCs w:val="18"/>
                <w:lang w:val="en-US"/>
              </w:rPr>
              <w:t>M</w:t>
            </w:r>
            <w:r w:rsidR="00B109BB" w:rsidRPr="00ED4D49">
              <w:rPr>
                <w:rFonts w:cs="Calibri"/>
                <w:color w:val="336699"/>
                <w:sz w:val="18"/>
                <w:szCs w:val="18"/>
                <w:lang w:val="en-US"/>
              </w:rPr>
              <w:t>ajor cities or towns</w:t>
            </w:r>
            <w:r w:rsidRPr="00ED4D49">
              <w:rPr>
                <w:rFonts w:cs="Calibri"/>
                <w:color w:val="336699"/>
                <w:sz w:val="18"/>
                <w:szCs w:val="18"/>
                <w:lang w:val="en-US"/>
              </w:rPr>
              <w:t xml:space="preserve"> in the project area:</w:t>
            </w:r>
          </w:p>
        </w:tc>
        <w:tc>
          <w:tcPr>
            <w:tcW w:w="3621" w:type="pct"/>
            <w:shd w:val="clear" w:color="auto" w:fill="auto"/>
          </w:tcPr>
          <w:p w14:paraId="1DDC068C" w14:textId="7F7DCBA5" w:rsidR="00157D54" w:rsidRPr="00ED4D49" w:rsidRDefault="00157D54" w:rsidP="0052417D">
            <w:pPr>
              <w:spacing w:beforeLines="20" w:before="48" w:after="20"/>
              <w:rPr>
                <w:sz w:val="18"/>
                <w:szCs w:val="18"/>
                <w:lang w:val="en-US"/>
              </w:rPr>
            </w:pPr>
            <w:r w:rsidRPr="00ED4D49">
              <w:rPr>
                <w:sz w:val="18"/>
                <w:szCs w:val="18"/>
                <w:lang w:val="en-US"/>
              </w:rPr>
              <w:t xml:space="preserve">Sava catchment: Bihac, </w:t>
            </w:r>
            <w:r w:rsidR="00B109BB" w:rsidRPr="00ED4D49">
              <w:rPr>
                <w:sz w:val="18"/>
                <w:szCs w:val="18"/>
                <w:lang w:val="en-US"/>
              </w:rPr>
              <w:t xml:space="preserve">Banja Luka, </w:t>
            </w:r>
            <w:r w:rsidRPr="00ED4D49">
              <w:rPr>
                <w:sz w:val="18"/>
                <w:szCs w:val="18"/>
                <w:lang w:val="en-US"/>
              </w:rPr>
              <w:t>Brcko</w:t>
            </w:r>
            <w:r w:rsidR="00B109BB" w:rsidRPr="00ED4D49">
              <w:rPr>
                <w:sz w:val="18"/>
                <w:szCs w:val="18"/>
                <w:lang w:val="en-US"/>
              </w:rPr>
              <w:t xml:space="preserve">, Bijeljina, </w:t>
            </w:r>
            <w:r w:rsidRPr="00ED4D49">
              <w:rPr>
                <w:sz w:val="18"/>
                <w:szCs w:val="18"/>
                <w:lang w:val="en-US"/>
              </w:rPr>
              <w:t xml:space="preserve">Sarajevo, </w:t>
            </w:r>
            <w:proofErr w:type="spellStart"/>
            <w:r w:rsidR="00B109BB" w:rsidRPr="00ED4D49">
              <w:rPr>
                <w:sz w:val="18"/>
                <w:szCs w:val="18"/>
                <w:lang w:val="en-US"/>
              </w:rPr>
              <w:t>Zenica</w:t>
            </w:r>
            <w:proofErr w:type="spellEnd"/>
            <w:r w:rsidR="00B109BB" w:rsidRPr="00ED4D49">
              <w:rPr>
                <w:sz w:val="18"/>
                <w:szCs w:val="18"/>
                <w:lang w:val="en-US"/>
              </w:rPr>
              <w:t>, Tuzla</w:t>
            </w:r>
          </w:p>
          <w:p w14:paraId="2FB94472" w14:textId="64F3D468" w:rsidR="00B109BB" w:rsidRPr="00ED4D49" w:rsidRDefault="00157D54" w:rsidP="0052417D">
            <w:pPr>
              <w:spacing w:beforeLines="20" w:before="48" w:after="20"/>
              <w:rPr>
                <w:sz w:val="18"/>
                <w:szCs w:val="18"/>
                <w:lang w:val="en-US"/>
              </w:rPr>
            </w:pPr>
            <w:r w:rsidRPr="00ED4D49">
              <w:rPr>
                <w:sz w:val="18"/>
                <w:szCs w:val="18"/>
                <w:lang w:val="en-US"/>
              </w:rPr>
              <w:t>Drina catchment: Fo</w:t>
            </w:r>
            <w:r w:rsidR="00A7018E" w:rsidRPr="00ED4D49">
              <w:rPr>
                <w:sz w:val="18"/>
                <w:szCs w:val="18"/>
                <w:lang w:val="en-US"/>
              </w:rPr>
              <w:t>c</w:t>
            </w:r>
            <w:r w:rsidRPr="00ED4D49">
              <w:rPr>
                <w:sz w:val="18"/>
                <w:szCs w:val="18"/>
                <w:lang w:val="en-US"/>
              </w:rPr>
              <w:t xml:space="preserve">a, Gorazde, </w:t>
            </w:r>
            <w:proofErr w:type="spellStart"/>
            <w:r w:rsidRPr="00ED4D49">
              <w:rPr>
                <w:sz w:val="18"/>
                <w:szCs w:val="18"/>
                <w:lang w:val="en-US"/>
              </w:rPr>
              <w:t>Visegrad</w:t>
            </w:r>
            <w:proofErr w:type="spellEnd"/>
            <w:r w:rsidRPr="00ED4D49">
              <w:rPr>
                <w:sz w:val="18"/>
                <w:szCs w:val="18"/>
                <w:lang w:val="en-US"/>
              </w:rPr>
              <w:t xml:space="preserve">, Srebrenica, Bratunac, </w:t>
            </w:r>
            <w:proofErr w:type="spellStart"/>
            <w:r w:rsidRPr="00ED4D49">
              <w:rPr>
                <w:sz w:val="18"/>
                <w:szCs w:val="18"/>
                <w:lang w:val="en-US"/>
              </w:rPr>
              <w:t>Zvornik</w:t>
            </w:r>
            <w:proofErr w:type="spellEnd"/>
            <w:r w:rsidRPr="00ED4D49">
              <w:rPr>
                <w:sz w:val="18"/>
                <w:szCs w:val="18"/>
                <w:lang w:val="en-US"/>
              </w:rPr>
              <w:t>, Janja</w:t>
            </w:r>
          </w:p>
        </w:tc>
      </w:tr>
      <w:tr w:rsidR="00B109BB" w:rsidRPr="00ED4D49" w14:paraId="49FF3D48" w14:textId="77777777" w:rsidTr="00C27BB5">
        <w:tc>
          <w:tcPr>
            <w:tcW w:w="1379" w:type="pct"/>
            <w:shd w:val="clear" w:color="auto" w:fill="auto"/>
            <w:vAlign w:val="center"/>
          </w:tcPr>
          <w:p w14:paraId="573FD16A" w14:textId="77777777" w:rsidR="00B109BB" w:rsidRPr="00ED4D49" w:rsidRDefault="00B109BB" w:rsidP="0052417D">
            <w:pPr>
              <w:spacing w:beforeLines="20" w:before="48" w:after="20"/>
              <w:ind w:left="144" w:right="144"/>
              <w:rPr>
                <w:rFonts w:cs="Calibri"/>
                <w:color w:val="336699"/>
                <w:sz w:val="18"/>
                <w:szCs w:val="18"/>
                <w:lang w:val="en-US"/>
              </w:rPr>
            </w:pPr>
            <w:r w:rsidRPr="00ED4D49">
              <w:rPr>
                <w:rFonts w:cs="Calibri"/>
                <w:color w:val="336699"/>
                <w:sz w:val="18"/>
                <w:szCs w:val="18"/>
                <w:lang w:val="en-US"/>
              </w:rPr>
              <w:t>Area:</w:t>
            </w:r>
          </w:p>
        </w:tc>
        <w:tc>
          <w:tcPr>
            <w:tcW w:w="3621" w:type="pct"/>
            <w:shd w:val="clear" w:color="auto" w:fill="auto"/>
          </w:tcPr>
          <w:p w14:paraId="4651C4FF" w14:textId="77777777" w:rsidR="00B109BB" w:rsidRPr="00ED4D49" w:rsidRDefault="00B109BB" w:rsidP="0052417D">
            <w:pPr>
              <w:spacing w:beforeLines="20" w:before="48" w:after="20"/>
              <w:rPr>
                <w:sz w:val="18"/>
                <w:szCs w:val="18"/>
                <w:lang w:val="en-US"/>
              </w:rPr>
            </w:pPr>
            <w:r w:rsidRPr="00ED4D49">
              <w:rPr>
                <w:sz w:val="18"/>
                <w:szCs w:val="18"/>
                <w:lang w:val="en-US"/>
              </w:rPr>
              <w:t>51,129 km</w:t>
            </w:r>
            <w:r w:rsidRPr="00ED4D49">
              <w:rPr>
                <w:sz w:val="18"/>
                <w:szCs w:val="18"/>
                <w:vertAlign w:val="superscript"/>
                <w:lang w:val="en-US"/>
              </w:rPr>
              <w:t>2</w:t>
            </w:r>
          </w:p>
        </w:tc>
      </w:tr>
      <w:tr w:rsidR="00B109BB" w:rsidRPr="00ED4D49" w14:paraId="338ADAEF" w14:textId="77777777" w:rsidTr="00C27BB5">
        <w:tc>
          <w:tcPr>
            <w:tcW w:w="1379" w:type="pct"/>
            <w:shd w:val="clear" w:color="auto" w:fill="auto"/>
            <w:vAlign w:val="center"/>
          </w:tcPr>
          <w:p w14:paraId="5FDEDA68" w14:textId="77777777" w:rsidR="00B109BB" w:rsidRPr="00ED4D49" w:rsidRDefault="00B109BB" w:rsidP="0052417D">
            <w:pPr>
              <w:spacing w:beforeLines="20" w:before="48" w:after="20"/>
              <w:ind w:left="144" w:right="144"/>
              <w:rPr>
                <w:rFonts w:cs="Calibri"/>
                <w:color w:val="336699"/>
                <w:sz w:val="18"/>
                <w:szCs w:val="18"/>
                <w:lang w:val="en-US"/>
              </w:rPr>
            </w:pPr>
            <w:r w:rsidRPr="00ED4D49">
              <w:rPr>
                <w:rFonts w:cs="Calibri"/>
                <w:color w:val="336699"/>
                <w:sz w:val="18"/>
                <w:szCs w:val="18"/>
                <w:lang w:val="en-US"/>
              </w:rPr>
              <w:t>Geographical position:</w:t>
            </w:r>
          </w:p>
        </w:tc>
        <w:tc>
          <w:tcPr>
            <w:tcW w:w="3621" w:type="pct"/>
            <w:shd w:val="clear" w:color="auto" w:fill="auto"/>
          </w:tcPr>
          <w:p w14:paraId="036DAD2A" w14:textId="77777777" w:rsidR="00B109BB" w:rsidRPr="00ED4D49" w:rsidRDefault="00B109BB" w:rsidP="0052417D">
            <w:pPr>
              <w:spacing w:beforeLines="20" w:before="48" w:after="20"/>
              <w:rPr>
                <w:sz w:val="18"/>
                <w:szCs w:val="18"/>
                <w:lang w:val="en-US"/>
              </w:rPr>
            </w:pPr>
            <w:r w:rsidRPr="00ED4D49">
              <w:rPr>
                <w:sz w:val="18"/>
                <w:szCs w:val="18"/>
                <w:lang w:val="en-US"/>
              </w:rPr>
              <w:t xml:space="preserve">BiH borders Croatia, Montenegro and Serbia and the Adriatic Sea. </w:t>
            </w:r>
          </w:p>
          <w:p w14:paraId="2198CE85" w14:textId="77777777" w:rsidR="00B109BB" w:rsidRPr="00ED4D49" w:rsidRDefault="00E548FB" w:rsidP="0052417D">
            <w:pPr>
              <w:spacing w:beforeLines="20" w:before="48" w:after="20"/>
              <w:rPr>
                <w:rFonts w:ascii="Arial" w:hAnsi="Arial"/>
                <w:sz w:val="18"/>
                <w:szCs w:val="18"/>
                <w:lang w:val="en-US"/>
              </w:rPr>
            </w:pPr>
            <w:r w:rsidRPr="00ED4D49">
              <w:rPr>
                <w:rFonts w:ascii="Arial" w:hAnsi="Arial"/>
                <w:noProof/>
                <w:sz w:val="18"/>
                <w:szCs w:val="18"/>
                <w:lang w:val="bs-Latn-BA" w:eastAsia="bs-Latn-BA"/>
              </w:rPr>
              <w:drawing>
                <wp:inline distT="0" distB="0" distL="0" distR="0" wp14:anchorId="066D3CAF" wp14:editId="0CD48DA3">
                  <wp:extent cx="2377440" cy="2068195"/>
                  <wp:effectExtent l="0" t="0" r="0" b="0"/>
                  <wp:docPr id="26" name="Picture 10" descr="BiH"/>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BiH"/>
                          <pic:cNvPicPr>
                            <a:picLocks/>
                          </pic:cNvPicPr>
                        </pic:nvPicPr>
                        <pic:blipFill>
                          <a:blip r:embed="rId19">
                            <a:extLst>
                              <a:ext uri="{28A0092B-C50C-407E-A947-70E740481C1C}">
                                <a14:useLocalDpi xmlns:a14="http://schemas.microsoft.com/office/drawing/2010/main"/>
                              </a:ext>
                            </a:extLst>
                          </a:blip>
                          <a:srcRect/>
                          <a:stretch>
                            <a:fillRect/>
                          </a:stretch>
                        </pic:blipFill>
                        <pic:spPr bwMode="auto">
                          <a:xfrm>
                            <a:off x="0" y="0"/>
                            <a:ext cx="2377440" cy="2068195"/>
                          </a:xfrm>
                          <a:prstGeom prst="rect">
                            <a:avLst/>
                          </a:prstGeom>
                          <a:noFill/>
                          <a:ln>
                            <a:noFill/>
                          </a:ln>
                        </pic:spPr>
                      </pic:pic>
                    </a:graphicData>
                  </a:graphic>
                </wp:inline>
              </w:drawing>
            </w:r>
          </w:p>
          <w:p w14:paraId="7E3788DF" w14:textId="57DC6444" w:rsidR="00B109BB" w:rsidRPr="00ED4D49" w:rsidRDefault="00B109BB" w:rsidP="0052417D">
            <w:pPr>
              <w:spacing w:beforeLines="20" w:before="48" w:after="20"/>
              <w:rPr>
                <w:i/>
                <w:sz w:val="18"/>
                <w:szCs w:val="18"/>
                <w:lang w:val="en-US"/>
              </w:rPr>
            </w:pPr>
            <w:bookmarkStart w:id="32" w:name="_Toc25582647"/>
            <w:r w:rsidRPr="00ED4D49">
              <w:rPr>
                <w:i/>
                <w:iCs/>
                <w:color w:val="1F3864"/>
                <w:sz w:val="18"/>
                <w:szCs w:val="18"/>
                <w:lang w:val="en-US"/>
              </w:rPr>
              <w:t xml:space="preserve">Figure </w:t>
            </w:r>
            <w:r w:rsidRPr="00ED4D49">
              <w:rPr>
                <w:i/>
                <w:iCs/>
                <w:color w:val="1F3864"/>
                <w:sz w:val="18"/>
                <w:szCs w:val="18"/>
                <w:lang w:val="en-US"/>
              </w:rPr>
              <w:fldChar w:fldCharType="begin"/>
            </w:r>
            <w:r w:rsidRPr="00ED4D49">
              <w:rPr>
                <w:i/>
                <w:iCs/>
                <w:color w:val="1F3864"/>
                <w:sz w:val="18"/>
                <w:szCs w:val="18"/>
                <w:lang w:val="en-US"/>
              </w:rPr>
              <w:instrText xml:space="preserve"> SEQ Figure \* ARABIC </w:instrText>
            </w:r>
            <w:r w:rsidRPr="00ED4D49">
              <w:rPr>
                <w:i/>
                <w:iCs/>
                <w:color w:val="1F3864"/>
                <w:sz w:val="18"/>
                <w:szCs w:val="18"/>
                <w:lang w:val="en-US"/>
              </w:rPr>
              <w:fldChar w:fldCharType="separate"/>
            </w:r>
            <w:r w:rsidR="00F60130" w:rsidRPr="00ED4D49">
              <w:rPr>
                <w:i/>
                <w:iCs/>
                <w:noProof/>
                <w:color w:val="1F3864"/>
                <w:sz w:val="18"/>
                <w:szCs w:val="18"/>
                <w:lang w:val="en-US"/>
              </w:rPr>
              <w:t>1</w:t>
            </w:r>
            <w:r w:rsidRPr="00ED4D49">
              <w:rPr>
                <w:i/>
                <w:iCs/>
                <w:color w:val="1F3864"/>
                <w:sz w:val="18"/>
                <w:szCs w:val="18"/>
                <w:lang w:val="en-US"/>
              </w:rPr>
              <w:fldChar w:fldCharType="end"/>
            </w:r>
            <w:r w:rsidRPr="00ED4D49">
              <w:rPr>
                <w:i/>
                <w:iCs/>
                <w:color w:val="1F3864"/>
                <w:sz w:val="18"/>
                <w:szCs w:val="18"/>
                <w:lang w:val="en-US"/>
              </w:rPr>
              <w:t>:</w:t>
            </w:r>
            <w:r w:rsidRPr="00ED4D49">
              <w:rPr>
                <w:i/>
                <w:sz w:val="18"/>
                <w:szCs w:val="18"/>
                <w:lang w:val="en-US"/>
              </w:rPr>
              <w:t xml:space="preserve"> Geographical map of BiH</w:t>
            </w:r>
            <w:bookmarkEnd w:id="32"/>
          </w:p>
        </w:tc>
      </w:tr>
      <w:tr w:rsidR="00B109BB" w:rsidRPr="00ED4D49" w14:paraId="277C6C7E" w14:textId="77777777" w:rsidTr="00C27BB5">
        <w:tc>
          <w:tcPr>
            <w:tcW w:w="1379" w:type="pct"/>
            <w:shd w:val="clear" w:color="auto" w:fill="auto"/>
            <w:vAlign w:val="center"/>
          </w:tcPr>
          <w:p w14:paraId="70FDC97B" w14:textId="77777777" w:rsidR="00B109BB" w:rsidRPr="00ED4D49" w:rsidRDefault="00B109BB" w:rsidP="0052417D">
            <w:pPr>
              <w:spacing w:beforeLines="20" w:before="48" w:after="20"/>
              <w:ind w:left="144" w:right="144"/>
              <w:rPr>
                <w:rFonts w:cs="Calibri"/>
                <w:color w:val="336699"/>
                <w:sz w:val="18"/>
                <w:szCs w:val="18"/>
                <w:lang w:val="en-US"/>
              </w:rPr>
            </w:pPr>
            <w:r w:rsidRPr="00ED4D49">
              <w:rPr>
                <w:rFonts w:cs="Calibri"/>
                <w:color w:val="336699"/>
                <w:sz w:val="18"/>
                <w:szCs w:val="18"/>
                <w:lang w:val="en-US"/>
              </w:rPr>
              <w:t>Population:</w:t>
            </w:r>
          </w:p>
        </w:tc>
        <w:tc>
          <w:tcPr>
            <w:tcW w:w="3621" w:type="pct"/>
            <w:shd w:val="clear" w:color="auto" w:fill="auto"/>
          </w:tcPr>
          <w:p w14:paraId="53275889" w14:textId="77777777" w:rsidR="00B109BB" w:rsidRPr="00ED4D49" w:rsidRDefault="00B109BB" w:rsidP="0052417D">
            <w:pPr>
              <w:spacing w:beforeLines="20" w:before="48" w:after="20"/>
              <w:rPr>
                <w:sz w:val="18"/>
                <w:szCs w:val="18"/>
                <w:lang w:val="en-US"/>
              </w:rPr>
            </w:pPr>
            <w:r w:rsidRPr="00ED4D49">
              <w:rPr>
                <w:sz w:val="18"/>
                <w:szCs w:val="18"/>
                <w:lang w:val="en-US"/>
              </w:rPr>
              <w:t>3,511,372</w:t>
            </w:r>
          </w:p>
        </w:tc>
      </w:tr>
      <w:tr w:rsidR="00B109BB" w:rsidRPr="00ED4D49" w14:paraId="2C4FCED2" w14:textId="77777777" w:rsidTr="00C27BB5">
        <w:tc>
          <w:tcPr>
            <w:tcW w:w="1379" w:type="pct"/>
            <w:shd w:val="clear" w:color="auto" w:fill="auto"/>
            <w:vAlign w:val="center"/>
          </w:tcPr>
          <w:p w14:paraId="6B5AE6C0" w14:textId="77777777" w:rsidR="00B109BB" w:rsidRPr="00ED4D49" w:rsidRDefault="00B109BB" w:rsidP="0052417D">
            <w:pPr>
              <w:spacing w:beforeLines="20" w:before="48" w:after="20"/>
              <w:ind w:left="144" w:right="144"/>
              <w:rPr>
                <w:rFonts w:cs="Calibri"/>
                <w:color w:val="336699"/>
                <w:sz w:val="18"/>
                <w:szCs w:val="18"/>
                <w:lang w:val="en-US"/>
              </w:rPr>
            </w:pPr>
            <w:r w:rsidRPr="00ED4D49">
              <w:rPr>
                <w:rFonts w:cs="Calibri"/>
                <w:color w:val="336699"/>
                <w:sz w:val="18"/>
                <w:szCs w:val="18"/>
                <w:lang w:val="en-US"/>
              </w:rPr>
              <w:t>Languages:</w:t>
            </w:r>
          </w:p>
        </w:tc>
        <w:tc>
          <w:tcPr>
            <w:tcW w:w="3621" w:type="pct"/>
            <w:shd w:val="clear" w:color="auto" w:fill="auto"/>
          </w:tcPr>
          <w:p w14:paraId="195350CF" w14:textId="77777777" w:rsidR="00B109BB" w:rsidRPr="00ED4D49" w:rsidRDefault="00B109BB" w:rsidP="0052417D">
            <w:pPr>
              <w:spacing w:beforeLines="20" w:before="48" w:after="20"/>
              <w:rPr>
                <w:sz w:val="18"/>
                <w:szCs w:val="18"/>
                <w:lang w:val="en-US"/>
              </w:rPr>
            </w:pPr>
            <w:r w:rsidRPr="00ED4D49">
              <w:rPr>
                <w:sz w:val="18"/>
                <w:szCs w:val="18"/>
                <w:lang w:val="en-US"/>
              </w:rPr>
              <w:t>Official languages: Bosnian, Serbian and Croatian</w:t>
            </w:r>
          </w:p>
        </w:tc>
      </w:tr>
      <w:tr w:rsidR="00B109BB" w:rsidRPr="00ED4D49" w14:paraId="38870AC6" w14:textId="77777777" w:rsidTr="00C27BB5">
        <w:tc>
          <w:tcPr>
            <w:tcW w:w="1379" w:type="pct"/>
            <w:shd w:val="clear" w:color="auto" w:fill="auto"/>
            <w:vAlign w:val="center"/>
          </w:tcPr>
          <w:p w14:paraId="0CBE1BEB" w14:textId="77777777" w:rsidR="00B109BB" w:rsidRPr="00ED4D49" w:rsidRDefault="00B109BB" w:rsidP="0052417D">
            <w:pPr>
              <w:spacing w:beforeLines="20" w:before="48" w:after="20"/>
              <w:ind w:left="144" w:right="144"/>
              <w:rPr>
                <w:rFonts w:cs="Calibri"/>
                <w:color w:val="336699"/>
                <w:sz w:val="18"/>
                <w:szCs w:val="18"/>
                <w:lang w:val="en-US"/>
              </w:rPr>
            </w:pPr>
            <w:r w:rsidRPr="00ED4D49">
              <w:rPr>
                <w:rFonts w:cs="Calibri"/>
                <w:color w:val="336699"/>
                <w:sz w:val="18"/>
                <w:szCs w:val="18"/>
                <w:lang w:val="en-US"/>
              </w:rPr>
              <w:t>Government structure:</w:t>
            </w:r>
          </w:p>
        </w:tc>
        <w:tc>
          <w:tcPr>
            <w:tcW w:w="3621" w:type="pct"/>
            <w:shd w:val="clear" w:color="auto" w:fill="auto"/>
          </w:tcPr>
          <w:p w14:paraId="7441C0BD" w14:textId="77777777" w:rsidR="00B109BB" w:rsidRPr="00ED4D49" w:rsidRDefault="00B109BB" w:rsidP="0052417D">
            <w:pPr>
              <w:spacing w:beforeLines="20" w:before="48" w:after="20"/>
              <w:jc w:val="both"/>
              <w:rPr>
                <w:sz w:val="18"/>
                <w:szCs w:val="18"/>
                <w:lang w:val="en-US"/>
              </w:rPr>
            </w:pPr>
            <w:r w:rsidRPr="00ED4D49">
              <w:rPr>
                <w:sz w:val="18"/>
                <w:szCs w:val="18"/>
                <w:lang w:val="en-US"/>
              </w:rPr>
              <w:t>BiH is an independent country with a decentralized political and administrative structure and several levels of government:</w:t>
            </w:r>
          </w:p>
          <w:p w14:paraId="198BFF9C" w14:textId="77777777" w:rsidR="00B109BB" w:rsidRPr="00ED4D49" w:rsidRDefault="00B109BB" w:rsidP="00190B9D">
            <w:pPr>
              <w:pStyle w:val="Bullets"/>
            </w:pPr>
            <w:r w:rsidRPr="00ED4D49">
              <w:t>at BiH level;</w:t>
            </w:r>
          </w:p>
          <w:p w14:paraId="2AD9BB58" w14:textId="15285D65" w:rsidR="00B109BB" w:rsidRPr="00ED4D49" w:rsidRDefault="00B109BB" w:rsidP="00190B9D">
            <w:pPr>
              <w:pStyle w:val="Bullets"/>
            </w:pPr>
            <w:r w:rsidRPr="00ED4D49">
              <w:t>at the level of entities</w:t>
            </w:r>
            <w:r w:rsidR="001E42C9" w:rsidRPr="00ED4D49">
              <w:t>/District</w:t>
            </w:r>
            <w:r w:rsidRPr="00ED4D49">
              <w:t xml:space="preserve"> (FBiH</w:t>
            </w:r>
            <w:r w:rsidR="001E42C9" w:rsidRPr="00ED4D49">
              <w:t>,</w:t>
            </w:r>
            <w:r w:rsidRPr="00ED4D49">
              <w:t xml:space="preserve"> RS and BD).</w:t>
            </w:r>
          </w:p>
          <w:p w14:paraId="7DF4F73B" w14:textId="77777777" w:rsidR="00B109BB" w:rsidRPr="00ED4D49" w:rsidRDefault="00B109BB" w:rsidP="0052417D">
            <w:pPr>
              <w:spacing w:beforeLines="20" w:before="48" w:after="20"/>
              <w:jc w:val="both"/>
              <w:rPr>
                <w:sz w:val="18"/>
                <w:szCs w:val="18"/>
                <w:lang w:val="en-US"/>
              </w:rPr>
            </w:pPr>
            <w:r w:rsidRPr="00ED4D49">
              <w:rPr>
                <w:sz w:val="18"/>
                <w:szCs w:val="18"/>
                <w:lang w:val="en-US"/>
              </w:rPr>
              <w:t xml:space="preserve">The highest legislative body in BiH is the Parliamentary Assembly of BiH. </w:t>
            </w:r>
          </w:p>
          <w:p w14:paraId="39BD9196" w14:textId="77777777" w:rsidR="00B109BB" w:rsidRPr="00ED4D49" w:rsidRDefault="00B109BB" w:rsidP="0052417D">
            <w:pPr>
              <w:spacing w:beforeLines="20" w:before="48" w:after="20"/>
              <w:jc w:val="both"/>
              <w:rPr>
                <w:sz w:val="18"/>
                <w:szCs w:val="18"/>
                <w:lang w:val="en-US"/>
              </w:rPr>
            </w:pPr>
            <w:r w:rsidRPr="00ED4D49">
              <w:rPr>
                <w:sz w:val="18"/>
                <w:szCs w:val="18"/>
                <w:lang w:val="en-US"/>
              </w:rPr>
              <w:t>In FBiH, the Parliament of FBiH has legislative authority, while in RS the National Assembly of RS and the Council of Peoples have legislative authority. Based on the decision of the International Arbitration Commission for BD, BD was placed under the authority of the state of BiH towards the end of 2000 and it has its own multi-ethnic government with a selected assembly, executive committee, judiciary and police forces.</w:t>
            </w:r>
          </w:p>
        </w:tc>
      </w:tr>
      <w:tr w:rsidR="00B109BB" w:rsidRPr="00ED4D49" w14:paraId="1E7923D0" w14:textId="77777777" w:rsidTr="00C27BB5">
        <w:tc>
          <w:tcPr>
            <w:tcW w:w="1379" w:type="pct"/>
            <w:shd w:val="clear" w:color="auto" w:fill="auto"/>
            <w:vAlign w:val="center"/>
          </w:tcPr>
          <w:p w14:paraId="2FB51B42" w14:textId="77777777" w:rsidR="00B109BB" w:rsidRPr="00ED4D49" w:rsidRDefault="00B109BB" w:rsidP="0052417D">
            <w:pPr>
              <w:spacing w:beforeLines="20" w:before="48" w:after="20"/>
              <w:ind w:left="144" w:right="144"/>
              <w:rPr>
                <w:rFonts w:cs="Calibri"/>
                <w:color w:val="336699"/>
                <w:sz w:val="18"/>
                <w:szCs w:val="18"/>
                <w:lang w:val="en-US"/>
              </w:rPr>
            </w:pPr>
            <w:r w:rsidRPr="00ED4D49">
              <w:rPr>
                <w:rFonts w:cs="Calibri"/>
                <w:color w:val="336699"/>
                <w:sz w:val="18"/>
                <w:szCs w:val="18"/>
                <w:lang w:val="en-US"/>
              </w:rPr>
              <w:t>Main industries</w:t>
            </w:r>
          </w:p>
        </w:tc>
        <w:tc>
          <w:tcPr>
            <w:tcW w:w="3621" w:type="pct"/>
            <w:shd w:val="clear" w:color="auto" w:fill="auto"/>
          </w:tcPr>
          <w:p w14:paraId="51E377D6" w14:textId="77777777" w:rsidR="00B109BB" w:rsidRPr="00ED4D49" w:rsidRDefault="00B109BB" w:rsidP="0052417D">
            <w:pPr>
              <w:spacing w:beforeLines="20" w:before="48" w:after="20"/>
              <w:jc w:val="both"/>
              <w:rPr>
                <w:sz w:val="18"/>
                <w:szCs w:val="18"/>
                <w:lang w:val="en-US"/>
              </w:rPr>
            </w:pPr>
            <w:r w:rsidRPr="00ED4D49">
              <w:rPr>
                <w:sz w:val="18"/>
                <w:szCs w:val="18"/>
                <w:lang w:val="en-US"/>
              </w:rPr>
              <w:t>Steel, coal, iron ore, lead, zinc, manganese, bauxite, vehicles, textiles, tobacco products, furniture, tanks, aircraft, domestic appliances, oil refining</w:t>
            </w:r>
          </w:p>
        </w:tc>
      </w:tr>
      <w:tr w:rsidR="00B109BB" w:rsidRPr="00ED4D49" w14:paraId="6376CD02" w14:textId="77777777" w:rsidTr="00C27BB5">
        <w:tc>
          <w:tcPr>
            <w:tcW w:w="1379" w:type="pct"/>
            <w:shd w:val="clear" w:color="auto" w:fill="auto"/>
            <w:vAlign w:val="center"/>
          </w:tcPr>
          <w:p w14:paraId="285F9896" w14:textId="77777777" w:rsidR="00B109BB" w:rsidRPr="00ED4D49" w:rsidRDefault="00B109BB" w:rsidP="0052417D">
            <w:pPr>
              <w:spacing w:beforeLines="20" w:before="48" w:after="20"/>
              <w:ind w:left="144" w:right="144"/>
              <w:rPr>
                <w:rFonts w:cs="Calibri"/>
                <w:color w:val="336699"/>
                <w:sz w:val="18"/>
                <w:szCs w:val="18"/>
                <w:lang w:val="en-US"/>
              </w:rPr>
            </w:pPr>
            <w:r w:rsidRPr="00ED4D49">
              <w:rPr>
                <w:rFonts w:cs="Calibri"/>
                <w:color w:val="336699"/>
                <w:sz w:val="18"/>
                <w:szCs w:val="18"/>
                <w:lang w:val="en-US"/>
              </w:rPr>
              <w:t>Nominal GDP:</w:t>
            </w:r>
          </w:p>
        </w:tc>
        <w:tc>
          <w:tcPr>
            <w:tcW w:w="3621" w:type="pct"/>
            <w:shd w:val="clear" w:color="auto" w:fill="auto"/>
          </w:tcPr>
          <w:p w14:paraId="766D8AE8" w14:textId="5933472F" w:rsidR="00B109BB" w:rsidRPr="00ED4D49" w:rsidRDefault="00B109BB" w:rsidP="0052417D">
            <w:pPr>
              <w:spacing w:beforeLines="20" w:before="48" w:after="20"/>
              <w:jc w:val="both"/>
              <w:rPr>
                <w:sz w:val="18"/>
                <w:szCs w:val="18"/>
                <w:lang w:val="en-US"/>
              </w:rPr>
            </w:pPr>
            <w:r w:rsidRPr="00ED4D49">
              <w:rPr>
                <w:sz w:val="18"/>
                <w:szCs w:val="18"/>
                <w:lang w:val="en-US"/>
              </w:rPr>
              <w:t>$</w:t>
            </w:r>
            <w:r w:rsidR="00A76BEC" w:rsidRPr="00ED4D49">
              <w:rPr>
                <w:sz w:val="18"/>
                <w:szCs w:val="18"/>
                <w:lang w:val="en-US"/>
              </w:rPr>
              <w:t xml:space="preserve"> 18,654</w:t>
            </w:r>
            <w:r w:rsidRPr="00ED4D49">
              <w:rPr>
                <w:sz w:val="18"/>
                <w:szCs w:val="18"/>
                <w:lang w:val="en-US"/>
              </w:rPr>
              <w:t xml:space="preserve"> </w:t>
            </w:r>
            <w:r w:rsidR="00A76BEC" w:rsidRPr="00ED4D49">
              <w:rPr>
                <w:sz w:val="18"/>
                <w:szCs w:val="18"/>
                <w:lang w:val="en-US"/>
              </w:rPr>
              <w:t xml:space="preserve">million </w:t>
            </w:r>
            <w:r w:rsidRPr="00ED4D49">
              <w:rPr>
                <w:sz w:val="18"/>
                <w:szCs w:val="18"/>
                <w:lang w:val="en-US"/>
              </w:rPr>
              <w:t>(201</w:t>
            </w:r>
            <w:r w:rsidR="00A76BEC" w:rsidRPr="00ED4D49">
              <w:rPr>
                <w:sz w:val="18"/>
                <w:szCs w:val="18"/>
                <w:lang w:val="en-US"/>
              </w:rPr>
              <w:t>8</w:t>
            </w:r>
            <w:r w:rsidRPr="00ED4D49">
              <w:rPr>
                <w:sz w:val="18"/>
                <w:szCs w:val="18"/>
                <w:lang w:val="en-US"/>
              </w:rPr>
              <w:t xml:space="preserve">) </w:t>
            </w:r>
          </w:p>
        </w:tc>
      </w:tr>
      <w:tr w:rsidR="00B109BB" w:rsidRPr="00ED4D49" w14:paraId="00B080FA" w14:textId="77777777" w:rsidTr="00C27BB5">
        <w:tc>
          <w:tcPr>
            <w:tcW w:w="1379" w:type="pct"/>
            <w:shd w:val="clear" w:color="auto" w:fill="auto"/>
            <w:vAlign w:val="center"/>
          </w:tcPr>
          <w:p w14:paraId="5FA3A0C3" w14:textId="77777777" w:rsidR="00B109BB" w:rsidRPr="00ED4D49" w:rsidRDefault="00B109BB" w:rsidP="0052417D">
            <w:pPr>
              <w:spacing w:beforeLines="20" w:before="48" w:after="20"/>
              <w:ind w:left="144" w:right="144"/>
              <w:rPr>
                <w:rFonts w:cs="Calibri"/>
                <w:color w:val="336699"/>
                <w:sz w:val="18"/>
                <w:szCs w:val="18"/>
                <w:lang w:val="en-US"/>
              </w:rPr>
            </w:pPr>
            <w:r w:rsidRPr="00ED4D49">
              <w:rPr>
                <w:rFonts w:cs="Calibri"/>
                <w:color w:val="336699"/>
                <w:sz w:val="18"/>
                <w:szCs w:val="18"/>
                <w:lang w:val="en-US"/>
              </w:rPr>
              <w:t>Nominal GDP per capita:</w:t>
            </w:r>
          </w:p>
        </w:tc>
        <w:tc>
          <w:tcPr>
            <w:tcW w:w="3621" w:type="pct"/>
            <w:shd w:val="clear" w:color="auto" w:fill="auto"/>
          </w:tcPr>
          <w:p w14:paraId="235B4D48" w14:textId="7B0CC6A6" w:rsidR="00B109BB" w:rsidRPr="00ED4D49" w:rsidRDefault="00B109BB" w:rsidP="0052417D">
            <w:pPr>
              <w:spacing w:beforeLines="20" w:before="48" w:after="20"/>
              <w:jc w:val="both"/>
              <w:rPr>
                <w:sz w:val="18"/>
                <w:szCs w:val="18"/>
                <w:lang w:val="en-US"/>
              </w:rPr>
            </w:pPr>
            <w:r w:rsidRPr="00ED4D49">
              <w:rPr>
                <w:sz w:val="18"/>
                <w:szCs w:val="18"/>
                <w:lang w:val="en-US"/>
              </w:rPr>
              <w:t>$5,</w:t>
            </w:r>
            <w:r w:rsidR="00A76BEC" w:rsidRPr="00ED4D49">
              <w:rPr>
                <w:sz w:val="18"/>
                <w:szCs w:val="18"/>
                <w:lang w:val="en-US"/>
              </w:rPr>
              <w:t>336</w:t>
            </w:r>
            <w:r w:rsidRPr="00ED4D49">
              <w:rPr>
                <w:sz w:val="18"/>
                <w:szCs w:val="18"/>
                <w:lang w:val="en-US"/>
              </w:rPr>
              <w:t xml:space="preserve"> (201</w:t>
            </w:r>
            <w:r w:rsidR="00A76BEC" w:rsidRPr="00ED4D49">
              <w:rPr>
                <w:sz w:val="18"/>
                <w:szCs w:val="18"/>
                <w:lang w:val="en-US"/>
              </w:rPr>
              <w:t>8</w:t>
            </w:r>
            <w:r w:rsidRPr="00ED4D49">
              <w:rPr>
                <w:sz w:val="18"/>
                <w:szCs w:val="18"/>
                <w:lang w:val="en-US"/>
              </w:rPr>
              <w:t>)</w:t>
            </w:r>
          </w:p>
        </w:tc>
      </w:tr>
      <w:tr w:rsidR="00B109BB" w:rsidRPr="00ED4D49" w14:paraId="5CF7643F" w14:textId="77777777" w:rsidTr="00C27BB5">
        <w:tc>
          <w:tcPr>
            <w:tcW w:w="1379" w:type="pct"/>
            <w:shd w:val="clear" w:color="auto" w:fill="auto"/>
            <w:vAlign w:val="center"/>
          </w:tcPr>
          <w:p w14:paraId="0E50A4AE" w14:textId="77777777" w:rsidR="00B109BB" w:rsidRPr="00ED4D49" w:rsidRDefault="00B109BB" w:rsidP="0052417D">
            <w:pPr>
              <w:spacing w:beforeLines="20" w:before="48" w:after="20"/>
              <w:ind w:left="144" w:right="144"/>
              <w:rPr>
                <w:rFonts w:cs="Calibri"/>
                <w:color w:val="336699"/>
                <w:sz w:val="18"/>
                <w:szCs w:val="18"/>
                <w:lang w:val="en-US"/>
              </w:rPr>
            </w:pPr>
            <w:r w:rsidRPr="00ED4D49">
              <w:rPr>
                <w:rFonts w:cs="Calibri"/>
                <w:color w:val="336699"/>
                <w:sz w:val="18"/>
                <w:szCs w:val="18"/>
                <w:lang w:val="en-US"/>
              </w:rPr>
              <w:t>GDP growth:</w:t>
            </w:r>
          </w:p>
        </w:tc>
        <w:tc>
          <w:tcPr>
            <w:tcW w:w="3621" w:type="pct"/>
            <w:shd w:val="clear" w:color="auto" w:fill="auto"/>
          </w:tcPr>
          <w:p w14:paraId="46CA60FB" w14:textId="445C8541" w:rsidR="00B109BB" w:rsidRPr="00ED4D49" w:rsidRDefault="00B109BB" w:rsidP="0052417D">
            <w:pPr>
              <w:spacing w:beforeLines="20" w:before="48" w:after="20"/>
              <w:jc w:val="both"/>
              <w:rPr>
                <w:sz w:val="18"/>
                <w:szCs w:val="18"/>
                <w:lang w:val="en-US"/>
              </w:rPr>
            </w:pPr>
            <w:r w:rsidRPr="00ED4D49">
              <w:rPr>
                <w:sz w:val="18"/>
                <w:szCs w:val="18"/>
                <w:lang w:val="en-US"/>
              </w:rPr>
              <w:t>3% (201</w:t>
            </w:r>
            <w:r w:rsidR="00A76BEC" w:rsidRPr="00ED4D49">
              <w:rPr>
                <w:sz w:val="18"/>
                <w:szCs w:val="18"/>
                <w:lang w:val="en-US"/>
              </w:rPr>
              <w:t>8</w:t>
            </w:r>
            <w:r w:rsidRPr="00ED4D49">
              <w:rPr>
                <w:sz w:val="18"/>
                <w:szCs w:val="18"/>
                <w:lang w:val="en-US"/>
              </w:rPr>
              <w:t>)</w:t>
            </w:r>
          </w:p>
        </w:tc>
      </w:tr>
      <w:tr w:rsidR="00B109BB" w:rsidRPr="00ED4D49" w14:paraId="33EAB590" w14:textId="77777777" w:rsidTr="00C27BB5">
        <w:tc>
          <w:tcPr>
            <w:tcW w:w="1379" w:type="pct"/>
            <w:shd w:val="clear" w:color="auto" w:fill="auto"/>
            <w:vAlign w:val="center"/>
          </w:tcPr>
          <w:p w14:paraId="19CDABFE" w14:textId="77777777" w:rsidR="00B109BB" w:rsidRPr="00ED4D49" w:rsidRDefault="00B109BB" w:rsidP="0052417D">
            <w:pPr>
              <w:spacing w:beforeLines="20" w:before="48" w:after="20"/>
              <w:ind w:left="144" w:right="144"/>
              <w:rPr>
                <w:rFonts w:cs="Calibri"/>
                <w:color w:val="336699"/>
                <w:sz w:val="18"/>
                <w:szCs w:val="18"/>
                <w:lang w:val="en-US"/>
              </w:rPr>
            </w:pPr>
            <w:r w:rsidRPr="00ED4D49">
              <w:rPr>
                <w:rFonts w:cs="Calibri"/>
                <w:color w:val="336699"/>
                <w:sz w:val="18"/>
                <w:szCs w:val="18"/>
                <w:lang w:val="en-US"/>
              </w:rPr>
              <w:t>EU status:</w:t>
            </w:r>
          </w:p>
        </w:tc>
        <w:tc>
          <w:tcPr>
            <w:tcW w:w="3621" w:type="pct"/>
            <w:shd w:val="clear" w:color="auto" w:fill="auto"/>
          </w:tcPr>
          <w:p w14:paraId="024BE05B" w14:textId="77777777" w:rsidR="00B109BB" w:rsidRPr="00ED4D49" w:rsidRDefault="00B109BB" w:rsidP="0052417D">
            <w:pPr>
              <w:spacing w:beforeLines="20" w:before="48" w:after="20"/>
              <w:jc w:val="both"/>
              <w:rPr>
                <w:sz w:val="18"/>
                <w:szCs w:val="18"/>
                <w:lang w:val="en-US"/>
              </w:rPr>
            </w:pPr>
            <w:r w:rsidRPr="00ED4D49">
              <w:rPr>
                <w:sz w:val="18"/>
                <w:szCs w:val="18"/>
                <w:lang w:val="en-US"/>
              </w:rPr>
              <w:t>BiH has an EU candidate status. Accession negotiations with the EU are ongoing.</w:t>
            </w:r>
          </w:p>
        </w:tc>
      </w:tr>
      <w:tr w:rsidR="00157D54" w:rsidRPr="00ED4D49" w14:paraId="2C7E72DB" w14:textId="77777777" w:rsidTr="00C27BB5">
        <w:tc>
          <w:tcPr>
            <w:tcW w:w="1379" w:type="pct"/>
            <w:shd w:val="clear" w:color="auto" w:fill="auto"/>
            <w:vAlign w:val="center"/>
          </w:tcPr>
          <w:p w14:paraId="26DD6FB4" w14:textId="74F2B3BF" w:rsidR="00157D54" w:rsidRPr="00ED4D49" w:rsidRDefault="00157D54" w:rsidP="0052417D">
            <w:pPr>
              <w:spacing w:beforeLines="20" w:before="48" w:after="20"/>
              <w:ind w:left="144" w:right="144"/>
              <w:rPr>
                <w:rFonts w:cs="Calibri"/>
                <w:color w:val="336699"/>
                <w:sz w:val="18"/>
                <w:szCs w:val="18"/>
                <w:lang w:val="en-US"/>
              </w:rPr>
            </w:pPr>
            <w:r w:rsidRPr="00ED4D49">
              <w:rPr>
                <w:rFonts w:cs="Calibri"/>
                <w:color w:val="336699"/>
                <w:sz w:val="18"/>
                <w:szCs w:val="18"/>
                <w:lang w:val="en-US"/>
              </w:rPr>
              <w:t>Sava and Drina catchment area</w:t>
            </w:r>
            <w:r w:rsidR="00054204" w:rsidRPr="00ED4D49">
              <w:rPr>
                <w:rFonts w:cs="Calibri"/>
                <w:color w:val="336699"/>
                <w:sz w:val="18"/>
                <w:szCs w:val="18"/>
                <w:lang w:val="en-US"/>
              </w:rPr>
              <w:t>s in BiH</w:t>
            </w:r>
            <w:r w:rsidR="005C69E9" w:rsidRPr="00ED4D49">
              <w:rPr>
                <w:rFonts w:cs="Calibri"/>
                <w:color w:val="336699"/>
                <w:sz w:val="18"/>
                <w:szCs w:val="18"/>
                <w:lang w:val="en-US"/>
              </w:rPr>
              <w:t>:</w:t>
            </w:r>
          </w:p>
        </w:tc>
        <w:tc>
          <w:tcPr>
            <w:tcW w:w="3621" w:type="pct"/>
            <w:shd w:val="clear" w:color="auto" w:fill="auto"/>
          </w:tcPr>
          <w:p w14:paraId="1813039E" w14:textId="7885416A" w:rsidR="00157D54" w:rsidRPr="00ED4D49" w:rsidRDefault="00157D54" w:rsidP="0052417D">
            <w:pPr>
              <w:spacing w:beforeLines="20" w:before="48" w:after="20"/>
              <w:jc w:val="both"/>
              <w:rPr>
                <w:sz w:val="18"/>
                <w:szCs w:val="18"/>
                <w:lang w:val="en-US"/>
              </w:rPr>
            </w:pPr>
            <w:r w:rsidRPr="00ED4D49">
              <w:rPr>
                <w:sz w:val="18"/>
                <w:szCs w:val="18"/>
                <w:lang w:val="en-US"/>
              </w:rPr>
              <w:t xml:space="preserve">The waters of </w:t>
            </w:r>
            <w:r w:rsidR="00696BC9" w:rsidRPr="00ED4D49">
              <w:rPr>
                <w:sz w:val="18"/>
                <w:szCs w:val="18"/>
                <w:lang w:val="en-US"/>
              </w:rPr>
              <w:t>BiH</w:t>
            </w:r>
            <w:r w:rsidRPr="00ED4D49">
              <w:rPr>
                <w:sz w:val="18"/>
                <w:szCs w:val="18"/>
                <w:lang w:val="en-US"/>
              </w:rPr>
              <w:t xml:space="preserve"> are split between the Sava River Basin and the Adriatic Sea Basin. The Sava River Basin covers the 75% territory of the country. </w:t>
            </w:r>
            <w:r w:rsidR="00054204" w:rsidRPr="00ED4D49">
              <w:rPr>
                <w:sz w:val="18"/>
                <w:szCs w:val="18"/>
                <w:lang w:val="en-US"/>
              </w:rPr>
              <w:t>The Drina River is the largest tributary of the Sava River. It forms natural border between BiH and Serbia.</w:t>
            </w:r>
          </w:p>
        </w:tc>
      </w:tr>
    </w:tbl>
    <w:p w14:paraId="5E9C995A" w14:textId="6B5C9297" w:rsidR="007B2B4B" w:rsidRPr="00ED4D49" w:rsidRDefault="007B2B4B" w:rsidP="002201A4">
      <w:pPr>
        <w:rPr>
          <w:lang w:val="en-US" w:eastAsia="x-none"/>
        </w:rPr>
      </w:pPr>
    </w:p>
    <w:p w14:paraId="4A01D409" w14:textId="51EC83D6" w:rsidR="008700A3" w:rsidRPr="00ED4D49" w:rsidRDefault="00E8075F" w:rsidP="008700A3">
      <w:pPr>
        <w:pStyle w:val="Heading1"/>
        <w:shd w:val="clear" w:color="auto" w:fill="F2F2F2"/>
        <w:spacing w:before="0"/>
        <w:rPr>
          <w:lang w:val="en-US"/>
        </w:rPr>
      </w:pPr>
      <w:bookmarkStart w:id="33" w:name="_Ref30157482"/>
      <w:bookmarkStart w:id="34" w:name="_Toc31811051"/>
      <w:bookmarkStart w:id="35" w:name="_Toc19223867"/>
      <w:r w:rsidRPr="00ED4D49">
        <w:rPr>
          <w:rFonts w:cs="Calibri"/>
          <w:lang w:val="en-US"/>
        </w:rPr>
        <w:lastRenderedPageBreak/>
        <w:t>BASELINE ENVIRONMENTAL CHARACTERISTICS OF</w:t>
      </w:r>
      <w:r w:rsidR="008700A3" w:rsidRPr="00ED4D49">
        <w:rPr>
          <w:rFonts w:cs="Calibri"/>
          <w:lang w:val="en-US"/>
        </w:rPr>
        <w:t xml:space="preserve"> THE PROJECT AREA</w:t>
      </w:r>
      <w:bookmarkEnd w:id="33"/>
      <w:bookmarkEnd w:id="34"/>
    </w:p>
    <w:p w14:paraId="52C447A6" w14:textId="13875E66" w:rsidR="008700A3" w:rsidRPr="00ED4D49" w:rsidRDefault="00ED57DC" w:rsidP="0063606C">
      <w:pPr>
        <w:pStyle w:val="Heading2"/>
      </w:pPr>
      <w:bookmarkStart w:id="36" w:name="_Toc31811052"/>
      <w:r w:rsidRPr="00ED4D49">
        <w:t>Drina River Basin</w:t>
      </w:r>
      <w:bookmarkEnd w:id="36"/>
    </w:p>
    <w:p w14:paraId="55BEFD04" w14:textId="74F74E8A" w:rsidR="00035488" w:rsidRPr="00ED4D49" w:rsidRDefault="00E8075F" w:rsidP="0023292C">
      <w:pPr>
        <w:pStyle w:val="Heading3"/>
      </w:pPr>
      <w:bookmarkStart w:id="37" w:name="_Toc31811053"/>
      <w:r w:rsidRPr="00ED4D49">
        <w:t xml:space="preserve">Geographic, </w:t>
      </w:r>
      <w:r w:rsidR="00DA00BD" w:rsidRPr="00ED4D49">
        <w:t>T</w:t>
      </w:r>
      <w:r w:rsidRPr="00ED4D49">
        <w:t xml:space="preserve">opographic and </w:t>
      </w:r>
      <w:r w:rsidR="00DA00BD" w:rsidRPr="00ED4D49">
        <w:t>G</w:t>
      </w:r>
      <w:r w:rsidRPr="00ED4D49">
        <w:t xml:space="preserve">eological </w:t>
      </w:r>
      <w:r w:rsidR="00DA00BD" w:rsidRPr="00ED4D49">
        <w:t>C</w:t>
      </w:r>
      <w:r w:rsidRPr="00ED4D49">
        <w:t>haracterization</w:t>
      </w:r>
      <w:bookmarkEnd w:id="37"/>
    </w:p>
    <w:p w14:paraId="17E81F9B" w14:textId="609838C9" w:rsidR="007F1BA7" w:rsidRPr="00ED4D49" w:rsidRDefault="00E8075F" w:rsidP="007F1BA7">
      <w:pPr>
        <w:jc w:val="both"/>
        <w:rPr>
          <w:lang w:val="en-US" w:eastAsia="x-none"/>
        </w:rPr>
      </w:pPr>
      <w:r w:rsidRPr="00ED4D49">
        <w:rPr>
          <w:lang w:val="en-US" w:eastAsia="x-none"/>
        </w:rPr>
        <w:t>The Drina River is 346 km long and is the largest tributary of the Sava River Basin</w:t>
      </w:r>
      <w:r w:rsidR="001A6DE7" w:rsidRPr="00ED4D49">
        <w:rPr>
          <w:lang w:val="en-US" w:eastAsia="x-none"/>
        </w:rPr>
        <w:t xml:space="preserve"> (SRB)</w:t>
      </w:r>
      <w:r w:rsidRPr="00ED4D49">
        <w:rPr>
          <w:lang w:val="en-US" w:eastAsia="x-none"/>
        </w:rPr>
        <w:t>, which in turn is the largest tributary by volume of water of the Danube River Basin</w:t>
      </w:r>
      <w:r w:rsidR="001A6DE7" w:rsidRPr="00ED4D49">
        <w:rPr>
          <w:lang w:val="en-US" w:eastAsia="x-none"/>
        </w:rPr>
        <w:t xml:space="preserve"> </w:t>
      </w:r>
      <w:r w:rsidRPr="00ED4D49">
        <w:rPr>
          <w:lang w:val="en-US" w:eastAsia="x-none"/>
        </w:rPr>
        <w:t>that drains into the Black Sea. The Drina River Basin (DRB) has a surface area of 19,680 km</w:t>
      </w:r>
      <w:r w:rsidRPr="00ED4D49">
        <w:rPr>
          <w:vertAlign w:val="superscript"/>
          <w:lang w:val="en-US" w:eastAsia="x-none"/>
        </w:rPr>
        <w:t>2</w:t>
      </w:r>
      <w:r w:rsidRPr="00ED4D49">
        <w:rPr>
          <w:lang w:val="en-US" w:eastAsia="x-none"/>
        </w:rPr>
        <w:t xml:space="preserve"> and spreads over</w:t>
      </w:r>
      <w:r w:rsidR="002B0340" w:rsidRPr="00ED4D49">
        <w:rPr>
          <w:lang w:val="en-US" w:eastAsia="x-none"/>
        </w:rPr>
        <w:t xml:space="preserve"> the</w:t>
      </w:r>
      <w:r w:rsidRPr="00ED4D49">
        <w:rPr>
          <w:lang w:val="en-US" w:eastAsia="x-none"/>
        </w:rPr>
        <w:t xml:space="preserve"> territory </w:t>
      </w:r>
      <w:r w:rsidR="002B0340" w:rsidRPr="00ED4D49">
        <w:rPr>
          <w:lang w:val="en-US" w:eastAsia="x-none"/>
        </w:rPr>
        <w:t>of</w:t>
      </w:r>
      <w:r w:rsidRPr="00ED4D49">
        <w:rPr>
          <w:lang w:val="en-US" w:eastAsia="x-none"/>
        </w:rPr>
        <w:t xml:space="preserve"> principally three riparian states: BiH, Montenegro and Republic of Serbia. In addition, Albania accounts for a very small part of the DRB (&lt;1%) and is not included within the scope of this project. </w:t>
      </w:r>
    </w:p>
    <w:p w14:paraId="29929B72" w14:textId="65AB6064" w:rsidR="00DC2DCA" w:rsidRPr="00ED4D49" w:rsidRDefault="00DC2DCA" w:rsidP="00DC2DCA">
      <w:pPr>
        <w:jc w:val="both"/>
        <w:rPr>
          <w:lang w:val="en-US" w:eastAsia="x-none"/>
        </w:rPr>
      </w:pPr>
      <w:r w:rsidRPr="00ED4D49">
        <w:rPr>
          <w:lang w:val="en-US" w:eastAsia="x-none"/>
        </w:rPr>
        <w:t xml:space="preserve">The Drina </w:t>
      </w:r>
      <w:r w:rsidR="002B0340" w:rsidRPr="00ED4D49">
        <w:rPr>
          <w:lang w:val="en-US" w:eastAsia="x-none"/>
        </w:rPr>
        <w:t xml:space="preserve">River </w:t>
      </w:r>
      <w:r w:rsidRPr="00ED4D49">
        <w:rPr>
          <w:lang w:val="en-US" w:eastAsia="x-none"/>
        </w:rPr>
        <w:t xml:space="preserve">originates between the slopes of the </w:t>
      </w:r>
      <w:proofErr w:type="spellStart"/>
      <w:r w:rsidRPr="00ED4D49">
        <w:rPr>
          <w:lang w:val="en-US" w:eastAsia="x-none"/>
        </w:rPr>
        <w:t>Magli</w:t>
      </w:r>
      <w:r w:rsidR="00C6478C" w:rsidRPr="00ED4D49">
        <w:rPr>
          <w:lang w:val="en-US" w:eastAsia="x-none"/>
        </w:rPr>
        <w:t>c</w:t>
      </w:r>
      <w:proofErr w:type="spellEnd"/>
      <w:r w:rsidRPr="00ED4D49">
        <w:rPr>
          <w:lang w:val="en-US" w:eastAsia="x-none"/>
        </w:rPr>
        <w:t xml:space="preserve"> and </w:t>
      </w:r>
      <w:proofErr w:type="spellStart"/>
      <w:r w:rsidRPr="00ED4D49">
        <w:rPr>
          <w:lang w:val="en-US" w:eastAsia="x-none"/>
        </w:rPr>
        <w:t>Pivska</w:t>
      </w:r>
      <w:proofErr w:type="spellEnd"/>
      <w:r w:rsidRPr="00ED4D49">
        <w:rPr>
          <w:lang w:val="en-US" w:eastAsia="x-none"/>
        </w:rPr>
        <w:t xml:space="preserve"> </w:t>
      </w:r>
      <w:proofErr w:type="spellStart"/>
      <w:r w:rsidRPr="00ED4D49">
        <w:rPr>
          <w:lang w:val="en-US" w:eastAsia="x-none"/>
        </w:rPr>
        <w:t>planina</w:t>
      </w:r>
      <w:proofErr w:type="spellEnd"/>
      <w:r w:rsidRPr="00ED4D49">
        <w:rPr>
          <w:lang w:val="en-US" w:eastAsia="x-none"/>
        </w:rPr>
        <w:t xml:space="preserve"> mountains, between the villages of </w:t>
      </w:r>
      <w:proofErr w:type="spellStart"/>
      <w:r w:rsidR="00A7018E" w:rsidRPr="00ED4D49">
        <w:rPr>
          <w:lang w:val="en-US" w:eastAsia="x-none"/>
        </w:rPr>
        <w:t>S</w:t>
      </w:r>
      <w:r w:rsidR="00C6478C" w:rsidRPr="00ED4D49">
        <w:rPr>
          <w:lang w:val="en-US" w:eastAsia="x-none"/>
        </w:rPr>
        <w:t>c</w:t>
      </w:r>
      <w:r w:rsidRPr="00ED4D49">
        <w:rPr>
          <w:lang w:val="en-US" w:eastAsia="x-none"/>
        </w:rPr>
        <w:t>epan</w:t>
      </w:r>
      <w:proofErr w:type="spellEnd"/>
      <w:r w:rsidRPr="00ED4D49">
        <w:rPr>
          <w:lang w:val="en-US" w:eastAsia="x-none"/>
        </w:rPr>
        <w:t xml:space="preserve"> Polje (in Montenegro) and Hum (in Bosnia and Herzegovina). The Drina River rises at the joining of the Tara River and Piva River near the town of </w:t>
      </w:r>
      <w:proofErr w:type="spellStart"/>
      <w:r w:rsidR="00A7018E" w:rsidRPr="00ED4D49">
        <w:rPr>
          <w:lang w:val="en-US" w:eastAsia="x-none"/>
        </w:rPr>
        <w:t>S</w:t>
      </w:r>
      <w:r w:rsidR="00C6478C" w:rsidRPr="00ED4D49">
        <w:rPr>
          <w:lang w:val="en-US" w:eastAsia="x-none"/>
        </w:rPr>
        <w:t>c</w:t>
      </w:r>
      <w:r w:rsidRPr="00ED4D49">
        <w:rPr>
          <w:lang w:val="en-US" w:eastAsia="x-none"/>
        </w:rPr>
        <w:t>epan</w:t>
      </w:r>
      <w:proofErr w:type="spellEnd"/>
      <w:r w:rsidRPr="00ED4D49">
        <w:rPr>
          <w:lang w:val="en-US" w:eastAsia="x-none"/>
        </w:rPr>
        <w:t xml:space="preserve"> Polje. The </w:t>
      </w:r>
      <w:r w:rsidR="002B0340" w:rsidRPr="00ED4D49">
        <w:rPr>
          <w:lang w:val="en-US" w:eastAsia="x-none"/>
        </w:rPr>
        <w:t>largest</w:t>
      </w:r>
      <w:r w:rsidRPr="00ED4D49">
        <w:rPr>
          <w:lang w:val="en-US" w:eastAsia="x-none"/>
        </w:rPr>
        <w:t xml:space="preserve"> and the most water-abundant tributary in </w:t>
      </w:r>
      <w:r w:rsidR="002B0340" w:rsidRPr="00ED4D49">
        <w:rPr>
          <w:lang w:val="en-US" w:eastAsia="x-none"/>
        </w:rPr>
        <w:t>BiH</w:t>
      </w:r>
      <w:r w:rsidRPr="00ED4D49">
        <w:rPr>
          <w:lang w:val="en-US" w:eastAsia="x-none"/>
        </w:rPr>
        <w:t xml:space="preserve"> is the Lim River.</w:t>
      </w:r>
    </w:p>
    <w:p w14:paraId="14AE3C7C" w14:textId="3F08C078" w:rsidR="007F1BA7" w:rsidRPr="00ED4D49" w:rsidRDefault="007F1BA7" w:rsidP="00DC2DCA">
      <w:pPr>
        <w:jc w:val="both"/>
        <w:rPr>
          <w:lang w:val="en-US" w:eastAsia="x-none"/>
        </w:rPr>
      </w:pPr>
      <w:r w:rsidRPr="00ED4D49">
        <w:rPr>
          <w:lang w:val="en-US" w:eastAsia="x-none"/>
        </w:rPr>
        <w:t xml:space="preserve">In </w:t>
      </w:r>
      <w:r w:rsidR="002B0340" w:rsidRPr="00ED4D49">
        <w:rPr>
          <w:lang w:val="en-US" w:eastAsia="x-none"/>
        </w:rPr>
        <w:t>BiH</w:t>
      </w:r>
      <w:r w:rsidRPr="00ED4D49">
        <w:rPr>
          <w:lang w:val="en-US" w:eastAsia="x-none"/>
        </w:rPr>
        <w:t xml:space="preserve">, </w:t>
      </w:r>
      <w:r w:rsidR="002B0340" w:rsidRPr="00ED4D49">
        <w:rPr>
          <w:lang w:val="en-US" w:eastAsia="x-none"/>
        </w:rPr>
        <w:t>DRB</w:t>
      </w:r>
      <w:r w:rsidRPr="00ED4D49">
        <w:rPr>
          <w:lang w:val="en-US" w:eastAsia="x-none"/>
        </w:rPr>
        <w:t xml:space="preserve"> covers municipalities in both entities</w:t>
      </w:r>
      <w:r w:rsidR="002B0340" w:rsidRPr="00ED4D49">
        <w:rPr>
          <w:lang w:val="en-US" w:eastAsia="x-none"/>
        </w:rPr>
        <w:t xml:space="preserve"> (</w:t>
      </w:r>
      <w:r w:rsidR="00DC2DCA" w:rsidRPr="00ED4D49">
        <w:rPr>
          <w:lang w:val="en-US" w:eastAsia="x-none"/>
        </w:rPr>
        <w:t>FBiH</w:t>
      </w:r>
      <w:r w:rsidR="002B0340" w:rsidRPr="00ED4D49">
        <w:rPr>
          <w:lang w:val="en-US" w:eastAsia="x-none"/>
        </w:rPr>
        <w:t xml:space="preserve"> and RS).</w:t>
      </w:r>
      <w:r w:rsidRPr="00ED4D49">
        <w:rPr>
          <w:lang w:val="en-US" w:eastAsia="x-none"/>
        </w:rPr>
        <w:t xml:space="preserve"> Major municipalities and cities in </w:t>
      </w:r>
      <w:r w:rsidR="002B0340" w:rsidRPr="00ED4D49">
        <w:rPr>
          <w:lang w:val="en-US" w:eastAsia="x-none"/>
        </w:rPr>
        <w:t>DRB</w:t>
      </w:r>
      <w:r w:rsidRPr="00ED4D49">
        <w:rPr>
          <w:lang w:val="en-US" w:eastAsia="x-none"/>
        </w:rPr>
        <w:t xml:space="preserve"> are:</w:t>
      </w:r>
      <w:r w:rsidR="00DC2DCA" w:rsidRPr="00ED4D49">
        <w:rPr>
          <w:lang w:val="en-US" w:eastAsia="x-none"/>
        </w:rPr>
        <w:t xml:space="preserve"> </w:t>
      </w:r>
      <w:proofErr w:type="spellStart"/>
      <w:r w:rsidRPr="00ED4D49">
        <w:rPr>
          <w:lang w:val="en-US" w:eastAsia="x-none"/>
        </w:rPr>
        <w:t>Zvornik</w:t>
      </w:r>
      <w:proofErr w:type="spellEnd"/>
      <w:r w:rsidR="00DC2DCA" w:rsidRPr="00ED4D49">
        <w:rPr>
          <w:lang w:val="en-US" w:eastAsia="x-none"/>
        </w:rPr>
        <w:t xml:space="preserve"> (RS)</w:t>
      </w:r>
      <w:r w:rsidRPr="00ED4D49">
        <w:rPr>
          <w:lang w:val="en-US" w:eastAsia="x-none"/>
        </w:rPr>
        <w:t>, Fo</w:t>
      </w:r>
      <w:r w:rsidR="00A7018E" w:rsidRPr="00ED4D49">
        <w:rPr>
          <w:lang w:val="en-US" w:eastAsia="x-none"/>
        </w:rPr>
        <w:t>c</w:t>
      </w:r>
      <w:r w:rsidRPr="00ED4D49">
        <w:rPr>
          <w:lang w:val="en-US" w:eastAsia="x-none"/>
        </w:rPr>
        <w:t>a</w:t>
      </w:r>
      <w:r w:rsidR="00DC2DCA" w:rsidRPr="00ED4D49">
        <w:rPr>
          <w:lang w:val="en-US" w:eastAsia="x-none"/>
        </w:rPr>
        <w:t xml:space="preserve"> (RS)</w:t>
      </w:r>
      <w:r w:rsidRPr="00ED4D49">
        <w:rPr>
          <w:lang w:val="en-US" w:eastAsia="x-none"/>
        </w:rPr>
        <w:t xml:space="preserve">, </w:t>
      </w:r>
      <w:proofErr w:type="spellStart"/>
      <w:r w:rsidRPr="00ED4D49">
        <w:rPr>
          <w:lang w:val="en-US" w:eastAsia="x-none"/>
        </w:rPr>
        <w:t>Vi</w:t>
      </w:r>
      <w:r w:rsidR="00A7018E" w:rsidRPr="00ED4D49">
        <w:rPr>
          <w:lang w:val="en-US" w:eastAsia="x-none"/>
        </w:rPr>
        <w:t>s</w:t>
      </w:r>
      <w:r w:rsidRPr="00ED4D49">
        <w:rPr>
          <w:lang w:val="en-US" w:eastAsia="x-none"/>
        </w:rPr>
        <w:t>egrad</w:t>
      </w:r>
      <w:proofErr w:type="spellEnd"/>
      <w:r w:rsidR="00DC2DCA" w:rsidRPr="00ED4D49">
        <w:rPr>
          <w:lang w:val="en-US" w:eastAsia="x-none"/>
        </w:rPr>
        <w:t xml:space="preserve"> (RS), </w:t>
      </w:r>
      <w:r w:rsidRPr="00ED4D49">
        <w:rPr>
          <w:lang w:val="en-US" w:eastAsia="x-none"/>
        </w:rPr>
        <w:t>Gora</w:t>
      </w:r>
      <w:r w:rsidR="00C6478C" w:rsidRPr="00ED4D49">
        <w:rPr>
          <w:lang w:val="en-US" w:eastAsia="x-none"/>
        </w:rPr>
        <w:t>z</w:t>
      </w:r>
      <w:r w:rsidRPr="00ED4D49">
        <w:rPr>
          <w:lang w:val="en-US" w:eastAsia="x-none"/>
        </w:rPr>
        <w:t>de</w:t>
      </w:r>
      <w:r w:rsidR="00DC2DCA" w:rsidRPr="00ED4D49">
        <w:rPr>
          <w:lang w:val="en-US" w:eastAsia="x-none"/>
        </w:rPr>
        <w:t xml:space="preserve"> (FBiH)</w:t>
      </w:r>
      <w:r w:rsidRPr="00ED4D49">
        <w:rPr>
          <w:lang w:val="en-US" w:eastAsia="x-none"/>
        </w:rPr>
        <w:t>, Fo</w:t>
      </w:r>
      <w:r w:rsidR="00A7018E" w:rsidRPr="00ED4D49">
        <w:rPr>
          <w:lang w:val="en-US" w:eastAsia="x-none"/>
        </w:rPr>
        <w:t>c</w:t>
      </w:r>
      <w:r w:rsidRPr="00ED4D49">
        <w:rPr>
          <w:lang w:val="en-US" w:eastAsia="x-none"/>
        </w:rPr>
        <w:t xml:space="preserve">a </w:t>
      </w:r>
      <w:proofErr w:type="spellStart"/>
      <w:r w:rsidRPr="00ED4D49">
        <w:rPr>
          <w:lang w:val="en-US" w:eastAsia="x-none"/>
        </w:rPr>
        <w:t>Ustikolina</w:t>
      </w:r>
      <w:proofErr w:type="spellEnd"/>
      <w:r w:rsidR="00DC2DCA" w:rsidRPr="00ED4D49">
        <w:rPr>
          <w:lang w:val="en-US" w:eastAsia="x-none"/>
        </w:rPr>
        <w:t xml:space="preserve"> (FBiH)</w:t>
      </w:r>
      <w:r w:rsidRPr="00ED4D49">
        <w:rPr>
          <w:lang w:val="en-US" w:eastAsia="x-none"/>
        </w:rPr>
        <w:t xml:space="preserve">, Pale </w:t>
      </w:r>
      <w:proofErr w:type="spellStart"/>
      <w:r w:rsidRPr="00ED4D49">
        <w:rPr>
          <w:lang w:val="en-US" w:eastAsia="x-none"/>
        </w:rPr>
        <w:t>Pra</w:t>
      </w:r>
      <w:r w:rsidR="00A7018E" w:rsidRPr="00ED4D49">
        <w:rPr>
          <w:lang w:val="en-US" w:eastAsia="x-none"/>
        </w:rPr>
        <w:t>c</w:t>
      </w:r>
      <w:r w:rsidRPr="00ED4D49">
        <w:rPr>
          <w:lang w:val="en-US" w:eastAsia="x-none"/>
        </w:rPr>
        <w:t>a</w:t>
      </w:r>
      <w:proofErr w:type="spellEnd"/>
      <w:r w:rsidRPr="00ED4D49">
        <w:rPr>
          <w:lang w:val="en-US" w:eastAsia="x-none"/>
        </w:rPr>
        <w:t xml:space="preserve"> </w:t>
      </w:r>
      <w:r w:rsidR="00DC2DCA" w:rsidRPr="00ED4D49">
        <w:rPr>
          <w:lang w:val="en-US" w:eastAsia="x-none"/>
        </w:rPr>
        <w:t>(FBiH).</w:t>
      </w:r>
    </w:p>
    <w:p w14:paraId="43D61664" w14:textId="1D68B5B4" w:rsidR="00E8075F" w:rsidRPr="00ED4D49" w:rsidRDefault="007F1BA7" w:rsidP="007F1BA7">
      <w:pPr>
        <w:jc w:val="both"/>
        <w:rPr>
          <w:lang w:val="en-US" w:eastAsia="x-none"/>
        </w:rPr>
      </w:pPr>
      <w:r w:rsidRPr="00ED4D49">
        <w:rPr>
          <w:lang w:val="en-US" w:eastAsia="x-none"/>
        </w:rPr>
        <w:t>T</w:t>
      </w:r>
      <w:r w:rsidR="00E8075F" w:rsidRPr="00ED4D49">
        <w:rPr>
          <w:lang w:val="en-US" w:eastAsia="x-none"/>
        </w:rPr>
        <w:t xml:space="preserve">he geographical determination </w:t>
      </w:r>
      <w:r w:rsidRPr="00ED4D49">
        <w:rPr>
          <w:lang w:val="en-US" w:eastAsia="x-none"/>
        </w:rPr>
        <w:t xml:space="preserve">in BiH </w:t>
      </w:r>
      <w:r w:rsidR="00E8075F" w:rsidRPr="00ED4D49">
        <w:rPr>
          <w:lang w:val="en-US" w:eastAsia="x-none"/>
        </w:rPr>
        <w:t>is shown in</w:t>
      </w:r>
      <w:r w:rsidR="00012839" w:rsidRPr="00ED4D49">
        <w:rPr>
          <w:lang w:val="en-US" w:eastAsia="x-none"/>
        </w:rPr>
        <w:t xml:space="preserve"> </w:t>
      </w:r>
      <w:r w:rsidR="00012839" w:rsidRPr="00ED4D49">
        <w:rPr>
          <w:lang w:val="en-US" w:eastAsia="x-none"/>
        </w:rPr>
        <w:fldChar w:fldCharType="begin"/>
      </w:r>
      <w:r w:rsidR="00012839" w:rsidRPr="00ED4D49">
        <w:rPr>
          <w:lang w:val="en-US" w:eastAsia="x-none"/>
        </w:rPr>
        <w:instrText xml:space="preserve"> REF _Ref20907272 \h  \* MERGEFORMAT </w:instrText>
      </w:r>
      <w:r w:rsidR="00012839" w:rsidRPr="00ED4D49">
        <w:rPr>
          <w:lang w:val="en-US" w:eastAsia="x-none"/>
        </w:rPr>
      </w:r>
      <w:r w:rsidR="00012839" w:rsidRPr="00ED4D49">
        <w:rPr>
          <w:lang w:val="en-US" w:eastAsia="x-none"/>
        </w:rPr>
        <w:fldChar w:fldCharType="separate"/>
      </w:r>
      <w:r w:rsidR="00F60130" w:rsidRPr="00ED4D49">
        <w:rPr>
          <w:lang w:val="en-US" w:eastAsia="x-none"/>
        </w:rPr>
        <w:t>Figure 2</w:t>
      </w:r>
      <w:r w:rsidR="00012839" w:rsidRPr="00ED4D49">
        <w:rPr>
          <w:lang w:val="en-US" w:eastAsia="x-none"/>
        </w:rPr>
        <w:fldChar w:fldCharType="end"/>
      </w:r>
      <w:r w:rsidR="00E8075F" w:rsidRPr="00ED4D49">
        <w:rPr>
          <w:lang w:val="en-US" w:eastAsia="x-none"/>
        </w:rPr>
        <w:t>.</w:t>
      </w:r>
    </w:p>
    <w:p w14:paraId="3A414CF3" w14:textId="1105A259" w:rsidR="00012839" w:rsidRPr="00ED4D49" w:rsidRDefault="00012839" w:rsidP="007F1BA7">
      <w:pPr>
        <w:jc w:val="both"/>
        <w:rPr>
          <w:lang w:val="en-US" w:eastAsia="x-none"/>
        </w:rPr>
      </w:pPr>
      <w:r w:rsidRPr="00ED4D49">
        <w:rPr>
          <w:noProof/>
          <w:lang w:val="bs-Latn-BA" w:eastAsia="bs-Latn-BA"/>
        </w:rPr>
        <w:drawing>
          <wp:inline distT="0" distB="0" distL="0" distR="0" wp14:anchorId="2031DEDD" wp14:editId="1FD6EC29">
            <wp:extent cx="5727700" cy="4047490"/>
            <wp:effectExtent l="12700" t="12700" r="12700" b="16510"/>
            <wp:docPr id="44" name="Picture 44" descr="A picture containing text,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Sliv_Drina_opcine.jpg"/>
                    <pic:cNvPicPr/>
                  </pic:nvPicPr>
                  <pic:blipFill>
                    <a:blip r:embed="rId20" cstate="screen">
                      <a:extLst>
                        <a:ext uri="{28A0092B-C50C-407E-A947-70E740481C1C}">
                          <a14:useLocalDpi xmlns:a14="http://schemas.microsoft.com/office/drawing/2010/main"/>
                        </a:ext>
                      </a:extLst>
                    </a:blip>
                    <a:stretch>
                      <a:fillRect/>
                    </a:stretch>
                  </pic:blipFill>
                  <pic:spPr>
                    <a:xfrm>
                      <a:off x="0" y="0"/>
                      <a:ext cx="5727700" cy="4047490"/>
                    </a:xfrm>
                    <a:prstGeom prst="rect">
                      <a:avLst/>
                    </a:prstGeom>
                    <a:ln>
                      <a:solidFill>
                        <a:schemeClr val="tx1"/>
                      </a:solidFill>
                    </a:ln>
                  </pic:spPr>
                </pic:pic>
              </a:graphicData>
            </a:graphic>
          </wp:inline>
        </w:drawing>
      </w:r>
    </w:p>
    <w:p w14:paraId="29EDEDC5" w14:textId="7C0ACD30" w:rsidR="00A76BEC" w:rsidRPr="00ED4D49" w:rsidRDefault="007F1BA7" w:rsidP="007F1BA7">
      <w:pPr>
        <w:pStyle w:val="Caption"/>
        <w:rPr>
          <w:b w:val="0"/>
          <w:bCs w:val="0"/>
          <w:i/>
          <w:iCs/>
          <w:color w:val="auto"/>
          <w:sz w:val="16"/>
          <w:szCs w:val="16"/>
        </w:rPr>
      </w:pPr>
      <w:bookmarkStart w:id="38" w:name="_Ref20907272"/>
      <w:bookmarkStart w:id="39" w:name="_Toc25582648"/>
      <w:r w:rsidRPr="00ED4D49">
        <w:rPr>
          <w:b w:val="0"/>
          <w:bCs w:val="0"/>
          <w:i/>
          <w:iCs/>
          <w:color w:val="1F3864"/>
          <w:sz w:val="16"/>
          <w:szCs w:val="16"/>
        </w:rPr>
        <w:t xml:space="preserve">Figure </w:t>
      </w:r>
      <w:r w:rsidRPr="00ED4D49">
        <w:rPr>
          <w:b w:val="0"/>
          <w:bCs w:val="0"/>
          <w:i/>
          <w:iCs/>
          <w:color w:val="1F3864"/>
          <w:sz w:val="16"/>
          <w:szCs w:val="16"/>
        </w:rPr>
        <w:fldChar w:fldCharType="begin"/>
      </w:r>
      <w:r w:rsidRPr="00ED4D49">
        <w:rPr>
          <w:b w:val="0"/>
          <w:bCs w:val="0"/>
          <w:i/>
          <w:iCs/>
          <w:color w:val="1F3864"/>
          <w:sz w:val="16"/>
          <w:szCs w:val="16"/>
        </w:rPr>
        <w:instrText xml:space="preserve"> SEQ Figure \* ARABIC </w:instrText>
      </w:r>
      <w:r w:rsidRPr="00ED4D49">
        <w:rPr>
          <w:b w:val="0"/>
          <w:bCs w:val="0"/>
          <w:i/>
          <w:iCs/>
          <w:color w:val="1F3864"/>
          <w:sz w:val="16"/>
          <w:szCs w:val="16"/>
        </w:rPr>
        <w:fldChar w:fldCharType="separate"/>
      </w:r>
      <w:r w:rsidR="00F60130" w:rsidRPr="00ED4D49">
        <w:rPr>
          <w:b w:val="0"/>
          <w:bCs w:val="0"/>
          <w:i/>
          <w:iCs/>
          <w:noProof/>
          <w:color w:val="1F3864"/>
          <w:sz w:val="16"/>
          <w:szCs w:val="16"/>
        </w:rPr>
        <w:t>2</w:t>
      </w:r>
      <w:r w:rsidRPr="00ED4D49">
        <w:rPr>
          <w:b w:val="0"/>
          <w:bCs w:val="0"/>
          <w:i/>
          <w:iCs/>
          <w:color w:val="1F3864"/>
          <w:sz w:val="16"/>
          <w:szCs w:val="16"/>
        </w:rPr>
        <w:fldChar w:fldCharType="end"/>
      </w:r>
      <w:bookmarkEnd w:id="38"/>
      <w:r w:rsidRPr="00ED4D49">
        <w:rPr>
          <w:b w:val="0"/>
          <w:bCs w:val="0"/>
          <w:i/>
          <w:iCs/>
          <w:color w:val="1F3864"/>
          <w:sz w:val="16"/>
          <w:szCs w:val="16"/>
        </w:rPr>
        <w:t>:</w:t>
      </w:r>
      <w:r w:rsidRPr="00ED4D49">
        <w:t xml:space="preserve"> </w:t>
      </w:r>
      <w:r w:rsidRPr="00ED4D49">
        <w:rPr>
          <w:b w:val="0"/>
          <w:bCs w:val="0"/>
          <w:i/>
          <w:iCs/>
          <w:color w:val="auto"/>
          <w:sz w:val="16"/>
          <w:szCs w:val="16"/>
        </w:rPr>
        <w:t xml:space="preserve">Drina </w:t>
      </w:r>
      <w:r w:rsidR="00BA236B" w:rsidRPr="00ED4D49">
        <w:rPr>
          <w:b w:val="0"/>
          <w:bCs w:val="0"/>
          <w:i/>
          <w:iCs/>
          <w:color w:val="auto"/>
          <w:sz w:val="16"/>
          <w:szCs w:val="16"/>
        </w:rPr>
        <w:t>R</w:t>
      </w:r>
      <w:r w:rsidRPr="00ED4D49">
        <w:rPr>
          <w:b w:val="0"/>
          <w:bCs w:val="0"/>
          <w:i/>
          <w:iCs/>
          <w:color w:val="auto"/>
          <w:sz w:val="16"/>
          <w:szCs w:val="16"/>
        </w:rPr>
        <w:t xml:space="preserve">iver </w:t>
      </w:r>
      <w:r w:rsidR="00BA236B" w:rsidRPr="00ED4D49">
        <w:rPr>
          <w:b w:val="0"/>
          <w:bCs w:val="0"/>
          <w:i/>
          <w:iCs/>
          <w:color w:val="auto"/>
          <w:sz w:val="16"/>
          <w:szCs w:val="16"/>
        </w:rPr>
        <w:t>B</w:t>
      </w:r>
      <w:r w:rsidRPr="00ED4D49">
        <w:rPr>
          <w:b w:val="0"/>
          <w:bCs w:val="0"/>
          <w:i/>
          <w:iCs/>
          <w:color w:val="auto"/>
          <w:sz w:val="16"/>
          <w:szCs w:val="16"/>
        </w:rPr>
        <w:t>asin in BiH</w:t>
      </w:r>
      <w:bookmarkEnd w:id="39"/>
      <w:r w:rsidR="00057D86" w:rsidRPr="00ED4D49">
        <w:rPr>
          <w:b w:val="0"/>
          <w:bCs w:val="0"/>
          <w:i/>
          <w:iCs/>
          <w:color w:val="auto"/>
          <w:sz w:val="16"/>
          <w:szCs w:val="16"/>
        </w:rPr>
        <w:t xml:space="preserve"> </w:t>
      </w:r>
    </w:p>
    <w:p w14:paraId="0E70F9DF" w14:textId="6B0E9819" w:rsidR="007F1BA7" w:rsidRPr="00ED4D49" w:rsidRDefault="00057D86" w:rsidP="007F1BA7">
      <w:pPr>
        <w:pStyle w:val="Caption"/>
        <w:rPr>
          <w:lang w:eastAsia="x-none"/>
        </w:rPr>
      </w:pPr>
      <w:r w:rsidRPr="00ED4D49">
        <w:rPr>
          <w:b w:val="0"/>
          <w:bCs w:val="0"/>
          <w:i/>
          <w:iCs/>
          <w:color w:val="auto"/>
          <w:sz w:val="16"/>
          <w:szCs w:val="16"/>
        </w:rPr>
        <w:t>(Source: Consultant)</w:t>
      </w:r>
    </w:p>
    <w:p w14:paraId="51515D82" w14:textId="7BE20B4F" w:rsidR="00922201" w:rsidRPr="00ED4D49" w:rsidRDefault="00922201" w:rsidP="00922201">
      <w:pPr>
        <w:jc w:val="both"/>
        <w:rPr>
          <w:lang w:val="en-US" w:eastAsia="x-none"/>
        </w:rPr>
      </w:pPr>
      <w:r w:rsidRPr="00ED4D49">
        <w:rPr>
          <w:lang w:val="en-US" w:eastAsia="x-none"/>
        </w:rPr>
        <w:t xml:space="preserve">The average altitude of the DRB is 961.6 m </w:t>
      </w:r>
      <w:proofErr w:type="spellStart"/>
      <w:r w:rsidRPr="00ED4D49">
        <w:rPr>
          <w:lang w:val="en-US" w:eastAsia="x-none"/>
        </w:rPr>
        <w:t>a.s.l</w:t>
      </w:r>
      <w:proofErr w:type="spellEnd"/>
      <w:r w:rsidRPr="00ED4D49">
        <w:rPr>
          <w:lang w:val="en-US" w:eastAsia="x-none"/>
        </w:rPr>
        <w:t xml:space="preserve">., but it ranges from 75.4 m </w:t>
      </w:r>
      <w:proofErr w:type="spellStart"/>
      <w:r w:rsidRPr="00ED4D49">
        <w:rPr>
          <w:lang w:val="en-US" w:eastAsia="x-none"/>
        </w:rPr>
        <w:t>a.s.l</w:t>
      </w:r>
      <w:proofErr w:type="spellEnd"/>
      <w:r w:rsidRPr="00ED4D49">
        <w:rPr>
          <w:lang w:val="en-US" w:eastAsia="x-none"/>
        </w:rPr>
        <w:t xml:space="preserve">. at the mouth to more than 2,500 m </w:t>
      </w:r>
      <w:proofErr w:type="spellStart"/>
      <w:r w:rsidRPr="00ED4D49">
        <w:rPr>
          <w:lang w:val="en-US" w:eastAsia="x-none"/>
        </w:rPr>
        <w:t>a.s.l</w:t>
      </w:r>
      <w:proofErr w:type="spellEnd"/>
      <w:r w:rsidRPr="00ED4D49">
        <w:rPr>
          <w:lang w:val="en-US" w:eastAsia="x-none"/>
        </w:rPr>
        <w:t xml:space="preserve">. on the highest mountains (e.g. Prokletije Mountain 2,694 m </w:t>
      </w:r>
      <w:proofErr w:type="spellStart"/>
      <w:r w:rsidRPr="00ED4D49">
        <w:rPr>
          <w:lang w:val="en-US" w:eastAsia="x-none"/>
        </w:rPr>
        <w:t>a.s.l</w:t>
      </w:r>
      <w:proofErr w:type="spellEnd"/>
      <w:r w:rsidRPr="00ED4D49">
        <w:rPr>
          <w:lang w:val="en-US" w:eastAsia="x-none"/>
        </w:rPr>
        <w:t xml:space="preserve">., </w:t>
      </w:r>
      <w:proofErr w:type="spellStart"/>
      <w:r w:rsidRPr="00ED4D49">
        <w:rPr>
          <w:lang w:val="en-US" w:eastAsia="x-none"/>
        </w:rPr>
        <w:t>Komovi</w:t>
      </w:r>
      <w:proofErr w:type="spellEnd"/>
      <w:r w:rsidRPr="00ED4D49">
        <w:rPr>
          <w:lang w:val="en-US" w:eastAsia="x-none"/>
        </w:rPr>
        <w:t xml:space="preserve"> Mountain 2,487 m </w:t>
      </w:r>
      <w:proofErr w:type="spellStart"/>
      <w:r w:rsidRPr="00ED4D49">
        <w:rPr>
          <w:lang w:val="en-US" w:eastAsia="x-none"/>
        </w:rPr>
        <w:t>a.s.l</w:t>
      </w:r>
      <w:proofErr w:type="spellEnd"/>
      <w:r w:rsidRPr="00ED4D49">
        <w:rPr>
          <w:lang w:val="en-US" w:eastAsia="x-none"/>
        </w:rPr>
        <w:t xml:space="preserve">. and </w:t>
      </w:r>
      <w:proofErr w:type="spellStart"/>
      <w:r w:rsidRPr="00ED4D49">
        <w:rPr>
          <w:lang w:val="en-US" w:eastAsia="x-none"/>
        </w:rPr>
        <w:t>Durmitor</w:t>
      </w:r>
      <w:proofErr w:type="spellEnd"/>
      <w:r w:rsidRPr="00ED4D49">
        <w:rPr>
          <w:lang w:val="en-US" w:eastAsia="x-none"/>
        </w:rPr>
        <w:t xml:space="preserve"> Mountain 2,522 m </w:t>
      </w:r>
      <w:proofErr w:type="spellStart"/>
      <w:r w:rsidRPr="00ED4D49">
        <w:rPr>
          <w:lang w:val="en-US" w:eastAsia="x-none"/>
        </w:rPr>
        <w:t>a.s.l</w:t>
      </w:r>
      <w:proofErr w:type="spellEnd"/>
      <w:r w:rsidRPr="00ED4D49">
        <w:rPr>
          <w:lang w:val="en-US" w:eastAsia="x-none"/>
        </w:rPr>
        <w:t>.).</w:t>
      </w:r>
    </w:p>
    <w:p w14:paraId="04F83303" w14:textId="6DA5BE6B" w:rsidR="00DC2DCA" w:rsidRPr="00ED4D49" w:rsidRDefault="00423413" w:rsidP="00DC2DCA">
      <w:pPr>
        <w:jc w:val="both"/>
        <w:rPr>
          <w:lang w:val="en-US" w:eastAsia="x-none"/>
        </w:rPr>
      </w:pPr>
      <w:r w:rsidRPr="00ED4D49">
        <w:rPr>
          <w:lang w:val="en-US" w:eastAsia="x-none"/>
        </w:rPr>
        <w:lastRenderedPageBreak/>
        <w:t xml:space="preserve">According to the information presented in the </w:t>
      </w:r>
      <w:r w:rsidR="002B0340" w:rsidRPr="00ED4D49">
        <w:rPr>
          <w:lang w:val="en-US" w:eastAsia="x-none"/>
        </w:rPr>
        <w:t>WB</w:t>
      </w:r>
      <w:r w:rsidRPr="00ED4D49">
        <w:rPr>
          <w:lang w:val="en-US" w:eastAsia="x-none"/>
        </w:rPr>
        <w:t xml:space="preserve"> Drina River Basin – Roof Report (2017), t</w:t>
      </w:r>
      <w:r w:rsidR="00DC2DCA" w:rsidRPr="00ED4D49">
        <w:rPr>
          <w:lang w:val="en-US" w:eastAsia="x-none"/>
        </w:rPr>
        <w:t xml:space="preserve">he Drina River flows over few geotectonic units (terranes, blocks; Figure 3). In its lower course on the north, the Drina River flows into the Sava River and passes through the </w:t>
      </w:r>
      <w:proofErr w:type="spellStart"/>
      <w:r w:rsidR="00DC2DCA" w:rsidRPr="00ED4D49">
        <w:rPr>
          <w:lang w:val="en-US" w:eastAsia="x-none"/>
        </w:rPr>
        <w:t>Jadar</w:t>
      </w:r>
      <w:proofErr w:type="spellEnd"/>
      <w:r w:rsidR="00DC2DCA" w:rsidRPr="00ED4D49">
        <w:rPr>
          <w:lang w:val="en-US" w:eastAsia="x-none"/>
        </w:rPr>
        <w:t xml:space="preserve"> Block terrane (JBT). Then it passes through the Vardar Zone Western Belt (VZWB), known as “Zvornik suture”, which marks tectonic boundary between the Drina-</w:t>
      </w:r>
      <w:proofErr w:type="spellStart"/>
      <w:r w:rsidR="00DC2DCA" w:rsidRPr="00ED4D49">
        <w:rPr>
          <w:lang w:val="en-US" w:eastAsia="x-none"/>
        </w:rPr>
        <w:t>Ivanjica</w:t>
      </w:r>
      <w:proofErr w:type="spellEnd"/>
      <w:r w:rsidR="00DC2DCA" w:rsidRPr="00ED4D49">
        <w:rPr>
          <w:lang w:val="en-US" w:eastAsia="x-none"/>
        </w:rPr>
        <w:t xml:space="preserve"> and </w:t>
      </w:r>
      <w:proofErr w:type="spellStart"/>
      <w:r w:rsidR="00DC2DCA" w:rsidRPr="00ED4D49">
        <w:rPr>
          <w:lang w:val="en-US" w:eastAsia="x-none"/>
        </w:rPr>
        <w:t>Jadar-Kopaonik</w:t>
      </w:r>
      <w:proofErr w:type="spellEnd"/>
      <w:r w:rsidR="00DC2DCA" w:rsidRPr="00ED4D49">
        <w:rPr>
          <w:lang w:val="en-US" w:eastAsia="x-none"/>
        </w:rPr>
        <w:t xml:space="preserve"> thrusts. Toward south, the Drina River passes through the Drina-</w:t>
      </w:r>
      <w:proofErr w:type="spellStart"/>
      <w:r w:rsidR="00DC2DCA" w:rsidRPr="00ED4D49">
        <w:rPr>
          <w:lang w:val="en-US" w:eastAsia="x-none"/>
        </w:rPr>
        <w:t>Ivanjica</w:t>
      </w:r>
      <w:proofErr w:type="spellEnd"/>
      <w:r w:rsidR="00DC2DCA" w:rsidRPr="00ED4D49">
        <w:rPr>
          <w:lang w:val="en-US" w:eastAsia="x-none"/>
        </w:rPr>
        <w:t xml:space="preserve"> Element (DIE), th</w:t>
      </w:r>
      <w:r w:rsidR="002B0340" w:rsidRPr="00ED4D49">
        <w:rPr>
          <w:lang w:val="en-US" w:eastAsia="x-none"/>
        </w:rPr>
        <w:t>e</w:t>
      </w:r>
      <w:r w:rsidR="00DC2DCA" w:rsidRPr="00ED4D49">
        <w:rPr>
          <w:lang w:val="en-US" w:eastAsia="x-none"/>
        </w:rPr>
        <w:t xml:space="preserve">n the </w:t>
      </w:r>
      <w:proofErr w:type="spellStart"/>
      <w:r w:rsidR="00DC2DCA" w:rsidRPr="00ED4D49">
        <w:rPr>
          <w:lang w:val="en-US" w:eastAsia="x-none"/>
        </w:rPr>
        <w:t>Dinaridic</w:t>
      </w:r>
      <w:proofErr w:type="spellEnd"/>
      <w:r w:rsidR="00DC2DCA" w:rsidRPr="00ED4D49">
        <w:rPr>
          <w:lang w:val="en-US" w:eastAsia="x-none"/>
        </w:rPr>
        <w:t xml:space="preserve"> Ophiolitic Belt (DOB) and the East Bosnian-</w:t>
      </w:r>
      <w:proofErr w:type="spellStart"/>
      <w:r w:rsidR="00DC2DCA" w:rsidRPr="00ED4D49">
        <w:rPr>
          <w:lang w:val="en-US" w:eastAsia="x-none"/>
        </w:rPr>
        <w:t>Durmitor</w:t>
      </w:r>
      <w:proofErr w:type="spellEnd"/>
      <w:r w:rsidR="00DC2DCA" w:rsidRPr="00ED4D49">
        <w:rPr>
          <w:lang w:val="en-US" w:eastAsia="x-none"/>
        </w:rPr>
        <w:t xml:space="preserve"> Block Terrane (EBDT). In Montenegro, in the area of Dalmatian-</w:t>
      </w:r>
      <w:r w:rsidR="002A5FC6" w:rsidRPr="00ED4D49">
        <w:rPr>
          <w:lang w:val="en-US" w:eastAsia="x-none"/>
        </w:rPr>
        <w:t>Herzegovinian</w:t>
      </w:r>
      <w:r w:rsidR="00DC2DCA" w:rsidRPr="00ED4D49">
        <w:rPr>
          <w:lang w:val="en-US" w:eastAsia="x-none"/>
        </w:rPr>
        <w:t xml:space="preserve"> Composite Terrane (DHCT), the Piva and Tara rivers flow into the Drina River. In its lowest course, the Drina River is meandering strongly. In this part, the region of </w:t>
      </w:r>
      <w:proofErr w:type="spellStart"/>
      <w:r w:rsidR="00DC2DCA" w:rsidRPr="00ED4D49">
        <w:rPr>
          <w:lang w:val="en-US" w:eastAsia="x-none"/>
        </w:rPr>
        <w:t>Semberija</w:t>
      </w:r>
      <w:proofErr w:type="spellEnd"/>
      <w:r w:rsidR="00DC2DCA" w:rsidRPr="00ED4D49">
        <w:rPr>
          <w:lang w:val="en-US" w:eastAsia="x-none"/>
        </w:rPr>
        <w:t xml:space="preserve"> lies on the Bosnia and Herzegovina side, and the region of </w:t>
      </w:r>
      <w:proofErr w:type="spellStart"/>
      <w:r w:rsidR="00DC2DCA" w:rsidRPr="00ED4D49">
        <w:rPr>
          <w:lang w:val="en-US" w:eastAsia="x-none"/>
        </w:rPr>
        <w:t>Ma</w:t>
      </w:r>
      <w:r w:rsidR="00A7018E" w:rsidRPr="00ED4D49">
        <w:rPr>
          <w:lang w:val="en-US" w:eastAsia="x-none"/>
        </w:rPr>
        <w:t>c</w:t>
      </w:r>
      <w:r w:rsidR="00DC2DCA" w:rsidRPr="00ED4D49">
        <w:rPr>
          <w:lang w:val="en-US" w:eastAsia="x-none"/>
        </w:rPr>
        <w:t>va</w:t>
      </w:r>
      <w:proofErr w:type="spellEnd"/>
      <w:r w:rsidR="00DC2DCA" w:rsidRPr="00ED4D49">
        <w:rPr>
          <w:lang w:val="en-US" w:eastAsia="x-none"/>
        </w:rPr>
        <w:t xml:space="preserve"> on the Republic of Serbia side. Both regions are very arable, covered by sediments of Neogene age (sands and pebbles, sandy clays and clayey marlstones of Lower Pliocene in age) and Quaternary sediments (sands and fine-grained pebbles). Towards south, the river is passing through clastic and </w:t>
      </w:r>
      <w:proofErr w:type="spellStart"/>
      <w:r w:rsidR="00DC2DCA" w:rsidRPr="00ED4D49">
        <w:rPr>
          <w:lang w:val="en-US" w:eastAsia="x-none"/>
        </w:rPr>
        <w:t>carbonatic</w:t>
      </w:r>
      <w:proofErr w:type="spellEnd"/>
      <w:r w:rsidR="00DC2DCA" w:rsidRPr="00ED4D49">
        <w:rPr>
          <w:lang w:val="en-US" w:eastAsia="x-none"/>
        </w:rPr>
        <w:t xml:space="preserve"> formations of Devonian-</w:t>
      </w:r>
      <w:proofErr w:type="spellStart"/>
      <w:r w:rsidR="00DC2DCA" w:rsidRPr="00ED4D49">
        <w:rPr>
          <w:lang w:val="en-US" w:eastAsia="x-none"/>
        </w:rPr>
        <w:t>Caboniferous</w:t>
      </w:r>
      <w:proofErr w:type="spellEnd"/>
      <w:r w:rsidR="00DC2DCA" w:rsidRPr="00ED4D49">
        <w:rPr>
          <w:lang w:val="en-US" w:eastAsia="x-none"/>
        </w:rPr>
        <w:t xml:space="preserve"> age (thick over 1000 m), also Middle Permian </w:t>
      </w:r>
      <w:proofErr w:type="spellStart"/>
      <w:r w:rsidR="00DC2DCA" w:rsidRPr="00ED4D49">
        <w:rPr>
          <w:lang w:val="en-US" w:eastAsia="x-none"/>
        </w:rPr>
        <w:t>clastites</w:t>
      </w:r>
      <w:proofErr w:type="spellEnd"/>
      <w:r w:rsidR="00DC2DCA" w:rsidRPr="00ED4D49">
        <w:rPr>
          <w:lang w:val="en-US" w:eastAsia="x-none"/>
        </w:rPr>
        <w:t>, bituminous Upper Permian limestones, sediments of Lower and Middle Triassic (</w:t>
      </w:r>
      <w:proofErr w:type="spellStart"/>
      <w:r w:rsidR="00DC2DCA" w:rsidRPr="00ED4D49">
        <w:rPr>
          <w:lang w:val="en-US" w:eastAsia="x-none"/>
        </w:rPr>
        <w:t>claystones</w:t>
      </w:r>
      <w:proofErr w:type="spellEnd"/>
      <w:r w:rsidR="00DC2DCA" w:rsidRPr="00ED4D49">
        <w:rPr>
          <w:lang w:val="en-US" w:eastAsia="x-none"/>
        </w:rPr>
        <w:t xml:space="preserve">, sandstones and limestones), andesites of Middle Triassic age, Upper Triassic limestones and small masses of Cenomanian limestones. Neogene sediments cut by Drina with tributaries are represented by marine and lacustrine facies. For DRB, also important is the eastern part of </w:t>
      </w:r>
      <w:proofErr w:type="spellStart"/>
      <w:r w:rsidR="00DC2DCA" w:rsidRPr="00ED4D49">
        <w:rPr>
          <w:lang w:val="en-US" w:eastAsia="x-none"/>
        </w:rPr>
        <w:t>Boranja</w:t>
      </w:r>
      <w:proofErr w:type="spellEnd"/>
      <w:r w:rsidR="00DC2DCA" w:rsidRPr="00ED4D49">
        <w:rPr>
          <w:lang w:val="en-US" w:eastAsia="x-none"/>
        </w:rPr>
        <w:t xml:space="preserve"> granodiorite intrusive with granodiorite-porphyrites and pegmatites, and also extrusive rocks: </w:t>
      </w:r>
      <w:proofErr w:type="spellStart"/>
      <w:r w:rsidR="00DC2DCA" w:rsidRPr="00ED4D49">
        <w:rPr>
          <w:lang w:val="en-US" w:eastAsia="x-none"/>
        </w:rPr>
        <w:t>dacitoandesites</w:t>
      </w:r>
      <w:proofErr w:type="spellEnd"/>
      <w:r w:rsidR="00DC2DCA" w:rsidRPr="00ED4D49">
        <w:rPr>
          <w:lang w:val="en-US" w:eastAsia="x-none"/>
        </w:rPr>
        <w:t xml:space="preserve">, quartz-latites and following </w:t>
      </w:r>
      <w:proofErr w:type="spellStart"/>
      <w:r w:rsidR="00DC2DCA" w:rsidRPr="00ED4D49">
        <w:rPr>
          <w:lang w:val="en-US" w:eastAsia="x-none"/>
        </w:rPr>
        <w:t>pyroclastites</w:t>
      </w:r>
      <w:proofErr w:type="spellEnd"/>
      <w:r w:rsidR="00DC2DCA" w:rsidRPr="00ED4D49">
        <w:rPr>
          <w:lang w:val="en-US" w:eastAsia="x-none"/>
        </w:rPr>
        <w:t xml:space="preserve">. Further, the Drina River in "Zvornik suture" (Vardar Zone Western Belt) cut rocks of Ophiolite </w:t>
      </w:r>
      <w:proofErr w:type="spellStart"/>
      <w:r w:rsidR="00DC2DCA" w:rsidRPr="00ED4D49">
        <w:rPr>
          <w:lang w:val="en-US" w:eastAsia="x-none"/>
        </w:rPr>
        <w:t>melange</w:t>
      </w:r>
      <w:proofErr w:type="spellEnd"/>
      <w:r w:rsidR="00DC2DCA" w:rsidRPr="00ED4D49">
        <w:rPr>
          <w:lang w:val="en-US" w:eastAsia="x-none"/>
        </w:rPr>
        <w:t xml:space="preserve"> of Jurassic age in which folded blocks and fragments of sediments of Lower </w:t>
      </w:r>
      <w:proofErr w:type="spellStart"/>
      <w:r w:rsidR="00DC2DCA" w:rsidRPr="00ED4D49">
        <w:rPr>
          <w:lang w:val="en-US" w:eastAsia="x-none"/>
        </w:rPr>
        <w:t>Creataceous</w:t>
      </w:r>
      <w:proofErr w:type="spellEnd"/>
      <w:r w:rsidR="00DC2DCA" w:rsidRPr="00ED4D49">
        <w:rPr>
          <w:lang w:val="en-US" w:eastAsia="x-none"/>
        </w:rPr>
        <w:t xml:space="preserve"> age are incorporated. From Zvornik, </w:t>
      </w:r>
      <w:r w:rsidR="002B0340" w:rsidRPr="00ED4D49">
        <w:rPr>
          <w:lang w:val="en-US" w:eastAsia="x-none"/>
        </w:rPr>
        <w:t xml:space="preserve">the </w:t>
      </w:r>
      <w:r w:rsidR="00DC2DCA" w:rsidRPr="00ED4D49">
        <w:rPr>
          <w:lang w:val="en-US" w:eastAsia="x-none"/>
        </w:rPr>
        <w:t>Drina River passes through Paleozoic rocks of Drina-</w:t>
      </w:r>
      <w:proofErr w:type="spellStart"/>
      <w:r w:rsidR="00DC2DCA" w:rsidRPr="00ED4D49">
        <w:rPr>
          <w:lang w:val="en-US" w:eastAsia="x-none"/>
        </w:rPr>
        <w:t>Ivanjica</w:t>
      </w:r>
      <w:proofErr w:type="spellEnd"/>
      <w:r w:rsidR="00DC2DCA" w:rsidRPr="00ED4D49">
        <w:rPr>
          <w:lang w:val="en-US" w:eastAsia="x-none"/>
        </w:rPr>
        <w:t xml:space="preserve"> Element, made of change of metamorphosed sandstones and siltstones partly intercalated with conglomerates, and through rocks of Triassic age.</w:t>
      </w:r>
    </w:p>
    <w:p w14:paraId="75655D59" w14:textId="7F4F9AA6" w:rsidR="007F1BA7" w:rsidRPr="00ED4D49" w:rsidRDefault="00E548FB" w:rsidP="00057D86">
      <w:pPr>
        <w:jc w:val="center"/>
        <w:rPr>
          <w:lang w:val="en-US" w:eastAsia="x-none"/>
        </w:rPr>
      </w:pPr>
      <w:r w:rsidRPr="00ED4D49">
        <w:rPr>
          <w:noProof/>
          <w:lang w:val="bs-Latn-BA" w:eastAsia="bs-Latn-BA"/>
        </w:rPr>
        <w:drawing>
          <wp:inline distT="0" distB="0" distL="0" distR="0" wp14:anchorId="4EE47088" wp14:editId="6E4B1F37">
            <wp:extent cx="4058067" cy="3070248"/>
            <wp:effectExtent l="0" t="0" r="6350" b="3175"/>
            <wp:docPr id="25" name="Picture 29" descr="A picture containing text, map&#10;&#10;&#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 descr="A picture containing text, map&#10;&#10;&#10;&#10;Description automatically generated"/>
                    <pic:cNvPicPr>
                      <a:picLocks/>
                    </pic:cNvPicPr>
                  </pic:nvPicPr>
                  <pic:blipFill>
                    <a:blip r:embed="rId21">
                      <a:extLst>
                        <a:ext uri="{28A0092B-C50C-407E-A947-70E740481C1C}">
                          <a14:useLocalDpi xmlns:a14="http://schemas.microsoft.com/office/drawing/2010/main"/>
                        </a:ext>
                      </a:extLst>
                    </a:blip>
                    <a:srcRect/>
                    <a:stretch>
                      <a:fillRect/>
                    </a:stretch>
                  </pic:blipFill>
                  <pic:spPr bwMode="auto">
                    <a:xfrm>
                      <a:off x="0" y="0"/>
                      <a:ext cx="4064000" cy="3074736"/>
                    </a:xfrm>
                    <a:prstGeom prst="rect">
                      <a:avLst/>
                    </a:prstGeom>
                    <a:noFill/>
                    <a:ln>
                      <a:noFill/>
                    </a:ln>
                  </pic:spPr>
                </pic:pic>
              </a:graphicData>
            </a:graphic>
          </wp:inline>
        </w:drawing>
      </w:r>
    </w:p>
    <w:p w14:paraId="7223D2E0" w14:textId="7A05183C" w:rsidR="00423413" w:rsidRPr="00ED4D49" w:rsidRDefault="00DC2DCA" w:rsidP="00057D86">
      <w:pPr>
        <w:pStyle w:val="Caption"/>
        <w:rPr>
          <w:b w:val="0"/>
          <w:bCs w:val="0"/>
          <w:i/>
          <w:iCs/>
          <w:color w:val="auto"/>
          <w:sz w:val="16"/>
          <w:szCs w:val="16"/>
        </w:rPr>
      </w:pPr>
      <w:bookmarkStart w:id="40" w:name="_Toc25582649"/>
      <w:r w:rsidRPr="00ED4D49">
        <w:rPr>
          <w:b w:val="0"/>
          <w:bCs w:val="0"/>
          <w:i/>
          <w:iCs/>
          <w:color w:val="1F3864"/>
          <w:sz w:val="16"/>
          <w:szCs w:val="16"/>
        </w:rPr>
        <w:t xml:space="preserve">Figure </w:t>
      </w:r>
      <w:r w:rsidRPr="00ED4D49">
        <w:rPr>
          <w:b w:val="0"/>
          <w:bCs w:val="0"/>
          <w:i/>
          <w:iCs/>
          <w:color w:val="1F3864"/>
          <w:sz w:val="16"/>
          <w:szCs w:val="16"/>
        </w:rPr>
        <w:fldChar w:fldCharType="begin"/>
      </w:r>
      <w:r w:rsidRPr="00ED4D49">
        <w:rPr>
          <w:b w:val="0"/>
          <w:bCs w:val="0"/>
          <w:i/>
          <w:iCs/>
          <w:color w:val="1F3864"/>
          <w:sz w:val="16"/>
          <w:szCs w:val="16"/>
        </w:rPr>
        <w:instrText xml:space="preserve"> SEQ Figure \* ARABIC </w:instrText>
      </w:r>
      <w:r w:rsidRPr="00ED4D49">
        <w:rPr>
          <w:b w:val="0"/>
          <w:bCs w:val="0"/>
          <w:i/>
          <w:iCs/>
          <w:color w:val="1F3864"/>
          <w:sz w:val="16"/>
          <w:szCs w:val="16"/>
        </w:rPr>
        <w:fldChar w:fldCharType="separate"/>
      </w:r>
      <w:r w:rsidR="00F60130" w:rsidRPr="00ED4D49">
        <w:rPr>
          <w:b w:val="0"/>
          <w:bCs w:val="0"/>
          <w:i/>
          <w:iCs/>
          <w:noProof/>
          <w:color w:val="1F3864"/>
          <w:sz w:val="16"/>
          <w:szCs w:val="16"/>
        </w:rPr>
        <w:t>3</w:t>
      </w:r>
      <w:r w:rsidRPr="00ED4D49">
        <w:rPr>
          <w:b w:val="0"/>
          <w:bCs w:val="0"/>
          <w:i/>
          <w:iCs/>
          <w:color w:val="1F3864"/>
          <w:sz w:val="16"/>
          <w:szCs w:val="16"/>
        </w:rPr>
        <w:fldChar w:fldCharType="end"/>
      </w:r>
      <w:r w:rsidRPr="00ED4D49">
        <w:rPr>
          <w:b w:val="0"/>
          <w:bCs w:val="0"/>
          <w:i/>
          <w:iCs/>
          <w:color w:val="1F3864"/>
          <w:sz w:val="16"/>
          <w:szCs w:val="16"/>
        </w:rPr>
        <w:t>:</w:t>
      </w:r>
      <w:r w:rsidRPr="00ED4D49">
        <w:t xml:space="preserve"> </w:t>
      </w:r>
      <w:r w:rsidR="00922201" w:rsidRPr="00ED4D49">
        <w:rPr>
          <w:b w:val="0"/>
          <w:bCs w:val="0"/>
          <w:i/>
          <w:iCs/>
          <w:color w:val="auto"/>
          <w:sz w:val="16"/>
          <w:szCs w:val="16"/>
        </w:rPr>
        <w:t>The geotectonic position of central part of Balkan Peninsula between Moesia plate and Adriatic Sea</w:t>
      </w:r>
      <w:bookmarkEnd w:id="40"/>
      <w:r w:rsidR="00057D86" w:rsidRPr="00ED4D49">
        <w:rPr>
          <w:b w:val="0"/>
          <w:bCs w:val="0"/>
          <w:i/>
          <w:iCs/>
          <w:color w:val="auto"/>
          <w:sz w:val="16"/>
          <w:szCs w:val="16"/>
        </w:rPr>
        <w:t xml:space="preserve"> </w:t>
      </w:r>
    </w:p>
    <w:p w14:paraId="04512456" w14:textId="484A7EEB" w:rsidR="00057D86" w:rsidRPr="00ED4D49" w:rsidRDefault="00057D86" w:rsidP="00057D86">
      <w:pPr>
        <w:pStyle w:val="Caption"/>
        <w:rPr>
          <w:b w:val="0"/>
          <w:bCs w:val="0"/>
          <w:i/>
          <w:iCs/>
          <w:color w:val="auto"/>
          <w:sz w:val="16"/>
          <w:szCs w:val="16"/>
        </w:rPr>
      </w:pPr>
      <w:r w:rsidRPr="00ED4D49">
        <w:rPr>
          <w:b w:val="0"/>
          <w:bCs w:val="0"/>
          <w:i/>
          <w:iCs/>
          <w:color w:val="auto"/>
          <w:sz w:val="16"/>
          <w:szCs w:val="16"/>
        </w:rPr>
        <w:t xml:space="preserve">(Source: </w:t>
      </w:r>
      <w:r w:rsidR="002B0340" w:rsidRPr="00ED4D49">
        <w:rPr>
          <w:b w:val="0"/>
          <w:bCs w:val="0"/>
          <w:i/>
          <w:iCs/>
          <w:color w:val="auto"/>
          <w:sz w:val="16"/>
          <w:szCs w:val="16"/>
        </w:rPr>
        <w:t>WB</w:t>
      </w:r>
      <w:r w:rsidRPr="00ED4D49">
        <w:rPr>
          <w:b w:val="0"/>
          <w:bCs w:val="0"/>
          <w:i/>
          <w:iCs/>
          <w:color w:val="auto"/>
          <w:sz w:val="16"/>
          <w:szCs w:val="16"/>
        </w:rPr>
        <w:t xml:space="preserve"> Drina River Basin – Roof Report, 2017)</w:t>
      </w:r>
    </w:p>
    <w:p w14:paraId="47BB76E3" w14:textId="68731D03" w:rsidR="00DC2DCA" w:rsidRPr="00ED4D49" w:rsidRDefault="00922201" w:rsidP="00922201">
      <w:pPr>
        <w:jc w:val="both"/>
        <w:rPr>
          <w:i/>
          <w:iCs/>
          <w:sz w:val="16"/>
          <w:szCs w:val="16"/>
          <w:lang w:val="en-US" w:eastAsia="x-none"/>
        </w:rPr>
      </w:pPr>
      <w:r w:rsidRPr="00ED4D49">
        <w:rPr>
          <w:i/>
          <w:iCs/>
          <w:sz w:val="16"/>
          <w:szCs w:val="16"/>
          <w:lang w:val="en-US" w:eastAsia="x-none"/>
        </w:rPr>
        <w:t>Legend: DHCT - Dalmatian-</w:t>
      </w:r>
      <w:r w:rsidR="00423413" w:rsidRPr="00ED4D49">
        <w:rPr>
          <w:i/>
          <w:iCs/>
          <w:sz w:val="16"/>
          <w:szCs w:val="16"/>
          <w:lang w:val="en-US" w:eastAsia="x-none"/>
        </w:rPr>
        <w:t>Herzegovinian</w:t>
      </w:r>
      <w:r w:rsidRPr="00ED4D49">
        <w:rPr>
          <w:i/>
          <w:iCs/>
          <w:sz w:val="16"/>
          <w:szCs w:val="16"/>
          <w:lang w:val="en-US" w:eastAsia="x-none"/>
        </w:rPr>
        <w:t xml:space="preserve"> composite terrane; CBMT - Central Bosnian terrane; EBDT (=IBDB) - East Bosnian-</w:t>
      </w:r>
      <w:proofErr w:type="spellStart"/>
      <w:r w:rsidRPr="00ED4D49">
        <w:rPr>
          <w:i/>
          <w:iCs/>
          <w:sz w:val="16"/>
          <w:szCs w:val="16"/>
          <w:lang w:val="en-US" w:eastAsia="x-none"/>
        </w:rPr>
        <w:t>Durmitor</w:t>
      </w:r>
      <w:proofErr w:type="spellEnd"/>
      <w:r w:rsidRPr="00ED4D49">
        <w:rPr>
          <w:i/>
          <w:iCs/>
          <w:sz w:val="16"/>
          <w:szCs w:val="16"/>
          <w:lang w:val="en-US" w:eastAsia="x-none"/>
        </w:rPr>
        <w:t xml:space="preserve"> terrane; DOBT (=DOP) - </w:t>
      </w:r>
      <w:proofErr w:type="spellStart"/>
      <w:r w:rsidRPr="00ED4D49">
        <w:rPr>
          <w:i/>
          <w:iCs/>
          <w:sz w:val="16"/>
          <w:szCs w:val="16"/>
          <w:lang w:val="en-US" w:eastAsia="x-none"/>
        </w:rPr>
        <w:t>Dinaridic</w:t>
      </w:r>
      <w:proofErr w:type="spellEnd"/>
      <w:r w:rsidRPr="00ED4D49">
        <w:rPr>
          <w:i/>
          <w:iCs/>
          <w:sz w:val="16"/>
          <w:szCs w:val="16"/>
          <w:lang w:val="en-US" w:eastAsia="x-none"/>
        </w:rPr>
        <w:t xml:space="preserve"> Ophiolite Belt terrane; DIT (=DIE) - Drina-</w:t>
      </w:r>
      <w:proofErr w:type="spellStart"/>
      <w:r w:rsidRPr="00ED4D49">
        <w:rPr>
          <w:i/>
          <w:iCs/>
          <w:sz w:val="16"/>
          <w:szCs w:val="16"/>
          <w:lang w:val="en-US" w:eastAsia="x-none"/>
        </w:rPr>
        <w:t>Ivanjica</w:t>
      </w:r>
      <w:proofErr w:type="spellEnd"/>
      <w:r w:rsidRPr="00ED4D49">
        <w:rPr>
          <w:i/>
          <w:iCs/>
          <w:sz w:val="16"/>
          <w:szCs w:val="16"/>
          <w:lang w:val="en-US" w:eastAsia="x-none"/>
        </w:rPr>
        <w:t xml:space="preserve"> terrane; JBT(=JB) - </w:t>
      </w:r>
      <w:proofErr w:type="spellStart"/>
      <w:r w:rsidRPr="00ED4D49">
        <w:rPr>
          <w:i/>
          <w:iCs/>
          <w:sz w:val="16"/>
          <w:szCs w:val="16"/>
          <w:lang w:val="en-US" w:eastAsia="x-none"/>
        </w:rPr>
        <w:t>Jadar</w:t>
      </w:r>
      <w:proofErr w:type="spellEnd"/>
      <w:r w:rsidRPr="00ED4D49">
        <w:rPr>
          <w:i/>
          <w:iCs/>
          <w:sz w:val="16"/>
          <w:szCs w:val="16"/>
          <w:lang w:val="en-US" w:eastAsia="x-none"/>
        </w:rPr>
        <w:t xml:space="preserve"> Block terrane; VZCT - Vardar Zone composite terrane; SMCT - Serbian-Macedonian composite terrane. 1. Fault, observed and covered; 2. Thrust; 3. </w:t>
      </w:r>
      <w:proofErr w:type="spellStart"/>
      <w:r w:rsidRPr="00ED4D49">
        <w:rPr>
          <w:i/>
          <w:iCs/>
          <w:sz w:val="16"/>
          <w:szCs w:val="16"/>
          <w:lang w:val="en-US" w:eastAsia="x-none"/>
        </w:rPr>
        <w:t>Tectonized</w:t>
      </w:r>
      <w:proofErr w:type="spellEnd"/>
      <w:r w:rsidRPr="00ED4D49">
        <w:rPr>
          <w:i/>
          <w:iCs/>
          <w:sz w:val="16"/>
          <w:szCs w:val="16"/>
          <w:lang w:val="en-US" w:eastAsia="x-none"/>
        </w:rPr>
        <w:t xml:space="preserve"> boundary.</w:t>
      </w:r>
    </w:p>
    <w:p w14:paraId="7A9C2B15" w14:textId="4D48EBA5" w:rsidR="00057D86" w:rsidRPr="00ED4D49" w:rsidRDefault="00035488" w:rsidP="0023292C">
      <w:pPr>
        <w:pStyle w:val="Heading3"/>
      </w:pPr>
      <w:bookmarkStart w:id="41" w:name="_Toc31811054"/>
      <w:r w:rsidRPr="00ED4D49">
        <w:t>Climate</w:t>
      </w:r>
      <w:bookmarkEnd w:id="41"/>
    </w:p>
    <w:p w14:paraId="52862E64" w14:textId="3A1F0CFC" w:rsidR="00057D86" w:rsidRPr="00ED4D49" w:rsidRDefault="00057D86" w:rsidP="00057D86">
      <w:pPr>
        <w:jc w:val="both"/>
        <w:rPr>
          <w:lang w:val="en-US" w:eastAsia="en-GB"/>
        </w:rPr>
      </w:pPr>
      <w:r w:rsidRPr="00ED4D49">
        <w:rPr>
          <w:lang w:val="en-US" w:eastAsia="en-GB"/>
        </w:rPr>
        <w:t xml:space="preserve">Climate of the DRB is complex and influenced by general atmospheric circulation, its elongate shape in north-south direction, local orography and proximity of the Adriatic Sea. The southernmost part of the basin has a </w:t>
      </w:r>
      <w:r w:rsidRPr="00ED4D49">
        <w:rPr>
          <w:lang w:val="en-US" w:eastAsia="en-GB"/>
        </w:rPr>
        <w:lastRenderedPageBreak/>
        <w:t xml:space="preserve">Mediterranean </w:t>
      </w:r>
      <w:r w:rsidRPr="00ED4D49">
        <w:rPr>
          <w:rFonts w:ascii="@µ'3BÀ˛" w:hAnsi="@µ'3BÀ˛" w:cs="@µ'3BÀ˛"/>
          <w:lang w:val="en-US" w:eastAsia="en-GB"/>
        </w:rPr>
        <w:t xml:space="preserve">and a maritime temperate and humid climate according to the </w:t>
      </w:r>
      <w:proofErr w:type="spellStart"/>
      <w:r w:rsidRPr="00ED4D49">
        <w:rPr>
          <w:rFonts w:ascii="@µ'3BÀ˛" w:hAnsi="@µ'3BÀ˛" w:cs="@µ'3BÀ˛"/>
          <w:lang w:val="en-US" w:eastAsia="en-GB"/>
        </w:rPr>
        <w:t>Köppen</w:t>
      </w:r>
      <w:proofErr w:type="spellEnd"/>
      <w:r w:rsidRPr="00ED4D49">
        <w:rPr>
          <w:rFonts w:ascii="@µ'3BÀ˛" w:hAnsi="@µ'3BÀ˛" w:cs="@µ'3BÀ˛"/>
          <w:lang w:val="en-US" w:eastAsia="en-GB"/>
        </w:rPr>
        <w:t xml:space="preserve"> climate </w:t>
      </w:r>
      <w:r w:rsidRPr="00ED4D49">
        <w:rPr>
          <w:lang w:val="en-US" w:eastAsia="en-GB"/>
        </w:rPr>
        <w:t xml:space="preserve">classification. Moderately cold and humid continental climate can be found at the altitudes above 1,000 m. Mediterranean influence, </w:t>
      </w:r>
      <w:r w:rsidRPr="00ED4D49">
        <w:rPr>
          <w:rFonts w:ascii="@µ'3BÀ˛" w:hAnsi="@µ'3BÀ˛" w:cs="@µ'3BÀ˛"/>
          <w:lang w:val="en-US" w:eastAsia="en-GB"/>
        </w:rPr>
        <w:t>although mild, can be found in the upper part of the basin, up to Fo</w:t>
      </w:r>
      <w:r w:rsidR="00A7018E" w:rsidRPr="00ED4D49">
        <w:rPr>
          <w:rFonts w:ascii="@µ'3BÀ˛" w:hAnsi="@µ'3BÀ˛" w:cs="@µ'3BÀ˛"/>
          <w:lang w:val="en-US" w:eastAsia="en-GB"/>
        </w:rPr>
        <w:t>c</w:t>
      </w:r>
      <w:r w:rsidRPr="00ED4D49">
        <w:rPr>
          <w:rFonts w:ascii="@µ'3BÀ˛" w:hAnsi="@µ'3BÀ˛" w:cs="@µ'3BÀ˛"/>
          <w:lang w:val="en-US" w:eastAsia="en-GB"/>
        </w:rPr>
        <w:t xml:space="preserve">a. From that </w:t>
      </w:r>
      <w:r w:rsidRPr="00ED4D49">
        <w:rPr>
          <w:lang w:val="en-US" w:eastAsia="en-GB"/>
        </w:rPr>
        <w:t>point downstream a temperate continental climate prevails with warm summers and moderately cold winters.</w:t>
      </w:r>
    </w:p>
    <w:p w14:paraId="672AC91A" w14:textId="672992D1" w:rsidR="00057D86" w:rsidRPr="00ED4D49" w:rsidRDefault="00057D86" w:rsidP="00057D86">
      <w:pPr>
        <w:jc w:val="both"/>
        <w:rPr>
          <w:lang w:val="en-US" w:eastAsia="en-GB"/>
        </w:rPr>
      </w:pPr>
      <w:r w:rsidRPr="00ED4D49">
        <w:rPr>
          <w:lang w:val="en-US" w:eastAsia="en-GB"/>
        </w:rPr>
        <w:t>Generally, from south to north, along the altitude decline, accumulated annual precipitation also decreases, from about 2,</w:t>
      </w:r>
      <w:r w:rsidRPr="00ED4D49">
        <w:rPr>
          <w:rFonts w:ascii="@µ'3BÀ˛" w:hAnsi="@µ'3BÀ˛" w:cs="@µ'3BÀ˛"/>
          <w:lang w:val="en-US" w:eastAsia="en-GB"/>
        </w:rPr>
        <w:t xml:space="preserve">100 mm measured in </w:t>
      </w:r>
      <w:proofErr w:type="spellStart"/>
      <w:r w:rsidRPr="00ED4D49">
        <w:rPr>
          <w:rFonts w:ascii="@µ'3BÀ˛" w:hAnsi="@µ'3BÀ˛" w:cs="@µ'3BÀ˛"/>
          <w:lang w:val="en-US" w:eastAsia="en-GB"/>
        </w:rPr>
        <w:t>Kola</w:t>
      </w:r>
      <w:r w:rsidR="00A7018E" w:rsidRPr="00ED4D49">
        <w:rPr>
          <w:rFonts w:ascii="@µ'3BÀ˛" w:hAnsi="@µ'3BÀ˛" w:cs="@µ'3BÀ˛"/>
          <w:lang w:val="en-US" w:eastAsia="en-GB"/>
        </w:rPr>
        <w:t>s</w:t>
      </w:r>
      <w:r w:rsidRPr="00ED4D49">
        <w:rPr>
          <w:rFonts w:ascii="@µ'3BÀ˛" w:hAnsi="@µ'3BÀ˛" w:cs="@µ'3BÀ˛"/>
          <w:lang w:val="en-US" w:eastAsia="en-GB"/>
        </w:rPr>
        <w:t>in</w:t>
      </w:r>
      <w:proofErr w:type="spellEnd"/>
      <w:r w:rsidRPr="00ED4D49">
        <w:rPr>
          <w:rFonts w:ascii="@µ'3BÀ˛" w:hAnsi="@µ'3BÀ˛" w:cs="@µ'3BÀ˛"/>
          <w:lang w:val="en-US" w:eastAsia="en-GB"/>
        </w:rPr>
        <w:t xml:space="preserve"> </w:t>
      </w:r>
      <w:r w:rsidRPr="00ED4D49">
        <w:rPr>
          <w:lang w:val="en-US" w:eastAsia="en-GB"/>
        </w:rPr>
        <w:t xml:space="preserve">on average to 820 mm in </w:t>
      </w:r>
      <w:proofErr w:type="spellStart"/>
      <w:r w:rsidRPr="00ED4D49">
        <w:rPr>
          <w:lang w:val="en-US" w:eastAsia="en-GB"/>
        </w:rPr>
        <w:t>Loznica</w:t>
      </w:r>
      <w:proofErr w:type="spellEnd"/>
      <w:r w:rsidRPr="00ED4D49">
        <w:rPr>
          <w:lang w:val="en-US" w:eastAsia="en-GB"/>
        </w:rPr>
        <w:t xml:space="preserve">. In the same direction, mean annual temperature increases from 4.6 </w:t>
      </w:r>
      <w:r w:rsidRPr="00ED4D49">
        <w:rPr>
          <w:rFonts w:ascii="@µ'3BÀ˛" w:hAnsi="@µ'3BÀ˛" w:cs="@µ'3BÀ˛"/>
          <w:lang w:val="en-US" w:eastAsia="en-GB"/>
        </w:rPr>
        <w:t xml:space="preserve">°C in </w:t>
      </w:r>
      <w:proofErr w:type="spellStart"/>
      <w:r w:rsidR="00C6478C" w:rsidRPr="00ED4D49">
        <w:rPr>
          <w:rFonts w:ascii="@µ'3BÀ˛" w:hAnsi="@µ'3BÀ˛" w:cs="@µ'3BÀ˛"/>
          <w:lang w:val="en-US" w:eastAsia="en-GB"/>
        </w:rPr>
        <w:t>Z</w:t>
      </w:r>
      <w:r w:rsidRPr="00ED4D49">
        <w:rPr>
          <w:rFonts w:ascii="@µ'3BÀ˛" w:hAnsi="@µ'3BÀ˛" w:cs="@µ'3BÀ˛"/>
          <w:lang w:val="en-US" w:eastAsia="en-GB"/>
        </w:rPr>
        <w:t>abljak</w:t>
      </w:r>
      <w:proofErr w:type="spellEnd"/>
      <w:r w:rsidRPr="00ED4D49">
        <w:rPr>
          <w:rFonts w:ascii="@µ'3BÀ˛" w:hAnsi="@µ'3BÀ˛" w:cs="@µ'3BÀ˛"/>
          <w:lang w:val="en-US" w:eastAsia="en-GB"/>
        </w:rPr>
        <w:t xml:space="preserve"> to 11 °C in </w:t>
      </w:r>
      <w:proofErr w:type="spellStart"/>
      <w:r w:rsidRPr="00ED4D49">
        <w:rPr>
          <w:rFonts w:ascii="@µ'3BÀ˛" w:hAnsi="@µ'3BÀ˛" w:cs="@µ'3BÀ˛"/>
          <w:lang w:val="en-US" w:eastAsia="en-GB"/>
        </w:rPr>
        <w:t>Loznica</w:t>
      </w:r>
      <w:proofErr w:type="spellEnd"/>
      <w:r w:rsidRPr="00ED4D49">
        <w:rPr>
          <w:rFonts w:ascii="@µ'3BÀ˛" w:hAnsi="@µ'3BÀ˛" w:cs="@µ'3BÀ˛"/>
          <w:lang w:val="en-US" w:eastAsia="en-GB"/>
        </w:rPr>
        <w:t xml:space="preserve">. </w:t>
      </w:r>
      <w:r w:rsidRPr="00ED4D49">
        <w:rPr>
          <w:lang w:val="en-US" w:eastAsia="en-GB"/>
        </w:rPr>
        <w:t>Seasonal distribution of precipitation differs throughout the DRB. Northern parts receive the most rain in the late spring, mainly in May and June, while winter is dry with the lowest precipitation in February. Due to the influence of the Mediterranean climate in the southern parts, maximum rain falls in the late autumn and the minimum during the summer months. The warmest month is July and the coldest is January.</w:t>
      </w:r>
    </w:p>
    <w:p w14:paraId="6BD2ED6A" w14:textId="3116D1A7" w:rsidR="00057D86" w:rsidRPr="00ED4D49" w:rsidRDefault="00057D86" w:rsidP="00057D86">
      <w:pPr>
        <w:jc w:val="both"/>
        <w:rPr>
          <w:lang w:val="en-US" w:eastAsia="en-GB"/>
        </w:rPr>
      </w:pPr>
      <w:r w:rsidRPr="00ED4D49">
        <w:rPr>
          <w:lang w:val="en-US" w:eastAsia="en-GB"/>
        </w:rPr>
        <w:t xml:space="preserve">Relative humidity in the DRB is rather uniform and is at its lowest in the period June-August and the highest in the December-January period. Snow cover significantly impacts the Drina River water regime due to large amounts of water accumulated in it, with the highest flows recorded in </w:t>
      </w:r>
      <w:r w:rsidR="006D6536" w:rsidRPr="00ED4D49">
        <w:rPr>
          <w:lang w:val="en-US" w:eastAsia="en-GB"/>
        </w:rPr>
        <w:t>springtime</w:t>
      </w:r>
      <w:r w:rsidRPr="00ED4D49">
        <w:rPr>
          <w:lang w:val="en-US" w:eastAsia="en-GB"/>
        </w:rPr>
        <w:t>, in April and May.</w:t>
      </w:r>
    </w:p>
    <w:p w14:paraId="733A093A" w14:textId="0185042B" w:rsidR="00057D86" w:rsidRPr="00ED4D49" w:rsidRDefault="00057D86" w:rsidP="00B669C7">
      <w:pPr>
        <w:jc w:val="both"/>
        <w:rPr>
          <w:lang w:val="en-US" w:eastAsia="en-GB"/>
        </w:rPr>
      </w:pPr>
      <w:r w:rsidRPr="00ED4D49">
        <w:rPr>
          <w:lang w:val="en-US" w:eastAsia="en-GB"/>
        </w:rPr>
        <w:t>Snow depth in some sections of the lower middle part of the DRB can be as high as 1.20 m (corresponding</w:t>
      </w:r>
      <w:r w:rsidR="00B669C7" w:rsidRPr="00ED4D49">
        <w:rPr>
          <w:lang w:val="en-US" w:eastAsia="en-GB"/>
        </w:rPr>
        <w:t xml:space="preserve"> </w:t>
      </w:r>
      <w:r w:rsidRPr="00ED4D49">
        <w:rPr>
          <w:lang w:val="en-US" w:eastAsia="en-GB"/>
        </w:rPr>
        <w:t>to a maximum of 200 mm of water) with frequent snow-drifts and in upper sections it can even exceed 5</w:t>
      </w:r>
      <w:r w:rsidR="00B669C7" w:rsidRPr="00ED4D49">
        <w:rPr>
          <w:lang w:val="en-US" w:eastAsia="en-GB"/>
        </w:rPr>
        <w:t xml:space="preserve"> </w:t>
      </w:r>
      <w:r w:rsidRPr="00ED4D49">
        <w:rPr>
          <w:lang w:val="en-US" w:eastAsia="en-GB"/>
        </w:rPr>
        <w:t>m.</w:t>
      </w:r>
    </w:p>
    <w:p w14:paraId="79978020" w14:textId="5BD31CDF" w:rsidR="00057D86" w:rsidRPr="00ED4D49" w:rsidRDefault="00057D86" w:rsidP="00B669C7">
      <w:pPr>
        <w:jc w:val="both"/>
        <w:rPr>
          <w:lang w:val="en-US"/>
        </w:rPr>
      </w:pPr>
      <w:r w:rsidRPr="00ED4D49">
        <w:rPr>
          <w:lang w:val="en-US" w:eastAsia="en-GB"/>
        </w:rPr>
        <w:t xml:space="preserve">Fogs constitute a characteristic feature of the Drina River valley and can occur throughout the </w:t>
      </w:r>
      <w:r w:rsidR="006D6536" w:rsidRPr="00ED4D49">
        <w:rPr>
          <w:lang w:val="en-US" w:eastAsia="en-GB"/>
        </w:rPr>
        <w:t>year but</w:t>
      </w:r>
      <w:r w:rsidRPr="00ED4D49">
        <w:rPr>
          <w:lang w:val="en-US" w:eastAsia="en-GB"/>
        </w:rPr>
        <w:t xml:space="preserve"> are</w:t>
      </w:r>
      <w:r w:rsidR="00B669C7" w:rsidRPr="00ED4D49">
        <w:rPr>
          <w:lang w:val="en-US" w:eastAsia="en-GB"/>
        </w:rPr>
        <w:t xml:space="preserve"> </w:t>
      </w:r>
      <w:r w:rsidRPr="00ED4D49">
        <w:rPr>
          <w:lang w:val="en-US" w:eastAsia="en-GB"/>
        </w:rPr>
        <w:t>most frequent in spring and autumn. Complex local topography in the upper course of Drina River</w:t>
      </w:r>
      <w:r w:rsidR="00B669C7" w:rsidRPr="00ED4D49">
        <w:rPr>
          <w:lang w:val="en-US" w:eastAsia="en-GB"/>
        </w:rPr>
        <w:t xml:space="preserve"> </w:t>
      </w:r>
      <w:r w:rsidRPr="00ED4D49">
        <w:rPr>
          <w:lang w:val="en-US" w:eastAsia="en-GB"/>
        </w:rPr>
        <w:t>significantly affects and modifies wind direction and speed. Despite this, strong winds are quite rare and</w:t>
      </w:r>
      <w:r w:rsidR="00B669C7" w:rsidRPr="00ED4D49">
        <w:rPr>
          <w:lang w:val="en-US" w:eastAsia="en-GB"/>
        </w:rPr>
        <w:t xml:space="preserve"> </w:t>
      </w:r>
      <w:r w:rsidRPr="00ED4D49">
        <w:rPr>
          <w:lang w:val="en-US" w:eastAsia="en-GB"/>
        </w:rPr>
        <w:t>are generally of low intensity.</w:t>
      </w:r>
    </w:p>
    <w:p w14:paraId="297CCA8B" w14:textId="227F0A59" w:rsidR="00B669C7" w:rsidRPr="00ED4D49" w:rsidRDefault="00B669C7" w:rsidP="0023292C">
      <w:pPr>
        <w:pStyle w:val="Heading3"/>
      </w:pPr>
      <w:bookmarkStart w:id="42" w:name="_Toc31811055"/>
      <w:r w:rsidRPr="00ED4D49">
        <w:t xml:space="preserve">Climate </w:t>
      </w:r>
      <w:r w:rsidR="00DA00BD" w:rsidRPr="00ED4D49">
        <w:t>C</w:t>
      </w:r>
      <w:r w:rsidRPr="00ED4D49">
        <w:t>hange</w:t>
      </w:r>
      <w:bookmarkEnd w:id="42"/>
    </w:p>
    <w:p w14:paraId="2ED14F87" w14:textId="417AF570" w:rsidR="00B669C7" w:rsidRPr="00ED4D49" w:rsidRDefault="00B669C7" w:rsidP="00B669C7">
      <w:pPr>
        <w:jc w:val="both"/>
        <w:rPr>
          <w:lang w:val="en-US"/>
        </w:rPr>
      </w:pPr>
      <w:r w:rsidRPr="00ED4D49">
        <w:rPr>
          <w:lang w:val="en-US"/>
        </w:rPr>
        <w:t xml:space="preserve">According to the </w:t>
      </w:r>
      <w:r w:rsidR="003C7C9E" w:rsidRPr="00ED4D49">
        <w:rPr>
          <w:lang w:val="en-US"/>
        </w:rPr>
        <w:t xml:space="preserve">climate change impact </w:t>
      </w:r>
      <w:r w:rsidRPr="00ED4D49">
        <w:rPr>
          <w:lang w:val="en-US"/>
        </w:rPr>
        <w:t xml:space="preserve">analysis presented in the </w:t>
      </w:r>
      <w:r w:rsidRPr="00ED4D49">
        <w:rPr>
          <w:i/>
          <w:iCs/>
          <w:lang w:val="en-US"/>
        </w:rPr>
        <w:t xml:space="preserve">2017 </w:t>
      </w:r>
      <w:r w:rsidR="00A419EB" w:rsidRPr="00ED4D49">
        <w:rPr>
          <w:i/>
          <w:iCs/>
          <w:lang w:val="en-US"/>
        </w:rPr>
        <w:t>WB</w:t>
      </w:r>
      <w:r w:rsidRPr="00ED4D49">
        <w:rPr>
          <w:i/>
          <w:iCs/>
          <w:lang w:val="en-US"/>
        </w:rPr>
        <w:t xml:space="preserve"> Drina River Basin – Roof Report</w:t>
      </w:r>
      <w:r w:rsidR="00A419EB" w:rsidRPr="00ED4D49">
        <w:rPr>
          <w:i/>
          <w:iCs/>
          <w:lang w:val="en-US"/>
        </w:rPr>
        <w:t>,</w:t>
      </w:r>
      <w:r w:rsidRPr="00ED4D49">
        <w:rPr>
          <w:lang w:val="en-US"/>
        </w:rPr>
        <w:t xml:space="preserve"> the</w:t>
      </w:r>
      <w:r w:rsidRPr="00ED4D49">
        <w:rPr>
          <w:b/>
          <w:bCs/>
          <w:lang w:val="en-US"/>
        </w:rPr>
        <w:t xml:space="preserve"> temperature</w:t>
      </w:r>
      <w:r w:rsidRPr="00ED4D49">
        <w:rPr>
          <w:lang w:val="en-US"/>
        </w:rPr>
        <w:t xml:space="preserve"> over the entire DRB in all seasons during two considered future periods (2011-2040 and 2041-2070)</w:t>
      </w:r>
      <w:r w:rsidR="0023292C" w:rsidRPr="00ED4D49">
        <w:rPr>
          <w:lang w:val="en-US"/>
        </w:rPr>
        <w:t xml:space="preserve"> will increase. The increase</w:t>
      </w:r>
      <w:r w:rsidRPr="00ED4D49">
        <w:rPr>
          <w:lang w:val="en-US"/>
        </w:rPr>
        <w:t xml:space="preserve"> in the ensemble median mean annual temperature ranges from 1.1 °C to 1.4 °C under RCP</w:t>
      </w:r>
      <w:r w:rsidR="0023292C" w:rsidRPr="00ED4D49">
        <w:rPr>
          <w:rStyle w:val="FootnoteReference"/>
          <w:lang w:val="en-US"/>
        </w:rPr>
        <w:footnoteReference w:id="1"/>
      </w:r>
      <w:r w:rsidRPr="00ED4D49">
        <w:rPr>
          <w:lang w:val="en-US"/>
        </w:rPr>
        <w:t xml:space="preserve"> 4.5 and 8.5 respectively in the near future (2011-2040) and from 2.0 °C to 2.7 °C in the distant future (2041-2070) with respect to the reference period 1961-1990. The largest heating is projected for summer season under both scenarios and in both future periods, and also for winter season in distant future under RCP 8.5 (especially in the Republic of Serbia part of </w:t>
      </w:r>
      <w:r w:rsidR="00A419EB" w:rsidRPr="00ED4D49">
        <w:rPr>
          <w:lang w:val="en-US"/>
        </w:rPr>
        <w:t>DRB</w:t>
      </w:r>
      <w:r w:rsidRPr="00ED4D49">
        <w:rPr>
          <w:lang w:val="en-US"/>
        </w:rPr>
        <w:t>). The smallest increase is expected in autumn for near future, and in spring for distant future.</w:t>
      </w:r>
    </w:p>
    <w:p w14:paraId="205CE469" w14:textId="553D45B6" w:rsidR="0023292C" w:rsidRPr="00ED4D49" w:rsidRDefault="0023292C" w:rsidP="0023292C">
      <w:pPr>
        <w:jc w:val="both"/>
        <w:rPr>
          <w:lang w:val="en-US"/>
        </w:rPr>
      </w:pPr>
      <w:r w:rsidRPr="00ED4D49">
        <w:rPr>
          <w:lang w:val="en-US"/>
        </w:rPr>
        <w:t xml:space="preserve">Winter </w:t>
      </w:r>
      <w:r w:rsidRPr="00ED4D49">
        <w:rPr>
          <w:b/>
          <w:bCs/>
          <w:lang w:val="en-US"/>
        </w:rPr>
        <w:t>precipitation</w:t>
      </w:r>
      <w:r w:rsidRPr="00ED4D49">
        <w:rPr>
          <w:lang w:val="en-US"/>
        </w:rPr>
        <w:t xml:space="preserve"> is expected to increase, while summer precipitation is expected to decrease. Spring precipitation shows small decrease in both periods, while autumn precipitation tends to increase first and then decrease in distant future. The largest projected change is the decrease of about 30% in summer precipitation in distant future.</w:t>
      </w:r>
    </w:p>
    <w:p w14:paraId="4C714469" w14:textId="25A4A5A6" w:rsidR="0023292C" w:rsidRPr="00ED4D49" w:rsidRDefault="0023292C" w:rsidP="0023292C">
      <w:pPr>
        <w:jc w:val="both"/>
        <w:rPr>
          <w:lang w:val="en-US"/>
        </w:rPr>
      </w:pPr>
      <w:r w:rsidRPr="00ED4D49">
        <w:rPr>
          <w:lang w:val="en-US"/>
        </w:rPr>
        <w:t xml:space="preserve">The </w:t>
      </w:r>
      <w:r w:rsidR="007D1FC3" w:rsidRPr="00ED4D49">
        <w:rPr>
          <w:lang w:val="en-US"/>
        </w:rPr>
        <w:t xml:space="preserve">expected </w:t>
      </w:r>
      <w:r w:rsidRPr="00ED4D49">
        <w:rPr>
          <w:lang w:val="en-US"/>
        </w:rPr>
        <w:t>changes in the</w:t>
      </w:r>
      <w:r w:rsidRPr="00ED4D49">
        <w:rPr>
          <w:b/>
          <w:bCs/>
          <w:lang w:val="en-US"/>
        </w:rPr>
        <w:t xml:space="preserve"> hydrologic regimes</w:t>
      </w:r>
      <w:r w:rsidRPr="00ED4D49">
        <w:rPr>
          <w:lang w:val="en-US"/>
        </w:rPr>
        <w:t xml:space="preserve"> </w:t>
      </w:r>
      <w:r w:rsidR="00605676" w:rsidRPr="00ED4D49">
        <w:rPr>
          <w:lang w:val="en-US"/>
        </w:rPr>
        <w:t xml:space="preserve">(mean annual flow) </w:t>
      </w:r>
      <w:r w:rsidRPr="00ED4D49">
        <w:rPr>
          <w:lang w:val="en-US"/>
        </w:rPr>
        <w:t xml:space="preserve">of the Drina River, as well as its major tributaries Piva, Tara, </w:t>
      </w:r>
      <w:proofErr w:type="spellStart"/>
      <w:r w:rsidR="00C6478C" w:rsidRPr="00ED4D49">
        <w:rPr>
          <w:lang w:val="en-US"/>
        </w:rPr>
        <w:t>C</w:t>
      </w:r>
      <w:r w:rsidRPr="00ED4D49">
        <w:rPr>
          <w:lang w:val="en-US"/>
        </w:rPr>
        <w:t>ehotina</w:t>
      </w:r>
      <w:proofErr w:type="spellEnd"/>
      <w:r w:rsidRPr="00ED4D49">
        <w:rPr>
          <w:lang w:val="en-US"/>
        </w:rPr>
        <w:t xml:space="preserve">, Lim and </w:t>
      </w:r>
      <w:proofErr w:type="spellStart"/>
      <w:r w:rsidRPr="00ED4D49">
        <w:rPr>
          <w:lang w:val="en-US"/>
        </w:rPr>
        <w:t>Uvac</w:t>
      </w:r>
      <w:proofErr w:type="spellEnd"/>
      <w:r w:rsidRPr="00ED4D49">
        <w:rPr>
          <w:lang w:val="en-US"/>
        </w:rPr>
        <w:t xml:space="preserve">, </w:t>
      </w:r>
      <w:r w:rsidR="007D1FC3" w:rsidRPr="00ED4D49">
        <w:rPr>
          <w:lang w:val="en-US"/>
        </w:rPr>
        <w:t>are</w:t>
      </w:r>
      <w:r w:rsidRPr="00ED4D49">
        <w:rPr>
          <w:lang w:val="en-US"/>
        </w:rPr>
        <w:t xml:space="preserve"> ranging from -12% to +15% in the near future (2011-2041) relative to the baseline period 1961-1990. </w:t>
      </w:r>
      <w:r w:rsidR="00605676" w:rsidRPr="00ED4D49">
        <w:rPr>
          <w:lang w:val="en-US"/>
        </w:rPr>
        <w:t>I</w:t>
      </w:r>
      <w:r w:rsidRPr="00ED4D49">
        <w:rPr>
          <w:lang w:val="en-US"/>
        </w:rPr>
        <w:t>n the winter season changes range from +7% to +64%</w:t>
      </w:r>
      <w:r w:rsidR="00605676" w:rsidRPr="00ED4D49">
        <w:rPr>
          <w:lang w:val="en-US"/>
        </w:rPr>
        <w:t xml:space="preserve"> while in </w:t>
      </w:r>
      <w:r w:rsidRPr="00ED4D49">
        <w:rPr>
          <w:lang w:val="en-US"/>
        </w:rPr>
        <w:t xml:space="preserve">the spring season, which is </w:t>
      </w:r>
      <w:r w:rsidR="00605676" w:rsidRPr="00ED4D49">
        <w:rPr>
          <w:lang w:val="en-US"/>
        </w:rPr>
        <w:t>characterized</w:t>
      </w:r>
      <w:r w:rsidRPr="00ED4D49">
        <w:rPr>
          <w:lang w:val="en-US"/>
        </w:rPr>
        <w:t xml:space="preserve"> by the greatest flows in DRB, a reduction of up to 22% is expected. The summer flows are reduced up to - 35%. The changes in the autumn season in the near future range from -19% to +12% in accordance with changes in the climate drivers.</w:t>
      </w:r>
      <w:r w:rsidR="00605676" w:rsidRPr="00ED4D49">
        <w:rPr>
          <w:lang w:val="en-US"/>
        </w:rPr>
        <w:t xml:space="preserve"> Low annual flows of 10% and 90% exceedance probabilities are expected to change by -9% to +5% and by -15% to +10% in the near and distant future periods, respectively, relative to the baseline period 1961-1990. High annual flows of 10% and 90% exceedance </w:t>
      </w:r>
      <w:r w:rsidR="00605676" w:rsidRPr="00ED4D49">
        <w:rPr>
          <w:lang w:val="en-US"/>
        </w:rPr>
        <w:lastRenderedPageBreak/>
        <w:t>probabilities are expected to change in the range from -7% to +22% and from -21% to 20% in the near and distant future periods, respectively.</w:t>
      </w:r>
    </w:p>
    <w:p w14:paraId="62724681" w14:textId="4339151E" w:rsidR="0035781D" w:rsidRPr="00ED4D49" w:rsidRDefault="0023292C" w:rsidP="0023292C">
      <w:pPr>
        <w:jc w:val="both"/>
        <w:rPr>
          <w:lang w:val="en-US"/>
        </w:rPr>
      </w:pPr>
      <w:r w:rsidRPr="00ED4D49">
        <w:rPr>
          <w:lang w:val="en-US"/>
        </w:rPr>
        <w:t>More significant changes in</w:t>
      </w:r>
      <w:r w:rsidRPr="00ED4D49">
        <w:rPr>
          <w:b/>
          <w:bCs/>
          <w:lang w:val="en-US"/>
        </w:rPr>
        <w:t xml:space="preserve"> runoff</w:t>
      </w:r>
      <w:r w:rsidRPr="00ED4D49">
        <w:rPr>
          <w:lang w:val="en-US"/>
        </w:rPr>
        <w:t xml:space="preserve"> can be expected in the distant future</w:t>
      </w:r>
      <w:r w:rsidR="00605676" w:rsidRPr="00ED4D49">
        <w:rPr>
          <w:lang w:val="en-US"/>
        </w:rPr>
        <w:t xml:space="preserve">, </w:t>
      </w:r>
      <w:r w:rsidRPr="00ED4D49">
        <w:rPr>
          <w:lang w:val="en-US"/>
        </w:rPr>
        <w:t xml:space="preserve">from -18% to +13% </w:t>
      </w:r>
      <w:r w:rsidR="00605676" w:rsidRPr="00ED4D49">
        <w:rPr>
          <w:lang w:val="en-US"/>
        </w:rPr>
        <w:t xml:space="preserve">on annual scale. </w:t>
      </w:r>
      <w:r w:rsidRPr="00ED4D49">
        <w:rPr>
          <w:lang w:val="en-US"/>
        </w:rPr>
        <w:t>The winter runoff is expected to increase by up to 87%, while the spring runoff is expected to decrease by up to 35%. A significant decrease in runoff can be expected during the summer season according to all climate scenarios, ranging from -18% to -49%. During the autumn season, a decrease in runoff is expected by up to 40%</w:t>
      </w:r>
      <w:r w:rsidR="007D1FC3" w:rsidRPr="00ED4D49">
        <w:rPr>
          <w:lang w:val="en-US"/>
        </w:rPr>
        <w:t>.</w:t>
      </w:r>
    </w:p>
    <w:p w14:paraId="1DF8EE5F" w14:textId="64FC8FA7" w:rsidR="007B11F5" w:rsidRPr="00ED4D49" w:rsidRDefault="00395B84" w:rsidP="007B11F5">
      <w:pPr>
        <w:jc w:val="both"/>
        <w:rPr>
          <w:lang w:val="en-US"/>
        </w:rPr>
      </w:pPr>
      <w:r w:rsidRPr="00ED4D49">
        <w:rPr>
          <w:lang w:val="en-US" w:eastAsia="x-none"/>
        </w:rPr>
        <w:t xml:space="preserve">The trends and changes in mean values of precipitation, evapotranspiration, and discharges in this basin are well documented and indicate that climate change is expected to cause more intense flood and drought episodes, both in terms of scope and duration. </w:t>
      </w:r>
      <w:r w:rsidRPr="00ED4D49">
        <w:rPr>
          <w:szCs w:val="23"/>
          <w:lang w:val="en-US"/>
        </w:rPr>
        <w:t xml:space="preserve">Main floods in the </w:t>
      </w:r>
      <w:r w:rsidR="001864A9" w:rsidRPr="00ED4D49">
        <w:rPr>
          <w:szCs w:val="23"/>
          <w:lang w:val="en-US"/>
        </w:rPr>
        <w:t>DRB</w:t>
      </w:r>
      <w:r w:rsidRPr="00ED4D49">
        <w:rPr>
          <w:szCs w:val="23"/>
          <w:lang w:val="en-US"/>
        </w:rPr>
        <w:t xml:space="preserve"> in 2010 were caused by the extreme precipitation in Montenegro’s and Serbia’s part of river basins. Flow rate of the </w:t>
      </w:r>
      <w:proofErr w:type="gramStart"/>
      <w:r w:rsidRPr="00ED4D49">
        <w:rPr>
          <w:szCs w:val="23"/>
          <w:lang w:val="en-US"/>
        </w:rPr>
        <w:t>Drina river</w:t>
      </w:r>
      <w:proofErr w:type="gramEnd"/>
      <w:r w:rsidRPr="00ED4D49">
        <w:rPr>
          <w:szCs w:val="23"/>
          <w:lang w:val="en-US"/>
        </w:rPr>
        <w:t xml:space="preserve">, at the confluence to the Sava river, was over 4000 m3/s what is the highest flow recorded in the last 50 years. The recurrence period of the </w:t>
      </w:r>
      <w:proofErr w:type="gramStart"/>
      <w:r w:rsidRPr="00ED4D49">
        <w:rPr>
          <w:szCs w:val="23"/>
          <w:lang w:val="en-US"/>
        </w:rPr>
        <w:t>Sava river</w:t>
      </w:r>
      <w:proofErr w:type="gramEnd"/>
      <w:r w:rsidRPr="00ED4D49">
        <w:rPr>
          <w:szCs w:val="23"/>
          <w:lang w:val="en-US"/>
        </w:rPr>
        <w:t xml:space="preserve"> flow downstream the confluence with Drina, almost reached 100 years (6000 m3/s). </w:t>
      </w:r>
      <w:r w:rsidR="007B11F5" w:rsidRPr="00ED4D49">
        <w:rPr>
          <w:lang w:val="en-US"/>
        </w:rPr>
        <w:t xml:space="preserve">The </w:t>
      </w:r>
      <w:r w:rsidRPr="00ED4D49">
        <w:rPr>
          <w:lang w:val="en-US"/>
        </w:rPr>
        <w:t>m</w:t>
      </w:r>
      <w:r w:rsidR="007B11F5" w:rsidRPr="00ED4D49">
        <w:rPr>
          <w:lang w:val="en-US"/>
        </w:rPr>
        <w:t xml:space="preserve">ore details on economic impact of these floods </w:t>
      </w:r>
      <w:proofErr w:type="gramStart"/>
      <w:r w:rsidR="007B11F5" w:rsidRPr="00ED4D49">
        <w:rPr>
          <w:lang w:val="en-US"/>
        </w:rPr>
        <w:t>is</w:t>
      </w:r>
      <w:proofErr w:type="gramEnd"/>
      <w:r w:rsidR="007B11F5" w:rsidRPr="00ED4D49">
        <w:rPr>
          <w:lang w:val="en-US"/>
        </w:rPr>
        <w:t xml:space="preserve"> given in Chapter </w:t>
      </w:r>
      <w:r w:rsidR="007B11F5" w:rsidRPr="00ED4D49">
        <w:rPr>
          <w:lang w:val="en-US"/>
        </w:rPr>
        <w:fldChar w:fldCharType="begin"/>
      </w:r>
      <w:r w:rsidR="007B11F5" w:rsidRPr="00ED4D49">
        <w:rPr>
          <w:lang w:val="en-US"/>
        </w:rPr>
        <w:instrText xml:space="preserve"> REF _Ref22478780 \r \h </w:instrText>
      </w:r>
      <w:r w:rsidR="00ED4D49">
        <w:rPr>
          <w:lang w:val="en-US"/>
        </w:rPr>
        <w:instrText xml:space="preserve"> \* MERGEFORMAT </w:instrText>
      </w:r>
      <w:r w:rsidR="007B11F5" w:rsidRPr="00ED4D49">
        <w:rPr>
          <w:lang w:val="en-US"/>
        </w:rPr>
      </w:r>
      <w:r w:rsidR="007B11F5" w:rsidRPr="00ED4D49">
        <w:rPr>
          <w:lang w:val="en-US"/>
        </w:rPr>
        <w:fldChar w:fldCharType="separate"/>
      </w:r>
      <w:r w:rsidR="00F60130" w:rsidRPr="00ED4D49">
        <w:rPr>
          <w:lang w:val="en-US"/>
        </w:rPr>
        <w:t>4.5</w:t>
      </w:r>
      <w:r w:rsidR="007B11F5" w:rsidRPr="00ED4D49">
        <w:rPr>
          <w:lang w:val="en-US"/>
        </w:rPr>
        <w:fldChar w:fldCharType="end"/>
      </w:r>
      <w:r w:rsidR="007B11F5" w:rsidRPr="00ED4D49">
        <w:rPr>
          <w:lang w:val="en-US"/>
        </w:rPr>
        <w:t>.</w:t>
      </w:r>
      <w:r w:rsidR="007B11F5" w:rsidRPr="00ED4D49">
        <w:rPr>
          <w:lang w:val="en-US" w:eastAsia="x-none"/>
        </w:rPr>
        <w:t xml:space="preserve"> </w:t>
      </w:r>
    </w:p>
    <w:p w14:paraId="678019BF" w14:textId="53695036" w:rsidR="00035488" w:rsidRPr="00ED4D49" w:rsidRDefault="00035488" w:rsidP="0023292C">
      <w:pPr>
        <w:pStyle w:val="Heading3"/>
      </w:pPr>
      <w:bookmarkStart w:id="43" w:name="_Toc31811056"/>
      <w:r w:rsidRPr="00ED4D49">
        <w:t xml:space="preserve">Water </w:t>
      </w:r>
      <w:r w:rsidR="003C7C9E" w:rsidRPr="00ED4D49">
        <w:t>Quality</w:t>
      </w:r>
      <w:bookmarkEnd w:id="43"/>
      <w:r w:rsidRPr="00ED4D49">
        <w:tab/>
      </w:r>
    </w:p>
    <w:p w14:paraId="5ACCB732" w14:textId="7FA0D42E" w:rsidR="00012839" w:rsidRPr="00ED4D49" w:rsidRDefault="00012839" w:rsidP="00012839">
      <w:pPr>
        <w:jc w:val="both"/>
        <w:rPr>
          <w:lang w:val="en-US"/>
        </w:rPr>
      </w:pPr>
      <w:r w:rsidRPr="00ED4D49">
        <w:rPr>
          <w:lang w:val="en-US"/>
        </w:rPr>
        <w:t>Based on information taken from the river basin management documents</w:t>
      </w:r>
      <w:r w:rsidRPr="00ED4D49">
        <w:rPr>
          <w:rStyle w:val="FootnoteReference"/>
          <w:lang w:val="en-US"/>
        </w:rPr>
        <w:footnoteReference w:id="2"/>
      </w:r>
      <w:r w:rsidRPr="00ED4D49">
        <w:rPr>
          <w:lang w:val="en-US"/>
        </w:rPr>
        <w:t>, DRB consists of 265 water bodies</w:t>
      </w:r>
      <w:r w:rsidR="00E26A7E" w:rsidRPr="00ED4D49">
        <w:rPr>
          <w:lang w:val="en-US"/>
        </w:rPr>
        <w:t>:</w:t>
      </w:r>
      <w:r w:rsidRPr="00ED4D49">
        <w:rPr>
          <w:lang w:val="en-US"/>
        </w:rPr>
        <w:t xml:space="preserve"> 233 </w:t>
      </w:r>
      <w:r w:rsidR="00E26A7E" w:rsidRPr="00ED4D49">
        <w:rPr>
          <w:lang w:val="en-US"/>
        </w:rPr>
        <w:t>in</w:t>
      </w:r>
      <w:r w:rsidRPr="00ED4D49">
        <w:rPr>
          <w:lang w:val="en-US"/>
        </w:rPr>
        <w:t xml:space="preserve"> </w:t>
      </w:r>
      <w:r w:rsidR="00E26A7E" w:rsidRPr="00ED4D49">
        <w:rPr>
          <w:lang w:val="en-US"/>
        </w:rPr>
        <w:t>RS</w:t>
      </w:r>
      <w:r w:rsidRPr="00ED4D49">
        <w:rPr>
          <w:lang w:val="en-US"/>
        </w:rPr>
        <w:t xml:space="preserve"> and 32 </w:t>
      </w:r>
      <w:r w:rsidR="00E26A7E" w:rsidRPr="00ED4D49">
        <w:rPr>
          <w:lang w:val="en-US"/>
        </w:rPr>
        <w:t>in F</w:t>
      </w:r>
      <w:r w:rsidRPr="00ED4D49">
        <w:rPr>
          <w:lang w:val="en-US"/>
        </w:rPr>
        <w:t>BiH. Out of these</w:t>
      </w:r>
      <w:r w:rsidR="007803E8" w:rsidRPr="00ED4D49">
        <w:rPr>
          <w:lang w:val="en-US"/>
        </w:rPr>
        <w:t>,</w:t>
      </w:r>
      <w:r w:rsidRPr="00ED4D49">
        <w:rPr>
          <w:lang w:val="en-US"/>
        </w:rPr>
        <w:t xml:space="preserve"> 109 water bodies (47%) are not classified as </w:t>
      </w:r>
      <w:r w:rsidR="007803E8" w:rsidRPr="00ED4D49">
        <w:rPr>
          <w:lang w:val="en-US"/>
        </w:rPr>
        <w:t xml:space="preserve">having </w:t>
      </w:r>
      <w:r w:rsidRPr="00ED4D49">
        <w:rPr>
          <w:lang w:val="en-US"/>
        </w:rPr>
        <w:t xml:space="preserve">good or high status according to the Water Framework Directive (2000/60/European Parliament and Council). Moderate ecological status and </w:t>
      </w:r>
      <w:r w:rsidR="007803E8" w:rsidRPr="00ED4D49">
        <w:rPr>
          <w:lang w:val="en-US"/>
        </w:rPr>
        <w:t>poor</w:t>
      </w:r>
      <w:r w:rsidRPr="00ED4D49">
        <w:rPr>
          <w:lang w:val="en-US"/>
        </w:rPr>
        <w:t xml:space="preserve"> chemical status were determined on the section of the Drina River downstream from Zvornik, while </w:t>
      </w:r>
      <w:r w:rsidR="007803E8" w:rsidRPr="00ED4D49">
        <w:rPr>
          <w:lang w:val="en-US"/>
        </w:rPr>
        <w:t>poor</w:t>
      </w:r>
      <w:r w:rsidRPr="00ED4D49">
        <w:rPr>
          <w:lang w:val="en-US"/>
        </w:rPr>
        <w:t xml:space="preserve"> chemical status was determined upstream and downstream from </w:t>
      </w:r>
      <w:r w:rsidR="00AC0625" w:rsidRPr="00ED4D49">
        <w:rPr>
          <w:lang w:val="en-US"/>
        </w:rPr>
        <w:t xml:space="preserve">City of </w:t>
      </w:r>
      <w:r w:rsidRPr="00ED4D49">
        <w:rPr>
          <w:lang w:val="en-US"/>
        </w:rPr>
        <w:t xml:space="preserve">Gorazde all the way </w:t>
      </w:r>
      <w:r w:rsidR="00AC0625" w:rsidRPr="00ED4D49">
        <w:rPr>
          <w:lang w:val="en-US"/>
        </w:rPr>
        <w:t xml:space="preserve">down </w:t>
      </w:r>
      <w:r w:rsidRPr="00ED4D49">
        <w:rPr>
          <w:lang w:val="en-US"/>
        </w:rPr>
        <w:t xml:space="preserve">to </w:t>
      </w:r>
      <w:proofErr w:type="spellStart"/>
      <w:r w:rsidRPr="00ED4D49">
        <w:rPr>
          <w:lang w:val="en-US"/>
        </w:rPr>
        <w:t>Visegrad</w:t>
      </w:r>
      <w:proofErr w:type="spellEnd"/>
      <w:r w:rsidR="00AC0625" w:rsidRPr="00ED4D49">
        <w:rPr>
          <w:lang w:val="en-US"/>
        </w:rPr>
        <w:t xml:space="preserve"> municipality</w:t>
      </w:r>
      <w:r w:rsidRPr="00ED4D49">
        <w:rPr>
          <w:lang w:val="en-US"/>
        </w:rPr>
        <w:t xml:space="preserve">. </w:t>
      </w:r>
    </w:p>
    <w:p w14:paraId="7A9CD998" w14:textId="701F1E10" w:rsidR="00012839" w:rsidRPr="00ED4D49" w:rsidRDefault="00012839" w:rsidP="00012839">
      <w:pPr>
        <w:jc w:val="both"/>
        <w:rPr>
          <w:lang w:val="en-US"/>
        </w:rPr>
      </w:pPr>
      <w:r w:rsidRPr="00ED4D49">
        <w:rPr>
          <w:lang w:val="en-US"/>
        </w:rPr>
        <w:t xml:space="preserve">The main identified pressures </w:t>
      </w:r>
      <w:r w:rsidR="00AC0625" w:rsidRPr="00ED4D49">
        <w:rPr>
          <w:lang w:val="en-US"/>
        </w:rPr>
        <w:t>include</w:t>
      </w:r>
      <w:r w:rsidRPr="00ED4D49">
        <w:rPr>
          <w:lang w:val="en-US"/>
        </w:rPr>
        <w:t xml:space="preserve"> organic and nutrient pollution </w:t>
      </w:r>
      <w:r w:rsidR="00423413" w:rsidRPr="00ED4D49">
        <w:rPr>
          <w:lang w:val="en-US"/>
        </w:rPr>
        <w:t xml:space="preserve">from anthropological activities (mainly municipal and industrial wastewater, </w:t>
      </w:r>
      <w:r w:rsidR="0035781D" w:rsidRPr="00ED4D49">
        <w:rPr>
          <w:lang w:val="en-US"/>
        </w:rPr>
        <w:t xml:space="preserve">waste dumpsites </w:t>
      </w:r>
      <w:r w:rsidR="00423413" w:rsidRPr="00ED4D49">
        <w:rPr>
          <w:lang w:val="en-US"/>
        </w:rPr>
        <w:t xml:space="preserve">and agricultural activities) </w:t>
      </w:r>
      <w:r w:rsidRPr="00ED4D49">
        <w:rPr>
          <w:lang w:val="en-US"/>
        </w:rPr>
        <w:t xml:space="preserve">along with hydro-morphological alterations which also affect the environmental status of water bodies. </w:t>
      </w:r>
      <w:r w:rsidR="009E6567" w:rsidRPr="00ED4D49">
        <w:rPr>
          <w:lang w:val="en-US"/>
        </w:rPr>
        <w:t xml:space="preserve">The only urban wastewater treatment plant in the DRB is located in the city of Bijeljina, located just before the </w:t>
      </w:r>
      <w:proofErr w:type="gramStart"/>
      <w:r w:rsidR="009E6567" w:rsidRPr="00ED4D49">
        <w:rPr>
          <w:lang w:val="en-US"/>
        </w:rPr>
        <w:t>Drina river</w:t>
      </w:r>
      <w:proofErr w:type="gramEnd"/>
      <w:r w:rsidR="009E6567" w:rsidRPr="00ED4D49">
        <w:rPr>
          <w:lang w:val="en-US"/>
        </w:rPr>
        <w:t xml:space="preserve"> empties into the Sava river. </w:t>
      </w:r>
      <w:r w:rsidR="00BE0F20" w:rsidRPr="00ED4D49">
        <w:rPr>
          <w:lang w:val="en-US"/>
        </w:rPr>
        <w:t>The c</w:t>
      </w:r>
      <w:r w:rsidR="009E6567" w:rsidRPr="00ED4D49">
        <w:rPr>
          <w:lang w:val="en-US"/>
        </w:rPr>
        <w:t xml:space="preserve">apacity of the plant is 40.000 PE. Other settlements located in the </w:t>
      </w:r>
      <w:r w:rsidR="00BE0F20" w:rsidRPr="00ED4D49">
        <w:rPr>
          <w:lang w:val="en-US"/>
        </w:rPr>
        <w:t>DRB</w:t>
      </w:r>
      <w:r w:rsidR="009E6567" w:rsidRPr="00ED4D49">
        <w:rPr>
          <w:lang w:val="en-US"/>
        </w:rPr>
        <w:t xml:space="preserve"> discharge their wastewater without any treatment. </w:t>
      </w:r>
      <w:r w:rsidRPr="00ED4D49">
        <w:rPr>
          <w:lang w:val="en-US"/>
        </w:rPr>
        <w:t xml:space="preserve">Despite the indication of low </w:t>
      </w:r>
      <w:r w:rsidR="00AC0625" w:rsidRPr="00ED4D49">
        <w:rPr>
          <w:lang w:val="en-US"/>
        </w:rPr>
        <w:t>concentrations</w:t>
      </w:r>
      <w:r w:rsidRPr="00ED4D49">
        <w:rPr>
          <w:lang w:val="en-US"/>
        </w:rPr>
        <w:t xml:space="preserve"> of heavy metals in the Drina River, increased values have recently been noted due to antimony mines and the exploration of, among other things, gravel and quartz sand.</w:t>
      </w:r>
    </w:p>
    <w:p w14:paraId="539606CE" w14:textId="52F97438" w:rsidR="00E26A7E" w:rsidRPr="00ED4D49" w:rsidRDefault="00012839" w:rsidP="008C16E9">
      <w:pPr>
        <w:jc w:val="both"/>
        <w:rPr>
          <w:lang w:val="en-US"/>
        </w:rPr>
      </w:pPr>
      <w:r w:rsidRPr="00ED4D49">
        <w:rPr>
          <w:lang w:val="en-US"/>
        </w:rPr>
        <w:t xml:space="preserve">There are 4 </w:t>
      </w:r>
      <w:r w:rsidR="00AC0625" w:rsidRPr="00ED4D49">
        <w:rPr>
          <w:lang w:val="en-US"/>
        </w:rPr>
        <w:t>monitoring stations</w:t>
      </w:r>
      <w:r w:rsidRPr="00ED4D49">
        <w:rPr>
          <w:lang w:val="en-US"/>
        </w:rPr>
        <w:t xml:space="preserve"> located on the Drina</w:t>
      </w:r>
      <w:r w:rsidR="00AC0625" w:rsidRPr="00ED4D49">
        <w:rPr>
          <w:lang w:val="en-US"/>
        </w:rPr>
        <w:t xml:space="preserve"> River</w:t>
      </w:r>
      <w:r w:rsidRPr="00ED4D49">
        <w:rPr>
          <w:lang w:val="en-US"/>
        </w:rPr>
        <w:t xml:space="preserve">, two in </w:t>
      </w:r>
      <w:r w:rsidR="00E26A7E" w:rsidRPr="00ED4D49">
        <w:rPr>
          <w:lang w:val="en-US"/>
        </w:rPr>
        <w:t xml:space="preserve">FBiH </w:t>
      </w:r>
      <w:r w:rsidRPr="00ED4D49">
        <w:rPr>
          <w:lang w:val="en-US"/>
        </w:rPr>
        <w:t xml:space="preserve">(downstream </w:t>
      </w:r>
      <w:r w:rsidR="00AC0625" w:rsidRPr="00ED4D49">
        <w:rPr>
          <w:lang w:val="en-US"/>
        </w:rPr>
        <w:t xml:space="preserve">from </w:t>
      </w:r>
      <w:r w:rsidRPr="00ED4D49">
        <w:rPr>
          <w:lang w:val="en-US"/>
        </w:rPr>
        <w:t>Gora</w:t>
      </w:r>
      <w:r w:rsidR="00AC0625" w:rsidRPr="00ED4D49">
        <w:rPr>
          <w:lang w:val="en-US"/>
        </w:rPr>
        <w:t>z</w:t>
      </w:r>
      <w:r w:rsidRPr="00ED4D49">
        <w:rPr>
          <w:lang w:val="en-US"/>
        </w:rPr>
        <w:t>de and</w:t>
      </w:r>
      <w:r w:rsidR="00AC0625" w:rsidRPr="00ED4D49">
        <w:rPr>
          <w:lang w:val="en-US"/>
        </w:rPr>
        <w:t xml:space="preserve"> in</w:t>
      </w:r>
      <w:r w:rsidRPr="00ED4D49">
        <w:rPr>
          <w:lang w:val="en-US"/>
        </w:rPr>
        <w:t xml:space="preserve"> </w:t>
      </w:r>
      <w:proofErr w:type="spellStart"/>
      <w:r w:rsidR="00E26A7E" w:rsidRPr="00ED4D49">
        <w:rPr>
          <w:lang w:val="en-US"/>
        </w:rPr>
        <w:t>Vitkovici</w:t>
      </w:r>
      <w:proofErr w:type="spellEnd"/>
      <w:r w:rsidR="00E26A7E" w:rsidRPr="00ED4D49">
        <w:rPr>
          <w:lang w:val="en-US"/>
        </w:rPr>
        <w:t xml:space="preserve"> </w:t>
      </w:r>
      <w:r w:rsidRPr="00ED4D49">
        <w:rPr>
          <w:lang w:val="en-US"/>
        </w:rPr>
        <w:t>set</w:t>
      </w:r>
      <w:r w:rsidR="00E26A7E" w:rsidRPr="00ED4D49">
        <w:rPr>
          <w:lang w:val="en-US"/>
        </w:rPr>
        <w:t>t</w:t>
      </w:r>
      <w:r w:rsidRPr="00ED4D49">
        <w:rPr>
          <w:lang w:val="en-US"/>
        </w:rPr>
        <w:t xml:space="preserve">lement) and two in </w:t>
      </w:r>
      <w:r w:rsidR="00E26A7E" w:rsidRPr="00ED4D49">
        <w:rPr>
          <w:lang w:val="en-US"/>
        </w:rPr>
        <w:t>RS</w:t>
      </w:r>
      <w:r w:rsidRPr="00ED4D49">
        <w:rPr>
          <w:lang w:val="en-US"/>
        </w:rPr>
        <w:t xml:space="preserve"> (Fo</w:t>
      </w:r>
      <w:r w:rsidR="00AC0625" w:rsidRPr="00ED4D49">
        <w:rPr>
          <w:lang w:val="en-US"/>
        </w:rPr>
        <w:t>c</w:t>
      </w:r>
      <w:r w:rsidRPr="00ED4D49">
        <w:rPr>
          <w:lang w:val="en-US"/>
        </w:rPr>
        <w:t xml:space="preserve">a and </w:t>
      </w:r>
      <w:proofErr w:type="spellStart"/>
      <w:r w:rsidRPr="00ED4D49">
        <w:rPr>
          <w:lang w:val="en-US"/>
        </w:rPr>
        <w:t>Badanovci</w:t>
      </w:r>
      <w:proofErr w:type="spellEnd"/>
      <w:r w:rsidR="00E26A7E" w:rsidRPr="00ED4D49">
        <w:rPr>
          <w:lang w:val="en-US"/>
        </w:rPr>
        <w:t xml:space="preserve"> settlement</w:t>
      </w:r>
      <w:r w:rsidRPr="00ED4D49">
        <w:rPr>
          <w:lang w:val="en-US"/>
        </w:rPr>
        <w:t xml:space="preserve">). </w:t>
      </w:r>
      <w:r w:rsidR="00E26A7E" w:rsidRPr="00ED4D49">
        <w:rPr>
          <w:lang w:val="en-US"/>
        </w:rPr>
        <w:t>The f</w:t>
      </w:r>
      <w:r w:rsidRPr="00ED4D49">
        <w:rPr>
          <w:lang w:val="en-US"/>
        </w:rPr>
        <w:t xml:space="preserve">requency of surface water quality testing at selected reference stations is presented in </w:t>
      </w:r>
      <w:bookmarkStart w:id="44" w:name="_Ref20907991"/>
      <w:bookmarkStart w:id="45" w:name="_Toc6824449"/>
      <w:bookmarkStart w:id="46" w:name="_Ref20907987"/>
      <w:r w:rsidR="008C16E9" w:rsidRPr="00ED4D49">
        <w:rPr>
          <w:lang w:val="en-US"/>
        </w:rPr>
        <w:t xml:space="preserve">the following table. </w:t>
      </w:r>
    </w:p>
    <w:p w14:paraId="4DBBC34B" w14:textId="7E76628E" w:rsidR="00AC0625" w:rsidRPr="00ED4D49" w:rsidRDefault="00012839" w:rsidP="00012839">
      <w:pPr>
        <w:pStyle w:val="Caption"/>
        <w:rPr>
          <w:b w:val="0"/>
          <w:i/>
          <w:color w:val="auto"/>
          <w:sz w:val="16"/>
          <w:szCs w:val="16"/>
        </w:rPr>
      </w:pPr>
      <w:bookmarkStart w:id="47" w:name="_Toc28188026"/>
      <w:r w:rsidRPr="00ED4D49">
        <w:rPr>
          <w:b w:val="0"/>
          <w:i/>
          <w:color w:val="2F5496"/>
          <w:sz w:val="16"/>
          <w:szCs w:val="16"/>
        </w:rPr>
        <w:t xml:space="preserve">Table </w:t>
      </w:r>
      <w:r w:rsidRPr="00ED4D49">
        <w:rPr>
          <w:b w:val="0"/>
          <w:i/>
          <w:color w:val="2F5496"/>
          <w:sz w:val="16"/>
          <w:szCs w:val="16"/>
        </w:rPr>
        <w:fldChar w:fldCharType="begin"/>
      </w:r>
      <w:r w:rsidRPr="00ED4D49">
        <w:rPr>
          <w:b w:val="0"/>
          <w:i/>
          <w:color w:val="2F5496"/>
          <w:sz w:val="16"/>
          <w:szCs w:val="16"/>
        </w:rPr>
        <w:instrText xml:space="preserve"> SEQ Table \* ARABIC </w:instrText>
      </w:r>
      <w:r w:rsidRPr="00ED4D49">
        <w:rPr>
          <w:b w:val="0"/>
          <w:i/>
          <w:color w:val="2F5496"/>
          <w:sz w:val="16"/>
          <w:szCs w:val="16"/>
        </w:rPr>
        <w:fldChar w:fldCharType="separate"/>
      </w:r>
      <w:r w:rsidR="00F60130" w:rsidRPr="00ED4D49">
        <w:rPr>
          <w:b w:val="0"/>
          <w:i/>
          <w:noProof/>
          <w:color w:val="2F5496"/>
          <w:sz w:val="16"/>
          <w:szCs w:val="16"/>
        </w:rPr>
        <w:t>1</w:t>
      </w:r>
      <w:r w:rsidRPr="00ED4D49">
        <w:rPr>
          <w:b w:val="0"/>
          <w:i/>
          <w:color w:val="2F5496"/>
          <w:sz w:val="16"/>
          <w:szCs w:val="16"/>
        </w:rPr>
        <w:fldChar w:fldCharType="end"/>
      </w:r>
      <w:bookmarkEnd w:id="44"/>
      <w:r w:rsidRPr="00ED4D49">
        <w:rPr>
          <w:b w:val="0"/>
          <w:i/>
          <w:color w:val="2F5496"/>
          <w:sz w:val="16"/>
          <w:szCs w:val="16"/>
        </w:rPr>
        <w:t xml:space="preserve">: </w:t>
      </w:r>
      <w:r w:rsidRPr="00ED4D49">
        <w:rPr>
          <w:b w:val="0"/>
          <w:i/>
          <w:color w:val="auto"/>
          <w:sz w:val="16"/>
          <w:szCs w:val="16"/>
        </w:rPr>
        <w:t>Frequency of Surface Water Quality Testing at Selected Reference Stations in BiH</w:t>
      </w:r>
      <w:bookmarkEnd w:id="45"/>
      <w:bookmarkEnd w:id="47"/>
      <w:r w:rsidRPr="00ED4D49">
        <w:rPr>
          <w:b w:val="0"/>
          <w:i/>
          <w:color w:val="auto"/>
          <w:sz w:val="16"/>
          <w:szCs w:val="16"/>
        </w:rPr>
        <w:t xml:space="preserve"> </w:t>
      </w:r>
    </w:p>
    <w:tbl>
      <w:tblPr>
        <w:tblStyle w:val="TableGridLight"/>
        <w:tblW w:w="5000" w:type="pct"/>
        <w:tblLook w:val="04A0" w:firstRow="1" w:lastRow="0" w:firstColumn="1" w:lastColumn="0" w:noHBand="0" w:noVBand="1"/>
      </w:tblPr>
      <w:tblGrid>
        <w:gridCol w:w="1807"/>
        <w:gridCol w:w="3025"/>
        <w:gridCol w:w="829"/>
        <w:gridCol w:w="862"/>
        <w:gridCol w:w="829"/>
        <w:gridCol w:w="829"/>
        <w:gridCol w:w="829"/>
      </w:tblGrid>
      <w:tr w:rsidR="00012839" w:rsidRPr="00ED4D49" w14:paraId="63D27B5E" w14:textId="77777777" w:rsidTr="00E26A7E">
        <w:trPr>
          <w:tblHeader/>
        </w:trPr>
        <w:tc>
          <w:tcPr>
            <w:tcW w:w="1922" w:type="dxa"/>
            <w:vMerge w:val="restart"/>
          </w:tcPr>
          <w:bookmarkEnd w:id="46"/>
          <w:p w14:paraId="6FBBB5A3" w14:textId="77777777" w:rsidR="00012839" w:rsidRPr="00ED4D49" w:rsidRDefault="00012839" w:rsidP="009E6567">
            <w:pPr>
              <w:spacing w:before="0" w:after="0"/>
              <w:ind w:left="144" w:right="144"/>
              <w:rPr>
                <w:rFonts w:cs="Calibri"/>
                <w:color w:val="336699"/>
                <w:sz w:val="16"/>
                <w:szCs w:val="16"/>
                <w:lang w:val="en-US"/>
              </w:rPr>
            </w:pPr>
            <w:r w:rsidRPr="00ED4D49">
              <w:rPr>
                <w:rFonts w:cs="Calibri"/>
                <w:color w:val="336699"/>
                <w:sz w:val="16"/>
                <w:szCs w:val="16"/>
                <w:lang w:val="en-US"/>
              </w:rPr>
              <w:t>Water body code/TNMN code</w:t>
            </w:r>
          </w:p>
        </w:tc>
        <w:tc>
          <w:tcPr>
            <w:tcW w:w="3363" w:type="dxa"/>
            <w:vMerge w:val="restart"/>
          </w:tcPr>
          <w:p w14:paraId="0F3412FF" w14:textId="77777777" w:rsidR="00012839" w:rsidRPr="00ED4D49" w:rsidRDefault="00012839" w:rsidP="009E6567">
            <w:pPr>
              <w:spacing w:before="0" w:after="0"/>
              <w:ind w:left="144" w:right="144"/>
              <w:jc w:val="center"/>
              <w:rPr>
                <w:rFonts w:cs="Calibri"/>
                <w:color w:val="336699"/>
                <w:sz w:val="16"/>
                <w:szCs w:val="16"/>
                <w:lang w:val="en-US"/>
              </w:rPr>
            </w:pPr>
            <w:r w:rsidRPr="00ED4D49">
              <w:rPr>
                <w:rFonts w:cs="Calibri"/>
                <w:color w:val="336699"/>
                <w:sz w:val="16"/>
                <w:szCs w:val="16"/>
                <w:lang w:val="en-US"/>
              </w:rPr>
              <w:t>Watercourse name</w:t>
            </w:r>
          </w:p>
          <w:p w14:paraId="5BC97FF3" w14:textId="77777777" w:rsidR="00012839" w:rsidRPr="00ED4D49" w:rsidRDefault="00012839" w:rsidP="009E6567">
            <w:pPr>
              <w:spacing w:before="0" w:after="0"/>
              <w:ind w:left="144" w:right="144"/>
              <w:jc w:val="center"/>
              <w:rPr>
                <w:rFonts w:cs="Calibri"/>
                <w:color w:val="336699"/>
                <w:sz w:val="16"/>
                <w:szCs w:val="16"/>
                <w:lang w:val="en-US"/>
              </w:rPr>
            </w:pPr>
            <w:r w:rsidRPr="00ED4D49">
              <w:rPr>
                <w:rFonts w:cs="Calibri"/>
                <w:color w:val="336699"/>
                <w:sz w:val="16"/>
                <w:szCs w:val="16"/>
                <w:lang w:val="en-US"/>
              </w:rPr>
              <w:t>Measuring site position/Entity</w:t>
            </w:r>
          </w:p>
        </w:tc>
        <w:tc>
          <w:tcPr>
            <w:tcW w:w="3725" w:type="dxa"/>
            <w:gridSpan w:val="5"/>
          </w:tcPr>
          <w:p w14:paraId="5C3E79C6" w14:textId="77777777" w:rsidR="00012839" w:rsidRPr="00ED4D49" w:rsidRDefault="00012839" w:rsidP="009E6567">
            <w:pPr>
              <w:spacing w:before="0" w:after="0"/>
              <w:ind w:left="144" w:right="144"/>
              <w:jc w:val="center"/>
              <w:rPr>
                <w:rFonts w:cs="Calibri"/>
                <w:color w:val="336699"/>
                <w:sz w:val="16"/>
                <w:szCs w:val="16"/>
                <w:lang w:val="en-US"/>
              </w:rPr>
            </w:pPr>
            <w:r w:rsidRPr="00ED4D49">
              <w:rPr>
                <w:rFonts w:cs="Calibri"/>
                <w:color w:val="336699"/>
                <w:sz w:val="16"/>
                <w:szCs w:val="16"/>
                <w:lang w:val="en-US"/>
              </w:rPr>
              <w:t>Number of tests</w:t>
            </w:r>
          </w:p>
        </w:tc>
      </w:tr>
      <w:tr w:rsidR="00012839" w:rsidRPr="00ED4D49" w14:paraId="196460B4" w14:textId="77777777" w:rsidTr="00E26A7E">
        <w:trPr>
          <w:tblHeader/>
        </w:trPr>
        <w:tc>
          <w:tcPr>
            <w:tcW w:w="1922" w:type="dxa"/>
            <w:vMerge/>
          </w:tcPr>
          <w:p w14:paraId="1CD3A835" w14:textId="77777777" w:rsidR="00012839" w:rsidRPr="00ED4D49" w:rsidRDefault="00012839" w:rsidP="00C27BB5">
            <w:pPr>
              <w:spacing w:before="0" w:after="0"/>
              <w:ind w:left="144" w:right="144"/>
              <w:rPr>
                <w:rFonts w:cs="Calibri"/>
                <w:color w:val="336699"/>
                <w:sz w:val="16"/>
                <w:szCs w:val="16"/>
                <w:lang w:val="en-US"/>
              </w:rPr>
            </w:pPr>
          </w:p>
        </w:tc>
        <w:tc>
          <w:tcPr>
            <w:tcW w:w="3363" w:type="dxa"/>
            <w:vMerge/>
          </w:tcPr>
          <w:p w14:paraId="7EE8B1AC" w14:textId="77777777" w:rsidR="00012839" w:rsidRPr="00ED4D49" w:rsidRDefault="00012839" w:rsidP="00C27BB5">
            <w:pPr>
              <w:spacing w:before="0" w:after="0"/>
              <w:ind w:left="144" w:right="144"/>
              <w:jc w:val="center"/>
              <w:rPr>
                <w:rFonts w:cs="Calibri"/>
                <w:color w:val="336699"/>
                <w:sz w:val="16"/>
                <w:szCs w:val="16"/>
                <w:lang w:val="en-US"/>
              </w:rPr>
            </w:pPr>
          </w:p>
        </w:tc>
        <w:tc>
          <w:tcPr>
            <w:tcW w:w="700" w:type="dxa"/>
          </w:tcPr>
          <w:p w14:paraId="3FF50B12" w14:textId="77777777" w:rsidR="00012839" w:rsidRPr="00ED4D49" w:rsidRDefault="00012839" w:rsidP="00C27BB5">
            <w:pPr>
              <w:spacing w:before="0" w:after="0"/>
              <w:ind w:left="144" w:right="144"/>
              <w:rPr>
                <w:rFonts w:cs="Calibri"/>
                <w:color w:val="336699"/>
                <w:sz w:val="16"/>
                <w:szCs w:val="16"/>
                <w:lang w:val="en-US"/>
              </w:rPr>
            </w:pPr>
            <w:r w:rsidRPr="00ED4D49">
              <w:rPr>
                <w:rFonts w:cs="Calibri"/>
                <w:color w:val="336699"/>
                <w:sz w:val="16"/>
                <w:szCs w:val="16"/>
                <w:lang w:val="en-US"/>
              </w:rPr>
              <w:t>2013</w:t>
            </w:r>
          </w:p>
        </w:tc>
        <w:tc>
          <w:tcPr>
            <w:tcW w:w="869" w:type="dxa"/>
          </w:tcPr>
          <w:p w14:paraId="36B6877C" w14:textId="77777777" w:rsidR="00012839" w:rsidRPr="00ED4D49" w:rsidRDefault="00012839" w:rsidP="00C27BB5">
            <w:pPr>
              <w:spacing w:before="0" w:after="0"/>
              <w:ind w:left="144" w:right="144"/>
              <w:rPr>
                <w:rFonts w:cs="Calibri"/>
                <w:color w:val="336699"/>
                <w:sz w:val="16"/>
                <w:szCs w:val="16"/>
                <w:lang w:val="en-US"/>
              </w:rPr>
            </w:pPr>
            <w:r w:rsidRPr="00ED4D49">
              <w:rPr>
                <w:rFonts w:cs="Calibri"/>
                <w:color w:val="336699"/>
                <w:sz w:val="16"/>
                <w:szCs w:val="16"/>
                <w:lang w:val="en-US"/>
              </w:rPr>
              <w:t>2014</w:t>
            </w:r>
          </w:p>
        </w:tc>
        <w:tc>
          <w:tcPr>
            <w:tcW w:w="700" w:type="dxa"/>
          </w:tcPr>
          <w:p w14:paraId="137860A3" w14:textId="77777777" w:rsidR="00012839" w:rsidRPr="00ED4D49" w:rsidRDefault="00012839" w:rsidP="00C27BB5">
            <w:pPr>
              <w:spacing w:before="0" w:after="0"/>
              <w:ind w:left="144" w:right="144"/>
              <w:rPr>
                <w:rFonts w:cs="Calibri"/>
                <w:color w:val="336699"/>
                <w:sz w:val="16"/>
                <w:szCs w:val="16"/>
                <w:lang w:val="en-US"/>
              </w:rPr>
            </w:pPr>
            <w:r w:rsidRPr="00ED4D49">
              <w:rPr>
                <w:rFonts w:cs="Calibri"/>
                <w:color w:val="336699"/>
                <w:sz w:val="16"/>
                <w:szCs w:val="16"/>
                <w:lang w:val="en-US"/>
              </w:rPr>
              <w:t>2015</w:t>
            </w:r>
          </w:p>
        </w:tc>
        <w:tc>
          <w:tcPr>
            <w:tcW w:w="706" w:type="dxa"/>
          </w:tcPr>
          <w:p w14:paraId="0C2016B9" w14:textId="77777777" w:rsidR="00012839" w:rsidRPr="00ED4D49" w:rsidRDefault="00012839" w:rsidP="00C27BB5">
            <w:pPr>
              <w:spacing w:before="0" w:after="0"/>
              <w:ind w:left="144" w:right="144"/>
              <w:rPr>
                <w:rFonts w:cs="Calibri"/>
                <w:color w:val="336699"/>
                <w:sz w:val="16"/>
                <w:szCs w:val="16"/>
                <w:lang w:val="en-US"/>
              </w:rPr>
            </w:pPr>
            <w:r w:rsidRPr="00ED4D49">
              <w:rPr>
                <w:rFonts w:cs="Calibri"/>
                <w:color w:val="336699"/>
                <w:sz w:val="16"/>
                <w:szCs w:val="16"/>
                <w:lang w:val="en-US"/>
              </w:rPr>
              <w:t>2016</w:t>
            </w:r>
          </w:p>
        </w:tc>
        <w:tc>
          <w:tcPr>
            <w:tcW w:w="750" w:type="dxa"/>
          </w:tcPr>
          <w:p w14:paraId="461471F3" w14:textId="77777777" w:rsidR="00012839" w:rsidRPr="00ED4D49" w:rsidRDefault="00012839" w:rsidP="00C27BB5">
            <w:pPr>
              <w:spacing w:before="0" w:after="0"/>
              <w:ind w:left="144" w:right="144"/>
              <w:rPr>
                <w:rFonts w:cs="Calibri"/>
                <w:color w:val="336699"/>
                <w:sz w:val="16"/>
                <w:szCs w:val="16"/>
                <w:lang w:val="en-US"/>
              </w:rPr>
            </w:pPr>
            <w:r w:rsidRPr="00ED4D49">
              <w:rPr>
                <w:rFonts w:cs="Calibri"/>
                <w:color w:val="336699"/>
                <w:sz w:val="16"/>
                <w:szCs w:val="16"/>
                <w:lang w:val="en-US"/>
              </w:rPr>
              <w:t>2017</w:t>
            </w:r>
          </w:p>
        </w:tc>
      </w:tr>
      <w:tr w:rsidR="00012839" w:rsidRPr="00ED4D49" w14:paraId="0A136CB1" w14:textId="77777777" w:rsidTr="00E26A7E">
        <w:trPr>
          <w:tblHeader/>
        </w:trPr>
        <w:tc>
          <w:tcPr>
            <w:tcW w:w="9010" w:type="dxa"/>
            <w:gridSpan w:val="7"/>
          </w:tcPr>
          <w:p w14:paraId="3ADEA2AC" w14:textId="6B06EBCD" w:rsidR="00012839" w:rsidRPr="00ED4D49" w:rsidRDefault="00012839" w:rsidP="009E6567">
            <w:pPr>
              <w:spacing w:before="0" w:after="0"/>
              <w:ind w:left="144" w:right="144"/>
              <w:jc w:val="center"/>
              <w:rPr>
                <w:rFonts w:cs="Calibri"/>
                <w:color w:val="336699"/>
                <w:sz w:val="16"/>
                <w:szCs w:val="16"/>
                <w:lang w:val="en-US"/>
              </w:rPr>
            </w:pPr>
            <w:r w:rsidRPr="00ED4D49">
              <w:rPr>
                <w:rFonts w:cs="Calibri"/>
                <w:color w:val="336699"/>
                <w:sz w:val="16"/>
                <w:szCs w:val="16"/>
                <w:lang w:val="en-US"/>
              </w:rPr>
              <w:t>Black Sea Basin-Danube Sub-basin, Sava-Drina River</w:t>
            </w:r>
          </w:p>
        </w:tc>
      </w:tr>
      <w:tr w:rsidR="00012839" w:rsidRPr="00ED4D49" w14:paraId="75505B6A" w14:textId="77777777" w:rsidTr="00E26A7E">
        <w:tc>
          <w:tcPr>
            <w:tcW w:w="1922" w:type="dxa"/>
          </w:tcPr>
          <w:p w14:paraId="263D6B5D" w14:textId="77777777" w:rsidR="00012839" w:rsidRPr="00ED4D49" w:rsidRDefault="00012839" w:rsidP="00C27BB5">
            <w:pPr>
              <w:spacing w:before="0" w:after="0"/>
              <w:rPr>
                <w:b/>
                <w:color w:val="000000"/>
                <w:sz w:val="16"/>
                <w:szCs w:val="16"/>
                <w:lang w:val="en-US"/>
              </w:rPr>
            </w:pPr>
            <w:r w:rsidRPr="00ED4D49">
              <w:rPr>
                <w:b/>
                <w:color w:val="000000"/>
                <w:sz w:val="16"/>
                <w:szCs w:val="16"/>
                <w:lang w:val="en-US"/>
              </w:rPr>
              <w:t>RS_DR_1/BA10</w:t>
            </w:r>
          </w:p>
        </w:tc>
        <w:tc>
          <w:tcPr>
            <w:tcW w:w="3363" w:type="dxa"/>
          </w:tcPr>
          <w:p w14:paraId="1D4C96F2" w14:textId="7FC87FEB" w:rsidR="00012839" w:rsidRPr="00ED4D49" w:rsidRDefault="00012839" w:rsidP="00C27BB5">
            <w:pPr>
              <w:spacing w:before="0" w:after="0"/>
              <w:rPr>
                <w:color w:val="000000"/>
                <w:sz w:val="16"/>
                <w:szCs w:val="16"/>
                <w:lang w:val="en-US"/>
              </w:rPr>
            </w:pPr>
            <w:r w:rsidRPr="00ED4D49">
              <w:rPr>
                <w:color w:val="000000"/>
                <w:sz w:val="16"/>
                <w:szCs w:val="16"/>
                <w:lang w:val="en-US"/>
              </w:rPr>
              <w:t>Drina/</w:t>
            </w:r>
            <w:proofErr w:type="spellStart"/>
            <w:r w:rsidRPr="00ED4D49">
              <w:rPr>
                <w:color w:val="000000"/>
                <w:sz w:val="16"/>
                <w:szCs w:val="16"/>
                <w:lang w:val="en-US"/>
              </w:rPr>
              <w:t>Badanovci</w:t>
            </w:r>
            <w:proofErr w:type="spellEnd"/>
            <w:r w:rsidRPr="00ED4D49">
              <w:rPr>
                <w:color w:val="000000"/>
                <w:sz w:val="16"/>
                <w:szCs w:val="16"/>
                <w:lang w:val="en-US"/>
              </w:rPr>
              <w:t xml:space="preserve">, </w:t>
            </w:r>
            <w:proofErr w:type="spellStart"/>
            <w:r w:rsidRPr="00ED4D49">
              <w:rPr>
                <w:color w:val="000000"/>
                <w:sz w:val="16"/>
                <w:szCs w:val="16"/>
                <w:lang w:val="en-US"/>
              </w:rPr>
              <w:t>Pavlovi</w:t>
            </w:r>
            <w:r w:rsidR="00AC0625" w:rsidRPr="00ED4D49">
              <w:rPr>
                <w:color w:val="000000"/>
                <w:sz w:val="16"/>
                <w:szCs w:val="16"/>
                <w:lang w:val="en-US"/>
              </w:rPr>
              <w:t>c</w:t>
            </w:r>
            <w:r w:rsidRPr="00ED4D49">
              <w:rPr>
                <w:color w:val="000000"/>
                <w:sz w:val="16"/>
                <w:szCs w:val="16"/>
                <w:lang w:val="en-US"/>
              </w:rPr>
              <w:t>a</w:t>
            </w:r>
            <w:proofErr w:type="spellEnd"/>
            <w:r w:rsidRPr="00ED4D49">
              <w:rPr>
                <w:color w:val="000000"/>
                <w:sz w:val="16"/>
                <w:szCs w:val="16"/>
                <w:lang w:val="en-US"/>
              </w:rPr>
              <w:t xml:space="preserve"> </w:t>
            </w:r>
            <w:r w:rsidR="00AC0625" w:rsidRPr="00ED4D49">
              <w:rPr>
                <w:color w:val="000000"/>
                <w:sz w:val="16"/>
                <w:szCs w:val="16"/>
                <w:lang w:val="en-US"/>
              </w:rPr>
              <w:t>bridge</w:t>
            </w:r>
            <w:r w:rsidRPr="00ED4D49">
              <w:rPr>
                <w:color w:val="000000"/>
                <w:sz w:val="16"/>
                <w:szCs w:val="16"/>
                <w:lang w:val="en-US"/>
              </w:rPr>
              <w:t>/RS</w:t>
            </w:r>
          </w:p>
        </w:tc>
        <w:tc>
          <w:tcPr>
            <w:tcW w:w="700" w:type="dxa"/>
          </w:tcPr>
          <w:p w14:paraId="1E477252" w14:textId="77777777" w:rsidR="00012839" w:rsidRPr="00ED4D49" w:rsidRDefault="00012839" w:rsidP="00C27BB5">
            <w:pPr>
              <w:spacing w:before="0" w:after="0"/>
              <w:jc w:val="center"/>
              <w:rPr>
                <w:color w:val="000000"/>
                <w:sz w:val="16"/>
                <w:szCs w:val="16"/>
                <w:lang w:val="en-US"/>
              </w:rPr>
            </w:pPr>
            <w:r w:rsidRPr="00ED4D49">
              <w:rPr>
                <w:color w:val="000000"/>
                <w:sz w:val="16"/>
                <w:szCs w:val="16"/>
                <w:lang w:val="en-US"/>
              </w:rPr>
              <w:t>12</w:t>
            </w:r>
          </w:p>
        </w:tc>
        <w:tc>
          <w:tcPr>
            <w:tcW w:w="869" w:type="dxa"/>
          </w:tcPr>
          <w:p w14:paraId="35F9744E" w14:textId="77777777" w:rsidR="00012839" w:rsidRPr="00ED4D49" w:rsidRDefault="00012839" w:rsidP="00C27BB5">
            <w:pPr>
              <w:spacing w:before="0" w:after="0"/>
              <w:jc w:val="center"/>
              <w:rPr>
                <w:color w:val="000000"/>
                <w:sz w:val="16"/>
                <w:szCs w:val="16"/>
                <w:lang w:val="en-US"/>
              </w:rPr>
            </w:pPr>
            <w:r w:rsidRPr="00ED4D49">
              <w:rPr>
                <w:color w:val="000000"/>
                <w:sz w:val="16"/>
                <w:szCs w:val="16"/>
                <w:lang w:val="en-US"/>
              </w:rPr>
              <w:t>12</w:t>
            </w:r>
          </w:p>
        </w:tc>
        <w:tc>
          <w:tcPr>
            <w:tcW w:w="700" w:type="dxa"/>
          </w:tcPr>
          <w:p w14:paraId="3DEF96DF" w14:textId="77777777" w:rsidR="00012839" w:rsidRPr="00ED4D49" w:rsidRDefault="00012839" w:rsidP="00C27BB5">
            <w:pPr>
              <w:spacing w:before="0" w:after="0"/>
              <w:jc w:val="center"/>
              <w:rPr>
                <w:color w:val="000000"/>
                <w:sz w:val="16"/>
                <w:szCs w:val="16"/>
                <w:lang w:val="en-US"/>
              </w:rPr>
            </w:pPr>
            <w:r w:rsidRPr="00ED4D49">
              <w:rPr>
                <w:color w:val="000000"/>
                <w:sz w:val="16"/>
                <w:szCs w:val="16"/>
                <w:lang w:val="en-US"/>
              </w:rPr>
              <w:t>12</w:t>
            </w:r>
          </w:p>
        </w:tc>
        <w:tc>
          <w:tcPr>
            <w:tcW w:w="706" w:type="dxa"/>
          </w:tcPr>
          <w:p w14:paraId="2B7BCE3E" w14:textId="77777777" w:rsidR="00012839" w:rsidRPr="00ED4D49" w:rsidRDefault="00012839" w:rsidP="00C27BB5">
            <w:pPr>
              <w:spacing w:before="0" w:after="0"/>
              <w:jc w:val="center"/>
              <w:rPr>
                <w:color w:val="000000"/>
                <w:sz w:val="16"/>
                <w:szCs w:val="16"/>
                <w:lang w:val="en-US"/>
              </w:rPr>
            </w:pPr>
            <w:r w:rsidRPr="00ED4D49">
              <w:rPr>
                <w:color w:val="000000"/>
                <w:sz w:val="16"/>
                <w:szCs w:val="16"/>
                <w:lang w:val="en-US"/>
              </w:rPr>
              <w:t>12</w:t>
            </w:r>
          </w:p>
        </w:tc>
        <w:tc>
          <w:tcPr>
            <w:tcW w:w="750" w:type="dxa"/>
          </w:tcPr>
          <w:p w14:paraId="47A3E336" w14:textId="77777777" w:rsidR="00012839" w:rsidRPr="00ED4D49" w:rsidRDefault="00012839" w:rsidP="00C27BB5">
            <w:pPr>
              <w:spacing w:before="0" w:after="0"/>
              <w:jc w:val="center"/>
              <w:rPr>
                <w:color w:val="000000"/>
                <w:sz w:val="16"/>
                <w:szCs w:val="16"/>
                <w:lang w:val="en-US"/>
              </w:rPr>
            </w:pPr>
            <w:r w:rsidRPr="00ED4D49">
              <w:rPr>
                <w:color w:val="000000"/>
                <w:sz w:val="16"/>
                <w:szCs w:val="16"/>
                <w:lang w:val="en-US"/>
              </w:rPr>
              <w:t>10</w:t>
            </w:r>
          </w:p>
        </w:tc>
      </w:tr>
      <w:tr w:rsidR="00012839" w:rsidRPr="00ED4D49" w14:paraId="7C010B5C" w14:textId="77777777" w:rsidTr="00E26A7E">
        <w:tc>
          <w:tcPr>
            <w:tcW w:w="1922" w:type="dxa"/>
          </w:tcPr>
          <w:p w14:paraId="26CFF8AE" w14:textId="77777777" w:rsidR="00012839" w:rsidRPr="00ED4D49" w:rsidRDefault="00012839" w:rsidP="00C27BB5">
            <w:pPr>
              <w:spacing w:before="0" w:after="0"/>
              <w:rPr>
                <w:b/>
                <w:color w:val="000000"/>
                <w:sz w:val="16"/>
                <w:szCs w:val="16"/>
                <w:lang w:val="en-US"/>
              </w:rPr>
            </w:pPr>
            <w:r w:rsidRPr="00ED4D49">
              <w:rPr>
                <w:b/>
                <w:color w:val="000000"/>
                <w:sz w:val="16"/>
                <w:szCs w:val="16"/>
                <w:lang w:val="en-US"/>
              </w:rPr>
              <w:t>BA_DR_5</w:t>
            </w:r>
          </w:p>
        </w:tc>
        <w:tc>
          <w:tcPr>
            <w:tcW w:w="3363" w:type="dxa"/>
          </w:tcPr>
          <w:p w14:paraId="1383F8C4" w14:textId="1EA296D0" w:rsidR="00012839" w:rsidRPr="00ED4D49" w:rsidRDefault="00012839" w:rsidP="00C27BB5">
            <w:pPr>
              <w:spacing w:before="0" w:after="0"/>
              <w:rPr>
                <w:color w:val="000000"/>
                <w:sz w:val="16"/>
                <w:szCs w:val="16"/>
                <w:lang w:val="en-US"/>
              </w:rPr>
            </w:pPr>
            <w:r w:rsidRPr="00ED4D49">
              <w:rPr>
                <w:color w:val="000000"/>
                <w:sz w:val="16"/>
                <w:szCs w:val="16"/>
                <w:lang w:val="en-US"/>
              </w:rPr>
              <w:t>Drina/downstream of Gora</w:t>
            </w:r>
            <w:r w:rsidR="00AC0625" w:rsidRPr="00ED4D49">
              <w:rPr>
                <w:color w:val="000000"/>
                <w:sz w:val="16"/>
                <w:szCs w:val="16"/>
                <w:lang w:val="en-US"/>
              </w:rPr>
              <w:t>z</w:t>
            </w:r>
            <w:r w:rsidRPr="00ED4D49">
              <w:rPr>
                <w:color w:val="000000"/>
                <w:sz w:val="16"/>
                <w:szCs w:val="16"/>
                <w:lang w:val="en-US"/>
              </w:rPr>
              <w:t>de/FBiH</w:t>
            </w:r>
          </w:p>
        </w:tc>
        <w:tc>
          <w:tcPr>
            <w:tcW w:w="700" w:type="dxa"/>
          </w:tcPr>
          <w:p w14:paraId="48EB2A9B" w14:textId="77777777" w:rsidR="00012839" w:rsidRPr="00ED4D49" w:rsidRDefault="00012839" w:rsidP="00C27BB5">
            <w:pPr>
              <w:spacing w:before="0" w:after="0"/>
              <w:jc w:val="center"/>
              <w:rPr>
                <w:color w:val="000000"/>
                <w:sz w:val="16"/>
                <w:szCs w:val="16"/>
                <w:lang w:val="en-US"/>
              </w:rPr>
            </w:pPr>
            <w:r w:rsidRPr="00ED4D49">
              <w:rPr>
                <w:color w:val="000000"/>
                <w:sz w:val="16"/>
                <w:szCs w:val="16"/>
                <w:lang w:val="en-US"/>
              </w:rPr>
              <w:t>4</w:t>
            </w:r>
          </w:p>
        </w:tc>
        <w:tc>
          <w:tcPr>
            <w:tcW w:w="869" w:type="dxa"/>
          </w:tcPr>
          <w:p w14:paraId="00CE4704" w14:textId="77777777" w:rsidR="00012839" w:rsidRPr="00ED4D49" w:rsidRDefault="00012839" w:rsidP="00C27BB5">
            <w:pPr>
              <w:spacing w:before="0" w:after="0"/>
              <w:jc w:val="center"/>
              <w:rPr>
                <w:color w:val="000000"/>
                <w:sz w:val="16"/>
                <w:szCs w:val="16"/>
                <w:lang w:val="en-US"/>
              </w:rPr>
            </w:pPr>
            <w:r w:rsidRPr="00ED4D49">
              <w:rPr>
                <w:color w:val="000000"/>
                <w:sz w:val="16"/>
                <w:szCs w:val="16"/>
                <w:lang w:val="en-US"/>
              </w:rPr>
              <w:t>4</w:t>
            </w:r>
          </w:p>
        </w:tc>
        <w:tc>
          <w:tcPr>
            <w:tcW w:w="700" w:type="dxa"/>
          </w:tcPr>
          <w:p w14:paraId="04871B9B" w14:textId="77777777" w:rsidR="00012839" w:rsidRPr="00ED4D49" w:rsidRDefault="00012839" w:rsidP="00C27BB5">
            <w:pPr>
              <w:spacing w:before="0" w:after="0"/>
              <w:jc w:val="center"/>
              <w:rPr>
                <w:color w:val="000000"/>
                <w:sz w:val="16"/>
                <w:szCs w:val="16"/>
                <w:lang w:val="en-US"/>
              </w:rPr>
            </w:pPr>
            <w:r w:rsidRPr="00ED4D49">
              <w:rPr>
                <w:color w:val="000000"/>
                <w:sz w:val="16"/>
                <w:szCs w:val="16"/>
                <w:lang w:val="en-US"/>
              </w:rPr>
              <w:t>-</w:t>
            </w:r>
          </w:p>
        </w:tc>
        <w:tc>
          <w:tcPr>
            <w:tcW w:w="706" w:type="dxa"/>
          </w:tcPr>
          <w:p w14:paraId="4E3AB0CC" w14:textId="77777777" w:rsidR="00012839" w:rsidRPr="00ED4D49" w:rsidRDefault="00012839" w:rsidP="00C27BB5">
            <w:pPr>
              <w:spacing w:before="0" w:after="0"/>
              <w:jc w:val="center"/>
              <w:rPr>
                <w:color w:val="000000"/>
                <w:sz w:val="16"/>
                <w:szCs w:val="16"/>
                <w:lang w:val="en-US"/>
              </w:rPr>
            </w:pPr>
            <w:r w:rsidRPr="00ED4D49">
              <w:rPr>
                <w:color w:val="000000"/>
                <w:sz w:val="16"/>
                <w:szCs w:val="16"/>
                <w:lang w:val="en-US"/>
              </w:rPr>
              <w:t>4</w:t>
            </w:r>
          </w:p>
        </w:tc>
        <w:tc>
          <w:tcPr>
            <w:tcW w:w="750" w:type="dxa"/>
          </w:tcPr>
          <w:p w14:paraId="3C9D5CE1" w14:textId="77777777" w:rsidR="00012839" w:rsidRPr="00ED4D49" w:rsidRDefault="00012839" w:rsidP="00C27BB5">
            <w:pPr>
              <w:spacing w:before="0" w:after="0"/>
              <w:jc w:val="center"/>
              <w:rPr>
                <w:color w:val="000000"/>
                <w:sz w:val="16"/>
                <w:szCs w:val="16"/>
                <w:lang w:val="en-US"/>
              </w:rPr>
            </w:pPr>
            <w:r w:rsidRPr="00ED4D49">
              <w:rPr>
                <w:color w:val="000000"/>
                <w:sz w:val="16"/>
                <w:szCs w:val="16"/>
                <w:lang w:val="en-US"/>
              </w:rPr>
              <w:t>4</w:t>
            </w:r>
          </w:p>
        </w:tc>
      </w:tr>
      <w:tr w:rsidR="00012839" w:rsidRPr="00ED4D49" w14:paraId="4E01C99C" w14:textId="77777777" w:rsidTr="00E26A7E">
        <w:tc>
          <w:tcPr>
            <w:tcW w:w="1922" w:type="dxa"/>
          </w:tcPr>
          <w:p w14:paraId="4F1DD0A4" w14:textId="77777777" w:rsidR="00012839" w:rsidRPr="00ED4D49" w:rsidRDefault="00012839" w:rsidP="00C27BB5">
            <w:pPr>
              <w:spacing w:before="0" w:after="0"/>
              <w:rPr>
                <w:b/>
                <w:color w:val="000000"/>
                <w:sz w:val="16"/>
                <w:szCs w:val="16"/>
                <w:lang w:val="en-US"/>
              </w:rPr>
            </w:pPr>
            <w:r w:rsidRPr="00ED4D49">
              <w:rPr>
                <w:b/>
                <w:color w:val="000000"/>
                <w:sz w:val="16"/>
                <w:szCs w:val="16"/>
                <w:lang w:val="en-US"/>
              </w:rPr>
              <w:t>BA_DR_6</w:t>
            </w:r>
          </w:p>
        </w:tc>
        <w:tc>
          <w:tcPr>
            <w:tcW w:w="3363" w:type="dxa"/>
          </w:tcPr>
          <w:p w14:paraId="45DA061C" w14:textId="03FEE7F7" w:rsidR="00012839" w:rsidRPr="00ED4D49" w:rsidRDefault="00012839" w:rsidP="00C27BB5">
            <w:pPr>
              <w:spacing w:before="0" w:after="0"/>
              <w:rPr>
                <w:color w:val="000000"/>
                <w:sz w:val="16"/>
                <w:szCs w:val="16"/>
                <w:lang w:val="en-US"/>
              </w:rPr>
            </w:pPr>
            <w:r w:rsidRPr="00ED4D49">
              <w:rPr>
                <w:color w:val="000000"/>
                <w:sz w:val="16"/>
                <w:szCs w:val="16"/>
                <w:lang w:val="en-US"/>
              </w:rPr>
              <w:t>Drina/</w:t>
            </w:r>
            <w:proofErr w:type="spellStart"/>
            <w:r w:rsidRPr="00ED4D49">
              <w:rPr>
                <w:color w:val="000000"/>
                <w:sz w:val="16"/>
                <w:szCs w:val="16"/>
                <w:lang w:val="en-US"/>
              </w:rPr>
              <w:t>Vitkovi</w:t>
            </w:r>
            <w:r w:rsidR="00E26A7E" w:rsidRPr="00ED4D49">
              <w:rPr>
                <w:color w:val="000000"/>
                <w:sz w:val="16"/>
                <w:szCs w:val="16"/>
                <w:lang w:val="en-US"/>
              </w:rPr>
              <w:t>c</w:t>
            </w:r>
            <w:r w:rsidRPr="00ED4D49">
              <w:rPr>
                <w:color w:val="000000"/>
                <w:sz w:val="16"/>
                <w:szCs w:val="16"/>
                <w:lang w:val="en-US"/>
              </w:rPr>
              <w:t>i</w:t>
            </w:r>
            <w:proofErr w:type="spellEnd"/>
            <w:r w:rsidRPr="00ED4D49">
              <w:rPr>
                <w:color w:val="000000"/>
                <w:sz w:val="16"/>
                <w:szCs w:val="16"/>
                <w:lang w:val="en-US"/>
              </w:rPr>
              <w:t>/FBiH</w:t>
            </w:r>
          </w:p>
        </w:tc>
        <w:tc>
          <w:tcPr>
            <w:tcW w:w="700" w:type="dxa"/>
          </w:tcPr>
          <w:p w14:paraId="5829348A" w14:textId="77777777" w:rsidR="00012839" w:rsidRPr="00ED4D49" w:rsidRDefault="00012839" w:rsidP="00C27BB5">
            <w:pPr>
              <w:spacing w:before="0" w:after="0"/>
              <w:jc w:val="center"/>
              <w:rPr>
                <w:color w:val="000000"/>
                <w:sz w:val="16"/>
                <w:szCs w:val="16"/>
                <w:lang w:val="en-US"/>
              </w:rPr>
            </w:pPr>
            <w:r w:rsidRPr="00ED4D49">
              <w:rPr>
                <w:color w:val="000000"/>
                <w:sz w:val="16"/>
                <w:szCs w:val="16"/>
                <w:lang w:val="en-US"/>
              </w:rPr>
              <w:t>4</w:t>
            </w:r>
          </w:p>
        </w:tc>
        <w:tc>
          <w:tcPr>
            <w:tcW w:w="869" w:type="dxa"/>
          </w:tcPr>
          <w:p w14:paraId="3FD18034" w14:textId="77777777" w:rsidR="00012839" w:rsidRPr="00ED4D49" w:rsidRDefault="00012839" w:rsidP="00C27BB5">
            <w:pPr>
              <w:spacing w:before="0" w:after="0"/>
              <w:jc w:val="center"/>
              <w:rPr>
                <w:color w:val="000000"/>
                <w:sz w:val="16"/>
                <w:szCs w:val="16"/>
                <w:lang w:val="en-US"/>
              </w:rPr>
            </w:pPr>
            <w:r w:rsidRPr="00ED4D49">
              <w:rPr>
                <w:color w:val="000000"/>
                <w:sz w:val="16"/>
                <w:szCs w:val="16"/>
                <w:lang w:val="en-US"/>
              </w:rPr>
              <w:t>4</w:t>
            </w:r>
          </w:p>
        </w:tc>
        <w:tc>
          <w:tcPr>
            <w:tcW w:w="700" w:type="dxa"/>
          </w:tcPr>
          <w:p w14:paraId="63301E36" w14:textId="77777777" w:rsidR="00012839" w:rsidRPr="00ED4D49" w:rsidRDefault="00012839" w:rsidP="00C27BB5">
            <w:pPr>
              <w:spacing w:before="0" w:after="0"/>
              <w:jc w:val="center"/>
              <w:rPr>
                <w:color w:val="000000"/>
                <w:sz w:val="16"/>
                <w:szCs w:val="16"/>
                <w:lang w:val="en-US"/>
              </w:rPr>
            </w:pPr>
            <w:r w:rsidRPr="00ED4D49">
              <w:rPr>
                <w:color w:val="000000"/>
                <w:sz w:val="16"/>
                <w:szCs w:val="16"/>
                <w:lang w:val="en-US"/>
              </w:rPr>
              <w:t>-</w:t>
            </w:r>
          </w:p>
        </w:tc>
        <w:tc>
          <w:tcPr>
            <w:tcW w:w="706" w:type="dxa"/>
          </w:tcPr>
          <w:p w14:paraId="4803D6DB" w14:textId="77777777" w:rsidR="00012839" w:rsidRPr="00ED4D49" w:rsidRDefault="00012839" w:rsidP="00C27BB5">
            <w:pPr>
              <w:spacing w:before="0" w:after="0"/>
              <w:jc w:val="center"/>
              <w:rPr>
                <w:color w:val="000000"/>
                <w:sz w:val="16"/>
                <w:szCs w:val="16"/>
                <w:lang w:val="en-US"/>
              </w:rPr>
            </w:pPr>
            <w:r w:rsidRPr="00ED4D49">
              <w:rPr>
                <w:color w:val="000000"/>
                <w:sz w:val="16"/>
                <w:szCs w:val="16"/>
                <w:lang w:val="en-US"/>
              </w:rPr>
              <w:t>4</w:t>
            </w:r>
          </w:p>
        </w:tc>
        <w:tc>
          <w:tcPr>
            <w:tcW w:w="750" w:type="dxa"/>
          </w:tcPr>
          <w:p w14:paraId="56567636" w14:textId="77777777" w:rsidR="00012839" w:rsidRPr="00ED4D49" w:rsidRDefault="00012839" w:rsidP="00C27BB5">
            <w:pPr>
              <w:spacing w:before="0" w:after="0"/>
              <w:jc w:val="center"/>
              <w:rPr>
                <w:color w:val="000000"/>
                <w:sz w:val="16"/>
                <w:szCs w:val="16"/>
                <w:lang w:val="en-US"/>
              </w:rPr>
            </w:pPr>
            <w:r w:rsidRPr="00ED4D49">
              <w:rPr>
                <w:color w:val="000000"/>
                <w:sz w:val="16"/>
                <w:szCs w:val="16"/>
                <w:lang w:val="en-US"/>
              </w:rPr>
              <w:t>4</w:t>
            </w:r>
          </w:p>
        </w:tc>
      </w:tr>
      <w:tr w:rsidR="00012839" w:rsidRPr="00ED4D49" w14:paraId="6297F0C6" w14:textId="77777777" w:rsidTr="00E26A7E">
        <w:tc>
          <w:tcPr>
            <w:tcW w:w="1922" w:type="dxa"/>
          </w:tcPr>
          <w:p w14:paraId="35A05744" w14:textId="77777777" w:rsidR="00012839" w:rsidRPr="00ED4D49" w:rsidRDefault="00012839" w:rsidP="00C27BB5">
            <w:pPr>
              <w:spacing w:before="0" w:after="0"/>
              <w:rPr>
                <w:b/>
                <w:color w:val="000000"/>
                <w:sz w:val="16"/>
                <w:szCs w:val="16"/>
                <w:lang w:val="en-US"/>
              </w:rPr>
            </w:pPr>
            <w:r w:rsidRPr="00ED4D49">
              <w:rPr>
                <w:b/>
                <w:color w:val="000000"/>
                <w:sz w:val="16"/>
                <w:szCs w:val="16"/>
                <w:lang w:val="en-US"/>
              </w:rPr>
              <w:t>RS_DR_7/BA9</w:t>
            </w:r>
          </w:p>
        </w:tc>
        <w:tc>
          <w:tcPr>
            <w:tcW w:w="3363" w:type="dxa"/>
          </w:tcPr>
          <w:p w14:paraId="63408D43" w14:textId="08C90AC4" w:rsidR="00012839" w:rsidRPr="00ED4D49" w:rsidRDefault="00012839" w:rsidP="00C27BB5">
            <w:pPr>
              <w:spacing w:before="0" w:after="0"/>
              <w:rPr>
                <w:color w:val="000000"/>
                <w:sz w:val="16"/>
                <w:szCs w:val="16"/>
                <w:lang w:val="en-US"/>
              </w:rPr>
            </w:pPr>
            <w:r w:rsidRPr="00ED4D49">
              <w:rPr>
                <w:color w:val="000000"/>
                <w:sz w:val="16"/>
                <w:szCs w:val="16"/>
                <w:lang w:val="en-US"/>
              </w:rPr>
              <w:t>Drina/Fo</w:t>
            </w:r>
            <w:r w:rsidR="00E26A7E" w:rsidRPr="00ED4D49">
              <w:rPr>
                <w:color w:val="000000"/>
                <w:sz w:val="16"/>
                <w:szCs w:val="16"/>
                <w:lang w:val="en-US"/>
              </w:rPr>
              <w:t>c</w:t>
            </w:r>
            <w:r w:rsidRPr="00ED4D49">
              <w:rPr>
                <w:color w:val="000000"/>
                <w:sz w:val="16"/>
                <w:szCs w:val="16"/>
                <w:lang w:val="en-US"/>
              </w:rPr>
              <w:t>a/RS</w:t>
            </w:r>
          </w:p>
        </w:tc>
        <w:tc>
          <w:tcPr>
            <w:tcW w:w="700" w:type="dxa"/>
          </w:tcPr>
          <w:p w14:paraId="3E784112" w14:textId="77777777" w:rsidR="00012839" w:rsidRPr="00ED4D49" w:rsidRDefault="00012839" w:rsidP="00C27BB5">
            <w:pPr>
              <w:spacing w:before="0" w:after="0"/>
              <w:jc w:val="center"/>
              <w:rPr>
                <w:color w:val="000000"/>
                <w:sz w:val="16"/>
                <w:szCs w:val="16"/>
                <w:lang w:val="en-US"/>
              </w:rPr>
            </w:pPr>
            <w:r w:rsidRPr="00ED4D49">
              <w:rPr>
                <w:color w:val="000000"/>
                <w:sz w:val="16"/>
                <w:szCs w:val="16"/>
                <w:lang w:val="en-US"/>
              </w:rPr>
              <w:t>4</w:t>
            </w:r>
          </w:p>
        </w:tc>
        <w:tc>
          <w:tcPr>
            <w:tcW w:w="869" w:type="dxa"/>
          </w:tcPr>
          <w:p w14:paraId="26652170" w14:textId="77777777" w:rsidR="00012839" w:rsidRPr="00ED4D49" w:rsidRDefault="00012839" w:rsidP="00C27BB5">
            <w:pPr>
              <w:spacing w:before="0" w:after="0"/>
              <w:jc w:val="center"/>
              <w:rPr>
                <w:color w:val="000000"/>
                <w:sz w:val="16"/>
                <w:szCs w:val="16"/>
                <w:lang w:val="en-US"/>
              </w:rPr>
            </w:pPr>
            <w:r w:rsidRPr="00ED4D49">
              <w:rPr>
                <w:color w:val="000000"/>
                <w:sz w:val="16"/>
                <w:szCs w:val="16"/>
                <w:lang w:val="en-US"/>
              </w:rPr>
              <w:t>12</w:t>
            </w:r>
          </w:p>
        </w:tc>
        <w:tc>
          <w:tcPr>
            <w:tcW w:w="700" w:type="dxa"/>
          </w:tcPr>
          <w:p w14:paraId="10C08D9F" w14:textId="77777777" w:rsidR="00012839" w:rsidRPr="00ED4D49" w:rsidRDefault="00012839" w:rsidP="00C27BB5">
            <w:pPr>
              <w:spacing w:before="0" w:after="0"/>
              <w:jc w:val="center"/>
              <w:rPr>
                <w:color w:val="000000"/>
                <w:sz w:val="16"/>
                <w:szCs w:val="16"/>
                <w:lang w:val="en-US"/>
              </w:rPr>
            </w:pPr>
            <w:r w:rsidRPr="00ED4D49">
              <w:rPr>
                <w:color w:val="000000"/>
                <w:sz w:val="16"/>
                <w:szCs w:val="16"/>
                <w:lang w:val="en-US"/>
              </w:rPr>
              <w:t>12</w:t>
            </w:r>
          </w:p>
        </w:tc>
        <w:tc>
          <w:tcPr>
            <w:tcW w:w="706" w:type="dxa"/>
          </w:tcPr>
          <w:p w14:paraId="4605CEA0" w14:textId="77777777" w:rsidR="00012839" w:rsidRPr="00ED4D49" w:rsidRDefault="00012839" w:rsidP="00C27BB5">
            <w:pPr>
              <w:spacing w:before="0" w:after="0"/>
              <w:jc w:val="center"/>
              <w:rPr>
                <w:color w:val="000000"/>
                <w:sz w:val="16"/>
                <w:szCs w:val="16"/>
                <w:lang w:val="en-US"/>
              </w:rPr>
            </w:pPr>
            <w:r w:rsidRPr="00ED4D49">
              <w:rPr>
                <w:color w:val="000000"/>
                <w:sz w:val="16"/>
                <w:szCs w:val="16"/>
                <w:lang w:val="en-US"/>
              </w:rPr>
              <w:t>12</w:t>
            </w:r>
          </w:p>
        </w:tc>
        <w:tc>
          <w:tcPr>
            <w:tcW w:w="750" w:type="dxa"/>
          </w:tcPr>
          <w:p w14:paraId="67D49D00" w14:textId="77777777" w:rsidR="00012839" w:rsidRPr="00ED4D49" w:rsidRDefault="00012839" w:rsidP="00C27BB5">
            <w:pPr>
              <w:spacing w:before="0" w:after="0"/>
              <w:jc w:val="center"/>
              <w:rPr>
                <w:color w:val="000000"/>
                <w:sz w:val="16"/>
                <w:szCs w:val="16"/>
                <w:lang w:val="en-US"/>
              </w:rPr>
            </w:pPr>
            <w:r w:rsidRPr="00ED4D49">
              <w:rPr>
                <w:color w:val="000000"/>
                <w:sz w:val="16"/>
                <w:szCs w:val="16"/>
                <w:lang w:val="en-US"/>
              </w:rPr>
              <w:t>10</w:t>
            </w:r>
          </w:p>
        </w:tc>
      </w:tr>
      <w:tr w:rsidR="00012839" w:rsidRPr="00ED4D49" w14:paraId="3D3CAD21" w14:textId="77777777" w:rsidTr="00E26A7E">
        <w:tc>
          <w:tcPr>
            <w:tcW w:w="5285" w:type="dxa"/>
            <w:gridSpan w:val="2"/>
          </w:tcPr>
          <w:p w14:paraId="79FCCBB8" w14:textId="77777777" w:rsidR="00012839" w:rsidRPr="00ED4D49" w:rsidRDefault="00012839" w:rsidP="00C27BB5">
            <w:pPr>
              <w:spacing w:before="0" w:after="0"/>
              <w:rPr>
                <w:color w:val="000000"/>
                <w:sz w:val="16"/>
                <w:szCs w:val="16"/>
                <w:lang w:val="en-US"/>
              </w:rPr>
            </w:pPr>
            <w:r w:rsidRPr="00ED4D49">
              <w:rPr>
                <w:color w:val="000000"/>
                <w:sz w:val="16"/>
                <w:szCs w:val="16"/>
                <w:lang w:val="en-US"/>
              </w:rPr>
              <w:t>Total</w:t>
            </w:r>
          </w:p>
        </w:tc>
        <w:tc>
          <w:tcPr>
            <w:tcW w:w="700" w:type="dxa"/>
          </w:tcPr>
          <w:p w14:paraId="72205258" w14:textId="77777777" w:rsidR="00012839" w:rsidRPr="00ED4D49" w:rsidRDefault="00012839" w:rsidP="00C27BB5">
            <w:pPr>
              <w:spacing w:before="0" w:after="0"/>
              <w:jc w:val="center"/>
              <w:rPr>
                <w:rFonts w:cs="Calibri"/>
                <w:color w:val="000000"/>
                <w:sz w:val="16"/>
                <w:szCs w:val="16"/>
                <w:lang w:val="en-US"/>
              </w:rPr>
            </w:pPr>
            <w:r w:rsidRPr="00ED4D49">
              <w:rPr>
                <w:color w:val="000000"/>
                <w:sz w:val="16"/>
                <w:szCs w:val="16"/>
                <w:lang w:val="en-US"/>
              </w:rPr>
              <w:t>24</w:t>
            </w:r>
          </w:p>
        </w:tc>
        <w:tc>
          <w:tcPr>
            <w:tcW w:w="869" w:type="dxa"/>
          </w:tcPr>
          <w:p w14:paraId="5D03E796" w14:textId="77777777" w:rsidR="00012839" w:rsidRPr="00ED4D49" w:rsidRDefault="00012839" w:rsidP="00C27BB5">
            <w:pPr>
              <w:spacing w:before="0" w:after="0"/>
              <w:jc w:val="center"/>
              <w:rPr>
                <w:rFonts w:cs="Calibri"/>
                <w:color w:val="000000"/>
                <w:sz w:val="16"/>
                <w:szCs w:val="16"/>
                <w:lang w:val="en-US"/>
              </w:rPr>
            </w:pPr>
            <w:r w:rsidRPr="00ED4D49">
              <w:rPr>
                <w:color w:val="000000"/>
                <w:sz w:val="16"/>
                <w:szCs w:val="16"/>
                <w:lang w:val="en-US"/>
              </w:rPr>
              <w:t>32</w:t>
            </w:r>
          </w:p>
        </w:tc>
        <w:tc>
          <w:tcPr>
            <w:tcW w:w="700" w:type="dxa"/>
          </w:tcPr>
          <w:p w14:paraId="79D85BCD" w14:textId="77777777" w:rsidR="00012839" w:rsidRPr="00ED4D49" w:rsidRDefault="00012839" w:rsidP="00C27BB5">
            <w:pPr>
              <w:spacing w:before="0" w:after="0"/>
              <w:jc w:val="center"/>
              <w:rPr>
                <w:rFonts w:cs="Calibri"/>
                <w:color w:val="000000"/>
                <w:sz w:val="16"/>
                <w:szCs w:val="16"/>
                <w:lang w:val="en-US"/>
              </w:rPr>
            </w:pPr>
            <w:r w:rsidRPr="00ED4D49">
              <w:rPr>
                <w:color w:val="000000"/>
                <w:sz w:val="16"/>
                <w:szCs w:val="16"/>
                <w:lang w:val="en-US"/>
              </w:rPr>
              <w:t>24</w:t>
            </w:r>
          </w:p>
        </w:tc>
        <w:tc>
          <w:tcPr>
            <w:tcW w:w="706" w:type="dxa"/>
          </w:tcPr>
          <w:p w14:paraId="7C46C067" w14:textId="77777777" w:rsidR="00012839" w:rsidRPr="00ED4D49" w:rsidRDefault="00012839" w:rsidP="00C27BB5">
            <w:pPr>
              <w:spacing w:before="0" w:after="0"/>
              <w:jc w:val="center"/>
              <w:rPr>
                <w:rFonts w:cs="Calibri"/>
                <w:color w:val="000000"/>
                <w:sz w:val="16"/>
                <w:szCs w:val="16"/>
                <w:lang w:val="en-US"/>
              </w:rPr>
            </w:pPr>
            <w:r w:rsidRPr="00ED4D49">
              <w:rPr>
                <w:color w:val="000000"/>
                <w:sz w:val="16"/>
                <w:szCs w:val="16"/>
                <w:lang w:val="en-US"/>
              </w:rPr>
              <w:t>32</w:t>
            </w:r>
          </w:p>
        </w:tc>
        <w:tc>
          <w:tcPr>
            <w:tcW w:w="750" w:type="dxa"/>
          </w:tcPr>
          <w:p w14:paraId="41503637" w14:textId="77777777" w:rsidR="00012839" w:rsidRPr="00ED4D49" w:rsidRDefault="00012839" w:rsidP="00C27BB5">
            <w:pPr>
              <w:spacing w:before="0" w:after="0"/>
              <w:jc w:val="center"/>
              <w:rPr>
                <w:rFonts w:cs="Calibri"/>
                <w:color w:val="000000"/>
                <w:sz w:val="16"/>
                <w:szCs w:val="16"/>
                <w:lang w:val="en-US"/>
              </w:rPr>
            </w:pPr>
            <w:r w:rsidRPr="00ED4D49">
              <w:rPr>
                <w:color w:val="000000"/>
                <w:sz w:val="16"/>
                <w:szCs w:val="16"/>
                <w:lang w:val="en-US"/>
              </w:rPr>
              <w:t>28</w:t>
            </w:r>
          </w:p>
        </w:tc>
      </w:tr>
    </w:tbl>
    <w:p w14:paraId="5BCA99F6" w14:textId="7E167277" w:rsidR="00012839" w:rsidRPr="00ED4D49" w:rsidRDefault="00E26A7E" w:rsidP="00012839">
      <w:pPr>
        <w:rPr>
          <w:lang w:val="en-US"/>
        </w:rPr>
      </w:pPr>
      <w:r w:rsidRPr="00ED4D49">
        <w:rPr>
          <w:i/>
          <w:sz w:val="16"/>
          <w:szCs w:val="16"/>
          <w:lang w:val="en-US"/>
        </w:rPr>
        <w:t xml:space="preserve">(Source: Sava River Basin District Agency, Adriatic Sea River Basin District Agency, Public </w:t>
      </w:r>
      <w:r w:rsidR="009E6567" w:rsidRPr="00ED4D49">
        <w:rPr>
          <w:i/>
          <w:sz w:val="16"/>
          <w:szCs w:val="16"/>
          <w:lang w:val="en-US"/>
        </w:rPr>
        <w:t>Enterprise” Vode</w:t>
      </w:r>
      <w:r w:rsidRPr="00ED4D49">
        <w:rPr>
          <w:i/>
          <w:sz w:val="16"/>
          <w:szCs w:val="16"/>
          <w:lang w:val="en-US"/>
        </w:rPr>
        <w:t xml:space="preserve"> Srpske”)</w:t>
      </w:r>
    </w:p>
    <w:p w14:paraId="66D8A672" w14:textId="77777777" w:rsidR="00E26A7E" w:rsidRPr="00ED4D49" w:rsidRDefault="00E26A7E" w:rsidP="00AC0625">
      <w:pPr>
        <w:jc w:val="both"/>
        <w:rPr>
          <w:lang w:val="en-US"/>
        </w:rPr>
      </w:pPr>
    </w:p>
    <w:p w14:paraId="06815D72" w14:textId="08A96D74" w:rsidR="00012839" w:rsidRPr="00ED4D49" w:rsidRDefault="00012839" w:rsidP="00AC0625">
      <w:pPr>
        <w:jc w:val="both"/>
        <w:rPr>
          <w:lang w:val="en-US"/>
        </w:rPr>
      </w:pPr>
      <w:r w:rsidRPr="00ED4D49">
        <w:rPr>
          <w:lang w:val="en-US"/>
        </w:rPr>
        <w:lastRenderedPageBreak/>
        <w:t>Based on the data collected by the institutions responsible for monitoring</w:t>
      </w:r>
      <w:r w:rsidR="00AC0625" w:rsidRPr="00ED4D49">
        <w:rPr>
          <w:lang w:val="en-US"/>
        </w:rPr>
        <w:t xml:space="preserve"> of</w:t>
      </w:r>
      <w:r w:rsidRPr="00ED4D49">
        <w:rPr>
          <w:lang w:val="en-US"/>
        </w:rPr>
        <w:t xml:space="preserve"> surface water in BiH, the average values of B</w:t>
      </w:r>
      <w:r w:rsidR="00AC0625" w:rsidRPr="00ED4D49">
        <w:rPr>
          <w:lang w:val="en-US"/>
        </w:rPr>
        <w:t>iological Oxygen Demand (BOD</w:t>
      </w:r>
      <w:r w:rsidR="00AC0625" w:rsidRPr="00ED4D49">
        <w:rPr>
          <w:vertAlign w:val="subscript"/>
          <w:lang w:val="en-US"/>
        </w:rPr>
        <w:t>5</w:t>
      </w:r>
      <w:r w:rsidR="00AC0625" w:rsidRPr="00ED4D49">
        <w:rPr>
          <w:lang w:val="en-US"/>
        </w:rPr>
        <w:t>)</w:t>
      </w:r>
      <w:r w:rsidRPr="00ED4D49">
        <w:rPr>
          <w:lang w:val="en-US"/>
        </w:rPr>
        <w:t xml:space="preserve">, ammonium, nitrate and total phosphors for </w:t>
      </w:r>
      <w:r w:rsidR="00E26A7E" w:rsidRPr="00ED4D49">
        <w:rPr>
          <w:lang w:val="en-US"/>
        </w:rPr>
        <w:t xml:space="preserve">the </w:t>
      </w:r>
      <w:r w:rsidR="00AC0625" w:rsidRPr="00ED4D49">
        <w:rPr>
          <w:lang w:val="en-US"/>
        </w:rPr>
        <w:t>Drina River</w:t>
      </w:r>
      <w:r w:rsidRPr="00ED4D49">
        <w:rPr>
          <w:lang w:val="en-US"/>
        </w:rPr>
        <w:t xml:space="preserve"> </w:t>
      </w:r>
      <w:r w:rsidR="00E26A7E" w:rsidRPr="00ED4D49">
        <w:rPr>
          <w:lang w:val="en-US"/>
        </w:rPr>
        <w:t>were</w:t>
      </w:r>
      <w:r w:rsidRPr="00ED4D49">
        <w:rPr>
          <w:lang w:val="en-US"/>
        </w:rPr>
        <w:t xml:space="preserve"> calculated and presented </w:t>
      </w:r>
      <w:r w:rsidR="00E26A7E" w:rsidRPr="00ED4D49">
        <w:rPr>
          <w:lang w:val="en-US"/>
        </w:rPr>
        <w:t>in</w:t>
      </w:r>
      <w:r w:rsidRPr="00ED4D49">
        <w:rPr>
          <w:lang w:val="en-US"/>
        </w:rPr>
        <w:t xml:space="preserve"> the figure</w:t>
      </w:r>
      <w:r w:rsidR="00AC0625" w:rsidRPr="00ED4D49">
        <w:rPr>
          <w:lang w:val="en-US"/>
        </w:rPr>
        <w:t>s</w:t>
      </w:r>
      <w:r w:rsidRPr="00ED4D49">
        <w:rPr>
          <w:lang w:val="en-US"/>
        </w:rPr>
        <w:t xml:space="preserve"> below</w:t>
      </w:r>
      <w:r w:rsidR="00AC0625" w:rsidRPr="00ED4D49">
        <w:rPr>
          <w:lang w:val="en-US"/>
        </w:rPr>
        <w:t>.</w:t>
      </w:r>
    </w:p>
    <w:p w14:paraId="2BEA812F" w14:textId="77777777" w:rsidR="00012839" w:rsidRPr="00ED4D49" w:rsidRDefault="00012839" w:rsidP="00012839">
      <w:pPr>
        <w:rPr>
          <w:lang w:val="en-US"/>
        </w:rPr>
      </w:pPr>
      <w:r w:rsidRPr="00ED4D49">
        <w:rPr>
          <w:lang w:val="en-US"/>
        </w:rPr>
        <w:t xml:space="preserve"> </w:t>
      </w:r>
      <w:r w:rsidRPr="00ED4D49">
        <w:rPr>
          <w:noProof/>
          <w:lang w:val="bs-Latn-BA" w:eastAsia="bs-Latn-BA"/>
        </w:rPr>
        <w:drawing>
          <wp:inline distT="0" distB="0" distL="0" distR="0" wp14:anchorId="6DFE578D" wp14:editId="5171B455">
            <wp:extent cx="5882537" cy="3438773"/>
            <wp:effectExtent l="19050" t="0" r="3913"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srcRect/>
                    <a:stretch>
                      <a:fillRect/>
                    </a:stretch>
                  </pic:blipFill>
                  <pic:spPr bwMode="auto">
                    <a:xfrm>
                      <a:off x="0" y="0"/>
                      <a:ext cx="5882222" cy="3438589"/>
                    </a:xfrm>
                    <a:prstGeom prst="rect">
                      <a:avLst/>
                    </a:prstGeom>
                    <a:noFill/>
                    <a:ln w="9525">
                      <a:noFill/>
                      <a:miter lim="800000"/>
                      <a:headEnd/>
                      <a:tailEnd/>
                    </a:ln>
                  </pic:spPr>
                </pic:pic>
              </a:graphicData>
            </a:graphic>
          </wp:inline>
        </w:drawing>
      </w:r>
    </w:p>
    <w:p w14:paraId="3E7B89C8" w14:textId="5D1F0F06" w:rsidR="00AC0625" w:rsidRPr="00ED4D49" w:rsidRDefault="00AC0625" w:rsidP="00AC0625">
      <w:pPr>
        <w:pStyle w:val="Caption"/>
        <w:rPr>
          <w:b w:val="0"/>
          <w:i/>
          <w:color w:val="auto"/>
          <w:sz w:val="16"/>
          <w:szCs w:val="16"/>
        </w:rPr>
      </w:pPr>
      <w:bookmarkStart w:id="48" w:name="_Toc25582650"/>
      <w:r w:rsidRPr="00ED4D49">
        <w:rPr>
          <w:b w:val="0"/>
          <w:i/>
          <w:color w:val="2F5496"/>
          <w:sz w:val="16"/>
          <w:szCs w:val="16"/>
        </w:rPr>
        <w:t xml:space="preserve">Figure </w:t>
      </w:r>
      <w:r w:rsidRPr="00ED4D49">
        <w:rPr>
          <w:b w:val="0"/>
          <w:i/>
          <w:color w:val="2F5496"/>
          <w:sz w:val="16"/>
          <w:szCs w:val="16"/>
        </w:rPr>
        <w:fldChar w:fldCharType="begin"/>
      </w:r>
      <w:r w:rsidRPr="00ED4D49">
        <w:rPr>
          <w:b w:val="0"/>
          <w:i/>
          <w:color w:val="2F5496"/>
          <w:sz w:val="16"/>
          <w:szCs w:val="16"/>
        </w:rPr>
        <w:instrText xml:space="preserve"> SEQ Figure \* ARABIC </w:instrText>
      </w:r>
      <w:r w:rsidRPr="00ED4D49">
        <w:rPr>
          <w:b w:val="0"/>
          <w:i/>
          <w:color w:val="2F5496"/>
          <w:sz w:val="16"/>
          <w:szCs w:val="16"/>
        </w:rPr>
        <w:fldChar w:fldCharType="separate"/>
      </w:r>
      <w:r w:rsidR="00F60130" w:rsidRPr="00ED4D49">
        <w:rPr>
          <w:b w:val="0"/>
          <w:i/>
          <w:noProof/>
          <w:color w:val="2F5496"/>
          <w:sz w:val="16"/>
          <w:szCs w:val="16"/>
        </w:rPr>
        <w:t>4</w:t>
      </w:r>
      <w:r w:rsidRPr="00ED4D49">
        <w:rPr>
          <w:b w:val="0"/>
          <w:i/>
          <w:color w:val="2F5496"/>
          <w:sz w:val="16"/>
          <w:szCs w:val="16"/>
        </w:rPr>
        <w:fldChar w:fldCharType="end"/>
      </w:r>
      <w:r w:rsidRPr="00ED4D49">
        <w:rPr>
          <w:b w:val="0"/>
          <w:i/>
          <w:color w:val="2F5496"/>
          <w:sz w:val="16"/>
          <w:szCs w:val="16"/>
        </w:rPr>
        <w:t>:</w:t>
      </w:r>
      <w:r w:rsidRPr="00ED4D49">
        <w:t xml:space="preserve"> </w:t>
      </w:r>
      <w:r w:rsidR="00012839" w:rsidRPr="00ED4D49">
        <w:rPr>
          <w:b w:val="0"/>
          <w:i/>
          <w:color w:val="auto"/>
          <w:sz w:val="16"/>
          <w:szCs w:val="16"/>
        </w:rPr>
        <w:t>Average concentrations of BOD5, ammonia, phosphate and nitrate in Drina River</w:t>
      </w:r>
      <w:bookmarkEnd w:id="48"/>
      <w:r w:rsidR="00012839" w:rsidRPr="00ED4D49">
        <w:rPr>
          <w:b w:val="0"/>
          <w:i/>
          <w:color w:val="auto"/>
          <w:sz w:val="16"/>
          <w:szCs w:val="16"/>
        </w:rPr>
        <w:t xml:space="preserve"> </w:t>
      </w:r>
    </w:p>
    <w:p w14:paraId="3C7C2F46" w14:textId="3260D53C" w:rsidR="00012839" w:rsidRPr="00ED4D49" w:rsidRDefault="00012839" w:rsidP="00AC0625">
      <w:pPr>
        <w:pStyle w:val="Caption"/>
        <w:rPr>
          <w:bCs w:val="0"/>
          <w:i/>
        </w:rPr>
      </w:pPr>
      <w:r w:rsidRPr="00ED4D49">
        <w:rPr>
          <w:b w:val="0"/>
          <w:i/>
          <w:color w:val="auto"/>
          <w:sz w:val="16"/>
          <w:szCs w:val="16"/>
        </w:rPr>
        <w:t xml:space="preserve">(Source: </w:t>
      </w:r>
      <w:r w:rsidR="00BE0F20" w:rsidRPr="00ED4D49">
        <w:rPr>
          <w:b w:val="0"/>
          <w:i/>
          <w:color w:val="auto"/>
          <w:sz w:val="16"/>
          <w:szCs w:val="16"/>
        </w:rPr>
        <w:t>C</w:t>
      </w:r>
      <w:r w:rsidRPr="00ED4D49">
        <w:rPr>
          <w:b w:val="0"/>
          <w:i/>
          <w:color w:val="auto"/>
          <w:sz w:val="16"/>
          <w:szCs w:val="16"/>
        </w:rPr>
        <w:t xml:space="preserve">alculation of the above average values was made using the water analysis results submitted by </w:t>
      </w:r>
      <w:r w:rsidR="00BE0F20" w:rsidRPr="00ED4D49">
        <w:rPr>
          <w:b w:val="0"/>
          <w:i/>
          <w:color w:val="auto"/>
          <w:sz w:val="16"/>
          <w:szCs w:val="16"/>
        </w:rPr>
        <w:t xml:space="preserve">the </w:t>
      </w:r>
      <w:r w:rsidRPr="00ED4D49">
        <w:rPr>
          <w:b w:val="0"/>
          <w:i/>
          <w:color w:val="auto"/>
          <w:sz w:val="16"/>
          <w:szCs w:val="16"/>
        </w:rPr>
        <w:t xml:space="preserve">Sava River Basin District Agency and </w:t>
      </w:r>
      <w:r w:rsidR="00AC0625" w:rsidRPr="00ED4D49">
        <w:rPr>
          <w:b w:val="0"/>
          <w:i/>
          <w:color w:val="auto"/>
          <w:sz w:val="16"/>
          <w:szCs w:val="16"/>
        </w:rPr>
        <w:t>Public Enterprise</w:t>
      </w:r>
      <w:r w:rsidRPr="00ED4D49">
        <w:rPr>
          <w:b w:val="0"/>
          <w:i/>
          <w:color w:val="auto"/>
          <w:sz w:val="16"/>
          <w:szCs w:val="16"/>
        </w:rPr>
        <w:t xml:space="preserve"> "Vode Srpske")</w:t>
      </w:r>
    </w:p>
    <w:p w14:paraId="24976A4A" w14:textId="77777777" w:rsidR="00BE0F20" w:rsidRPr="00ED4D49" w:rsidRDefault="00BE0F20" w:rsidP="00423413">
      <w:pPr>
        <w:jc w:val="both"/>
        <w:rPr>
          <w:lang w:val="en-US"/>
        </w:rPr>
      </w:pPr>
    </w:p>
    <w:p w14:paraId="448C2CF3" w14:textId="47E12D66" w:rsidR="00012839" w:rsidRPr="00ED4D49" w:rsidRDefault="00012839" w:rsidP="00423413">
      <w:pPr>
        <w:jc w:val="both"/>
        <w:rPr>
          <w:lang w:val="en-US"/>
        </w:rPr>
      </w:pPr>
      <w:r w:rsidRPr="00ED4D49">
        <w:rPr>
          <w:lang w:val="en-US"/>
        </w:rPr>
        <w:t>The European Environmental Agency database</w:t>
      </w:r>
      <w:r w:rsidRPr="00ED4D49">
        <w:rPr>
          <w:rStyle w:val="FootnoteReference"/>
          <w:lang w:val="en-US"/>
        </w:rPr>
        <w:footnoteReference w:id="3"/>
      </w:r>
      <w:r w:rsidRPr="00ED4D49">
        <w:rPr>
          <w:lang w:val="en-US"/>
        </w:rPr>
        <w:t xml:space="preserve"> contains the average values of "oxygen-consuming substances in rivers" (BOD</w:t>
      </w:r>
      <w:r w:rsidR="008C16E9" w:rsidRPr="00ED4D49">
        <w:rPr>
          <w:lang w:val="en-US"/>
        </w:rPr>
        <w:t xml:space="preserve"> and</w:t>
      </w:r>
      <w:r w:rsidRPr="00ED4D49">
        <w:rPr>
          <w:lang w:val="en-US"/>
        </w:rPr>
        <w:t xml:space="preserve"> ammonia) and “nutrients in fresh water” (nitrate and phosphate) calculated for the </w:t>
      </w:r>
      <w:r w:rsidR="00E26A7E" w:rsidRPr="00ED4D49">
        <w:rPr>
          <w:lang w:val="en-US"/>
        </w:rPr>
        <w:t>entire</w:t>
      </w:r>
      <w:r w:rsidRPr="00ED4D49">
        <w:rPr>
          <w:lang w:val="en-US"/>
        </w:rPr>
        <w:t xml:space="preserve"> BiH and Europe for the period 2000-2012. To better understand the calculated average values of BOD</w:t>
      </w:r>
      <w:r w:rsidRPr="00ED4D49">
        <w:rPr>
          <w:vertAlign w:val="subscript"/>
          <w:lang w:val="en-US"/>
        </w:rPr>
        <w:t xml:space="preserve">5 </w:t>
      </w:r>
      <w:r w:rsidRPr="00ED4D49">
        <w:rPr>
          <w:lang w:val="en-US"/>
        </w:rPr>
        <w:t>and ammonium, apart from the value trend for 2013-2017, a comparison was made with the values from the EEA database. According to the available EEA database, for the indicator "oxygen-consuming substances in rivers", the value of BOD</w:t>
      </w:r>
      <w:r w:rsidRPr="00ED4D49">
        <w:rPr>
          <w:vertAlign w:val="subscript"/>
          <w:lang w:val="en-US"/>
        </w:rPr>
        <w:t>5</w:t>
      </w:r>
      <w:r w:rsidRPr="00ED4D49">
        <w:rPr>
          <w:lang w:val="en-US"/>
        </w:rPr>
        <w:t xml:space="preserve"> in 2012 for the whole of Europe was 2.19 mgO</w:t>
      </w:r>
      <w:r w:rsidRPr="00ED4D49">
        <w:rPr>
          <w:vertAlign w:val="subscript"/>
          <w:lang w:val="en-US"/>
        </w:rPr>
        <w:t>2</w:t>
      </w:r>
      <w:r w:rsidRPr="00ED4D49">
        <w:rPr>
          <w:lang w:val="en-US"/>
        </w:rPr>
        <w:t>/l, and ammonium was 158 mg/m</w:t>
      </w:r>
      <w:r w:rsidRPr="00ED4D49">
        <w:rPr>
          <w:vertAlign w:val="superscript"/>
          <w:lang w:val="en-US"/>
        </w:rPr>
        <w:t>3</w:t>
      </w:r>
      <w:r w:rsidRPr="00ED4D49">
        <w:rPr>
          <w:lang w:val="en-US"/>
        </w:rPr>
        <w:t>. Concentration</w:t>
      </w:r>
      <w:r w:rsidR="00E26A7E" w:rsidRPr="00ED4D49">
        <w:rPr>
          <w:lang w:val="en-US"/>
        </w:rPr>
        <w:t>s</w:t>
      </w:r>
      <w:r w:rsidRPr="00ED4D49">
        <w:rPr>
          <w:lang w:val="en-US"/>
        </w:rPr>
        <w:t xml:space="preserve"> of BOD</w:t>
      </w:r>
      <w:r w:rsidR="00423413" w:rsidRPr="00ED4D49">
        <w:rPr>
          <w:vertAlign w:val="subscript"/>
          <w:lang w:val="en-US"/>
        </w:rPr>
        <w:t>5</w:t>
      </w:r>
      <w:r w:rsidRPr="00ED4D49">
        <w:rPr>
          <w:lang w:val="en-US"/>
        </w:rPr>
        <w:t xml:space="preserve"> and ammonia in </w:t>
      </w:r>
      <w:r w:rsidR="00E26A7E" w:rsidRPr="00ED4D49">
        <w:rPr>
          <w:lang w:val="en-US"/>
        </w:rPr>
        <w:t xml:space="preserve">the </w:t>
      </w:r>
      <w:r w:rsidRPr="00ED4D49">
        <w:rPr>
          <w:lang w:val="en-US"/>
        </w:rPr>
        <w:t xml:space="preserve">Drina </w:t>
      </w:r>
      <w:r w:rsidR="00E26A7E" w:rsidRPr="00ED4D49">
        <w:rPr>
          <w:lang w:val="en-US"/>
        </w:rPr>
        <w:t>R</w:t>
      </w:r>
      <w:r w:rsidRPr="00ED4D49">
        <w:rPr>
          <w:lang w:val="en-US"/>
        </w:rPr>
        <w:t>iver for the period 2013</w:t>
      </w:r>
      <w:r w:rsidR="00E26A7E" w:rsidRPr="00ED4D49">
        <w:rPr>
          <w:lang w:val="en-US"/>
        </w:rPr>
        <w:t>-</w:t>
      </w:r>
      <w:r w:rsidRPr="00ED4D49">
        <w:rPr>
          <w:lang w:val="en-US"/>
        </w:rPr>
        <w:t>2015 w</w:t>
      </w:r>
      <w:r w:rsidR="00E26A7E" w:rsidRPr="00ED4D49">
        <w:rPr>
          <w:lang w:val="en-US"/>
        </w:rPr>
        <w:t>ere</w:t>
      </w:r>
      <w:r w:rsidRPr="00ED4D49">
        <w:rPr>
          <w:lang w:val="en-US"/>
        </w:rPr>
        <w:t xml:space="preserve"> above </w:t>
      </w:r>
      <w:r w:rsidR="00E26A7E" w:rsidRPr="00ED4D49">
        <w:rPr>
          <w:lang w:val="en-US"/>
        </w:rPr>
        <w:t xml:space="preserve">the </w:t>
      </w:r>
      <w:r w:rsidRPr="00ED4D49">
        <w:rPr>
          <w:lang w:val="en-US"/>
        </w:rPr>
        <w:t xml:space="preserve">given European average only during 2015. </w:t>
      </w:r>
    </w:p>
    <w:p w14:paraId="50A53C12" w14:textId="38B5F3F8" w:rsidR="00012839" w:rsidRPr="00ED4D49" w:rsidRDefault="00012839" w:rsidP="00423413">
      <w:pPr>
        <w:jc w:val="both"/>
        <w:rPr>
          <w:b/>
          <w:bCs/>
          <w:i/>
          <w:szCs w:val="18"/>
          <w:lang w:val="en-US"/>
        </w:rPr>
      </w:pPr>
      <w:r w:rsidRPr="00ED4D49">
        <w:rPr>
          <w:lang w:val="en-US"/>
        </w:rPr>
        <w:t>According to the EEA database</w:t>
      </w:r>
      <w:r w:rsidR="00423413" w:rsidRPr="00ED4D49">
        <w:rPr>
          <w:lang w:val="en-US"/>
        </w:rPr>
        <w:t>, the</w:t>
      </w:r>
      <w:r w:rsidRPr="00ED4D49">
        <w:rPr>
          <w:lang w:val="en-US"/>
        </w:rPr>
        <w:t xml:space="preserve"> average value for phosphate and nitrate in European rivers during 2012 </w:t>
      </w:r>
      <w:r w:rsidR="00E26A7E" w:rsidRPr="00ED4D49">
        <w:rPr>
          <w:lang w:val="en-US"/>
        </w:rPr>
        <w:t>was</w:t>
      </w:r>
      <w:r w:rsidRPr="00ED4D49">
        <w:rPr>
          <w:lang w:val="en-US"/>
        </w:rPr>
        <w:t xml:space="preserve"> 0.04 mg PO</w:t>
      </w:r>
      <w:r w:rsidRPr="00ED4D49">
        <w:rPr>
          <w:vertAlign w:val="subscript"/>
          <w:lang w:val="en-US"/>
        </w:rPr>
        <w:t>4</w:t>
      </w:r>
      <w:r w:rsidRPr="00ED4D49">
        <w:rPr>
          <w:lang w:val="en-US"/>
        </w:rPr>
        <w:t>-P mg/l and nitrates 0.55 mg NO</w:t>
      </w:r>
      <w:r w:rsidRPr="00ED4D49">
        <w:rPr>
          <w:vertAlign w:val="subscript"/>
          <w:lang w:val="en-US"/>
        </w:rPr>
        <w:t>3</w:t>
      </w:r>
      <w:r w:rsidRPr="00ED4D49">
        <w:rPr>
          <w:lang w:val="en-US"/>
        </w:rPr>
        <w:t>-N mg/l</w:t>
      </w:r>
      <w:r w:rsidR="00423413" w:rsidRPr="00ED4D49">
        <w:rPr>
          <w:lang w:val="en-US"/>
        </w:rPr>
        <w:t>, respectively</w:t>
      </w:r>
      <w:r w:rsidRPr="00ED4D49">
        <w:rPr>
          <w:lang w:val="en-US"/>
        </w:rPr>
        <w:t xml:space="preserve">. </w:t>
      </w:r>
      <w:r w:rsidR="00423413" w:rsidRPr="00ED4D49">
        <w:rPr>
          <w:lang w:val="en-US"/>
        </w:rPr>
        <w:t>The c</w:t>
      </w:r>
      <w:r w:rsidRPr="00ED4D49">
        <w:rPr>
          <w:lang w:val="en-US"/>
        </w:rPr>
        <w:t xml:space="preserve">oncentration of phosphates in the Drina </w:t>
      </w:r>
      <w:r w:rsidR="00E26A7E" w:rsidRPr="00ED4D49">
        <w:rPr>
          <w:lang w:val="en-US"/>
        </w:rPr>
        <w:t>R</w:t>
      </w:r>
      <w:r w:rsidRPr="00ED4D49">
        <w:rPr>
          <w:lang w:val="en-US"/>
        </w:rPr>
        <w:t>iver was below</w:t>
      </w:r>
      <w:r w:rsidR="00E26A7E" w:rsidRPr="00ED4D49">
        <w:rPr>
          <w:lang w:val="en-US"/>
        </w:rPr>
        <w:t xml:space="preserve"> the</w:t>
      </w:r>
      <w:r w:rsidRPr="00ED4D49">
        <w:rPr>
          <w:lang w:val="en-US"/>
        </w:rPr>
        <w:t xml:space="preserve"> European average presented in </w:t>
      </w:r>
      <w:r w:rsidR="00E26A7E" w:rsidRPr="00ED4D49">
        <w:rPr>
          <w:lang w:val="en-US"/>
        </w:rPr>
        <w:t xml:space="preserve">the </w:t>
      </w:r>
      <w:r w:rsidRPr="00ED4D49">
        <w:rPr>
          <w:lang w:val="en-US"/>
        </w:rPr>
        <w:t xml:space="preserve">EEA database </w:t>
      </w:r>
      <w:r w:rsidR="00423413" w:rsidRPr="00ED4D49">
        <w:rPr>
          <w:lang w:val="en-US"/>
        </w:rPr>
        <w:t>for</w:t>
      </w:r>
      <w:r w:rsidRPr="00ED4D49">
        <w:rPr>
          <w:lang w:val="en-US"/>
        </w:rPr>
        <w:t xml:space="preserve"> 2013</w:t>
      </w:r>
      <w:r w:rsidR="00E26A7E" w:rsidRPr="00ED4D49">
        <w:rPr>
          <w:lang w:val="en-US"/>
        </w:rPr>
        <w:t>-</w:t>
      </w:r>
      <w:r w:rsidRPr="00ED4D49">
        <w:rPr>
          <w:lang w:val="en-US"/>
        </w:rPr>
        <w:t xml:space="preserve">2017, </w:t>
      </w:r>
      <w:r w:rsidR="00E26A7E" w:rsidRPr="00ED4D49">
        <w:rPr>
          <w:lang w:val="en-US"/>
        </w:rPr>
        <w:t>whereas the</w:t>
      </w:r>
      <w:r w:rsidRPr="00ED4D49">
        <w:rPr>
          <w:lang w:val="en-US"/>
        </w:rPr>
        <w:t xml:space="preserve"> concentration of nitrate was above </w:t>
      </w:r>
      <w:r w:rsidR="00E26A7E" w:rsidRPr="00ED4D49">
        <w:rPr>
          <w:lang w:val="en-US"/>
        </w:rPr>
        <w:t xml:space="preserve">the </w:t>
      </w:r>
      <w:r w:rsidRPr="00ED4D49">
        <w:rPr>
          <w:lang w:val="en-US"/>
        </w:rPr>
        <w:t>European average after the year 2015.</w:t>
      </w:r>
      <w:r w:rsidR="00C6478C" w:rsidRPr="00ED4D49">
        <w:rPr>
          <w:lang w:val="en-US"/>
        </w:rPr>
        <w:t xml:space="preserve"> </w:t>
      </w:r>
    </w:p>
    <w:p w14:paraId="134150F5" w14:textId="3F55B292" w:rsidR="00035488" w:rsidRPr="00ED4D49" w:rsidRDefault="0023292C" w:rsidP="0023292C">
      <w:pPr>
        <w:pStyle w:val="Heading3"/>
      </w:pPr>
      <w:bookmarkStart w:id="49" w:name="_Toc31811057"/>
      <w:r w:rsidRPr="00ED4D49">
        <w:lastRenderedPageBreak/>
        <w:t xml:space="preserve">Biodiversity and </w:t>
      </w:r>
      <w:r w:rsidR="00872801" w:rsidRPr="00ED4D49">
        <w:t>P</w:t>
      </w:r>
      <w:r w:rsidRPr="00ED4D49">
        <w:t xml:space="preserve">rotected </w:t>
      </w:r>
      <w:r w:rsidR="00872801" w:rsidRPr="00ED4D49">
        <w:t>A</w:t>
      </w:r>
      <w:r w:rsidRPr="00ED4D49">
        <w:t>reas</w:t>
      </w:r>
      <w:bookmarkEnd w:id="49"/>
      <w:r w:rsidR="00035488" w:rsidRPr="00ED4D49">
        <w:tab/>
      </w:r>
    </w:p>
    <w:p w14:paraId="10713AC4" w14:textId="322EF4F5" w:rsidR="00A405B0" w:rsidRPr="00ED4D49" w:rsidRDefault="00A405B0" w:rsidP="00A405B0">
      <w:pPr>
        <w:jc w:val="both"/>
        <w:rPr>
          <w:bCs/>
          <w:lang w:val="en-US" w:eastAsia="hr-HR"/>
        </w:rPr>
      </w:pPr>
      <w:r w:rsidRPr="00ED4D49">
        <w:rPr>
          <w:bCs/>
          <w:lang w:val="en-US" w:eastAsia="bs-Latn-BA"/>
        </w:rPr>
        <w:t xml:space="preserve">The </w:t>
      </w:r>
      <w:r w:rsidR="00BE0F20" w:rsidRPr="00ED4D49">
        <w:rPr>
          <w:bCs/>
          <w:lang w:val="en-US" w:eastAsia="bs-Latn-BA"/>
        </w:rPr>
        <w:t>DRB</w:t>
      </w:r>
      <w:r w:rsidRPr="00ED4D49">
        <w:rPr>
          <w:bCs/>
          <w:lang w:val="en-US" w:eastAsia="bs-Latn-BA"/>
        </w:rPr>
        <w:t xml:space="preserve"> is characterized by </w:t>
      </w:r>
      <w:r w:rsidR="00870BFC" w:rsidRPr="00ED4D49">
        <w:rPr>
          <w:bCs/>
          <w:lang w:val="en-US" w:eastAsia="bs-Latn-BA"/>
        </w:rPr>
        <w:t xml:space="preserve">a </w:t>
      </w:r>
      <w:r w:rsidRPr="00ED4D49">
        <w:rPr>
          <w:lang w:val="en-US"/>
        </w:rPr>
        <w:t xml:space="preserve">high level of biodiversity </w:t>
      </w:r>
      <w:r w:rsidRPr="00ED4D49">
        <w:rPr>
          <w:bCs/>
          <w:lang w:val="en-US" w:eastAsia="bs-Latn-BA"/>
        </w:rPr>
        <w:t>and it</w:t>
      </w:r>
      <w:r w:rsidRPr="00ED4D49">
        <w:rPr>
          <w:lang w:val="en-US" w:eastAsia="bs-Latn-BA"/>
        </w:rPr>
        <w:t xml:space="preserve"> hosts a</w:t>
      </w:r>
      <w:r w:rsidRPr="00ED4D49">
        <w:rPr>
          <w:rStyle w:val="Emphasis"/>
          <w:rFonts w:cs="Calibri"/>
          <w:bCs/>
          <w:i w:val="0"/>
          <w:iCs w:val="0"/>
          <w:szCs w:val="20"/>
          <w:shd w:val="clear" w:color="auto" w:fill="FFFFFF"/>
          <w:lang w:val="en-US"/>
        </w:rPr>
        <w:t xml:space="preserve"> variety of habitats</w:t>
      </w:r>
      <w:r w:rsidRPr="00ED4D49">
        <w:rPr>
          <w:lang w:val="en-US" w:eastAsia="bs-Latn-BA"/>
        </w:rPr>
        <w:t xml:space="preserve">, from mountains and glaciers, to canyons, forest, meadows, wetlands and underground rivers. Many endemic and threatened species </w:t>
      </w:r>
      <w:r w:rsidR="00870BFC" w:rsidRPr="00ED4D49">
        <w:rPr>
          <w:lang w:val="en-US" w:eastAsia="bs-Latn-BA"/>
        </w:rPr>
        <w:t>have been</w:t>
      </w:r>
      <w:r w:rsidRPr="00ED4D49">
        <w:rPr>
          <w:lang w:val="en-US" w:eastAsia="bs-Latn-BA"/>
        </w:rPr>
        <w:t xml:space="preserve"> discovered in this region. Based on information presented in</w:t>
      </w:r>
      <w:r w:rsidR="00870BFC" w:rsidRPr="00ED4D49">
        <w:rPr>
          <w:lang w:val="en-US" w:eastAsia="bs-Latn-BA"/>
        </w:rPr>
        <w:t xml:space="preserve"> the “</w:t>
      </w:r>
      <w:r w:rsidRPr="00ED4D49">
        <w:rPr>
          <w:bCs/>
          <w:i/>
          <w:lang w:val="en-US" w:eastAsia="hr-HR"/>
        </w:rPr>
        <w:t>Assessment of the water-food-energy ecosystems nexus and benefits of transboundary cooperation in the Drina River Basin</w:t>
      </w:r>
      <w:r w:rsidR="00870BFC" w:rsidRPr="00ED4D49">
        <w:rPr>
          <w:bCs/>
          <w:i/>
          <w:lang w:val="en-US" w:eastAsia="hr-HR"/>
        </w:rPr>
        <w:t>”,</w:t>
      </w:r>
      <w:r w:rsidRPr="00ED4D49">
        <w:rPr>
          <w:lang w:val="en-US" w:eastAsia="hr-HR"/>
        </w:rPr>
        <w:t xml:space="preserve"> </w:t>
      </w:r>
      <w:r w:rsidRPr="00ED4D49">
        <w:rPr>
          <w:lang w:val="en-US" w:eastAsia="bs-Latn-BA"/>
        </w:rPr>
        <w:t xml:space="preserve">this region is still considered as </w:t>
      </w:r>
      <w:r w:rsidRPr="00ED4D49">
        <w:rPr>
          <w:lang w:val="en-US"/>
        </w:rPr>
        <w:t xml:space="preserve">one of the last ‘untouched’ river basins in Europe. </w:t>
      </w:r>
      <w:r w:rsidRPr="00ED4D49">
        <w:rPr>
          <w:lang w:val="en-US" w:eastAsia="bs-Latn-BA"/>
        </w:rPr>
        <w:t xml:space="preserve">Despite this fact, biodiversity is considered to be </w:t>
      </w:r>
      <w:r w:rsidR="00EF5FBF" w:rsidRPr="00ED4D49">
        <w:rPr>
          <w:lang w:val="en-US" w:eastAsia="bs-Latn-BA"/>
        </w:rPr>
        <w:t>threatened</w:t>
      </w:r>
      <w:r w:rsidRPr="00ED4D49">
        <w:rPr>
          <w:lang w:val="en-US" w:eastAsia="bs-Latn-BA"/>
        </w:rPr>
        <w:t xml:space="preserve"> although a paucity of precise data on flora and fauna populations in the DRB makes it difficult to quantify this phenomenon. </w:t>
      </w:r>
    </w:p>
    <w:p w14:paraId="62E81B50" w14:textId="6CC66047" w:rsidR="00A405B0" w:rsidRPr="00ED4D49" w:rsidRDefault="00A405B0" w:rsidP="00A405B0">
      <w:pPr>
        <w:jc w:val="both"/>
        <w:rPr>
          <w:lang w:val="en-US"/>
        </w:rPr>
      </w:pPr>
      <w:r w:rsidRPr="00ED4D49">
        <w:rPr>
          <w:lang w:val="en-US"/>
        </w:rPr>
        <w:t xml:space="preserve">The unique development patterns of both hygrophilous and </w:t>
      </w:r>
      <w:proofErr w:type="spellStart"/>
      <w:r w:rsidRPr="00ED4D49">
        <w:rPr>
          <w:lang w:val="en-US"/>
        </w:rPr>
        <w:t>hydrophilous</w:t>
      </w:r>
      <w:proofErr w:type="spellEnd"/>
      <w:r w:rsidRPr="00ED4D49">
        <w:rPr>
          <w:lang w:val="en-US"/>
        </w:rPr>
        <w:t xml:space="preserve"> plant and animal communities </w:t>
      </w:r>
      <w:proofErr w:type="gramStart"/>
      <w:r w:rsidRPr="00ED4D49">
        <w:rPr>
          <w:lang w:val="en-US"/>
        </w:rPr>
        <w:t>is</w:t>
      </w:r>
      <w:proofErr w:type="gramEnd"/>
      <w:r w:rsidRPr="00ED4D49">
        <w:rPr>
          <w:lang w:val="en-US"/>
        </w:rPr>
        <w:t xml:space="preserve"> the result of specific </w:t>
      </w:r>
      <w:proofErr w:type="spellStart"/>
      <w:r w:rsidRPr="00ED4D49">
        <w:rPr>
          <w:lang w:val="en-US"/>
        </w:rPr>
        <w:t>geogenesis</w:t>
      </w:r>
      <w:proofErr w:type="spellEnd"/>
      <w:r w:rsidRPr="00ED4D49">
        <w:rPr>
          <w:lang w:val="en-US"/>
        </w:rPr>
        <w:t xml:space="preserve">, pedogenesis and syngenesis in the ecosystems of riverside. In </w:t>
      </w:r>
      <w:r w:rsidR="00EF5FBF" w:rsidRPr="00ED4D49">
        <w:rPr>
          <w:rFonts w:cs="Calibri"/>
          <w:szCs w:val="20"/>
          <w:lang w:val="en-US" w:eastAsia="bs-Latn-BA"/>
        </w:rPr>
        <w:t>DRB</w:t>
      </w:r>
      <w:r w:rsidR="00EF5FBF" w:rsidRPr="00ED4D49">
        <w:rPr>
          <w:lang w:val="en-US"/>
        </w:rPr>
        <w:t xml:space="preserve">, </w:t>
      </w:r>
      <w:r w:rsidRPr="00ED4D49">
        <w:rPr>
          <w:lang w:val="en-US"/>
        </w:rPr>
        <w:t xml:space="preserve">many refugia of tertiary flora, fauna and vegetation are recognized. During the Ice Age these glacial refugia </w:t>
      </w:r>
      <w:r w:rsidR="00EF5FBF" w:rsidRPr="00ED4D49">
        <w:rPr>
          <w:lang w:val="en-US"/>
        </w:rPr>
        <w:t>were</w:t>
      </w:r>
      <w:r w:rsidRPr="00ED4D49">
        <w:rPr>
          <w:lang w:val="en-US"/>
        </w:rPr>
        <w:t xml:space="preserve"> a shelter for many plant and animal species and are </w:t>
      </w:r>
      <w:r w:rsidR="00EF5FBF" w:rsidRPr="00ED4D49">
        <w:rPr>
          <w:lang w:val="en-US"/>
        </w:rPr>
        <w:t xml:space="preserve">now </w:t>
      </w:r>
      <w:r w:rsidRPr="00ED4D49">
        <w:rPr>
          <w:lang w:val="en-US"/>
        </w:rPr>
        <w:t>considered as centers of genetic, species and ecosystem diversity.</w:t>
      </w:r>
      <w:r w:rsidR="00C6478C" w:rsidRPr="00ED4D49">
        <w:rPr>
          <w:lang w:val="en-US"/>
        </w:rPr>
        <w:t xml:space="preserve"> </w:t>
      </w:r>
    </w:p>
    <w:p w14:paraId="7D6CB48C" w14:textId="77777777" w:rsidR="00A405B0" w:rsidRPr="00ED4D49" w:rsidRDefault="00A405B0" w:rsidP="00A405B0">
      <w:pPr>
        <w:spacing w:after="0"/>
        <w:jc w:val="both"/>
        <w:rPr>
          <w:rStyle w:val="tlid-translation"/>
          <w:color w:val="1F497D"/>
          <w:lang w:val="en-US"/>
        </w:rPr>
      </w:pPr>
      <w:r w:rsidRPr="00ED4D49">
        <w:rPr>
          <w:rStyle w:val="tlid-translation"/>
          <w:color w:val="1F497D"/>
          <w:lang w:val="en-US"/>
        </w:rPr>
        <w:t>Flora</w:t>
      </w:r>
    </w:p>
    <w:p w14:paraId="4E575758" w14:textId="762D7538" w:rsidR="00A405B0" w:rsidRPr="00ED4D49" w:rsidRDefault="00A405B0" w:rsidP="00A405B0">
      <w:pPr>
        <w:jc w:val="both"/>
        <w:rPr>
          <w:rFonts w:cs="Calibri"/>
          <w:szCs w:val="20"/>
          <w:lang w:val="en-US" w:eastAsia="bs-Latn-BA"/>
        </w:rPr>
      </w:pPr>
      <w:r w:rsidRPr="00ED4D49">
        <w:rPr>
          <w:rFonts w:cs="Calibri"/>
          <w:szCs w:val="20"/>
          <w:lang w:val="en-US" w:eastAsia="bs-Latn-BA"/>
        </w:rPr>
        <w:t xml:space="preserve">Based on the report </w:t>
      </w:r>
      <w:r w:rsidR="00EF5FBF" w:rsidRPr="00ED4D49">
        <w:rPr>
          <w:rFonts w:cs="Calibri"/>
          <w:i/>
          <w:szCs w:val="20"/>
          <w:lang w:val="en-US" w:eastAsia="bs-Latn-BA"/>
        </w:rPr>
        <w:t>“</w:t>
      </w:r>
      <w:r w:rsidRPr="00ED4D49">
        <w:rPr>
          <w:rFonts w:cs="Calibri"/>
          <w:i/>
          <w:szCs w:val="20"/>
          <w:lang w:val="en-US" w:eastAsia="bs-Latn-BA"/>
        </w:rPr>
        <w:t xml:space="preserve">Support to water resources management in the </w:t>
      </w:r>
      <w:r w:rsidR="00BE0F20" w:rsidRPr="00ED4D49">
        <w:rPr>
          <w:rFonts w:cs="Calibri"/>
          <w:i/>
          <w:szCs w:val="20"/>
          <w:lang w:val="en-US" w:eastAsia="bs-Latn-BA"/>
        </w:rPr>
        <w:t>DRB</w:t>
      </w:r>
      <w:r w:rsidRPr="00ED4D49">
        <w:rPr>
          <w:rFonts w:cs="Calibri"/>
          <w:i/>
          <w:szCs w:val="20"/>
          <w:lang w:val="en-US" w:eastAsia="bs-Latn-BA"/>
        </w:rPr>
        <w:t xml:space="preserve"> for </w:t>
      </w:r>
      <w:r w:rsidR="00EF5FBF" w:rsidRPr="00ED4D49">
        <w:rPr>
          <w:rFonts w:cs="Calibri"/>
          <w:i/>
          <w:szCs w:val="20"/>
          <w:lang w:val="en-US" w:eastAsia="bs-Latn-BA"/>
        </w:rPr>
        <w:t>BiH”,</w:t>
      </w:r>
      <w:r w:rsidRPr="00ED4D49">
        <w:rPr>
          <w:rFonts w:cs="Calibri"/>
          <w:szCs w:val="20"/>
          <w:lang w:val="en-US" w:eastAsia="bs-Latn-BA"/>
        </w:rPr>
        <w:t xml:space="preserve"> the largest part of the DRB belongs to the area of European, mainly deciduous forest, but unlike typical forest</w:t>
      </w:r>
      <w:r w:rsidR="00EF5FBF" w:rsidRPr="00ED4D49">
        <w:rPr>
          <w:rFonts w:cs="Calibri"/>
          <w:szCs w:val="20"/>
          <w:lang w:val="en-US" w:eastAsia="bs-Latn-BA"/>
        </w:rPr>
        <w:t>s</w:t>
      </w:r>
      <w:r w:rsidRPr="00ED4D49">
        <w:rPr>
          <w:rFonts w:cs="Calibri"/>
          <w:szCs w:val="20"/>
          <w:lang w:val="en-US" w:eastAsia="bs-Latn-BA"/>
        </w:rPr>
        <w:t xml:space="preserve"> in this category, has the character of European mixed forests. Due to specific climatic and other environmental conditions, there are a large number of Mediterranean and </w:t>
      </w:r>
      <w:proofErr w:type="gramStart"/>
      <w:r w:rsidRPr="00ED4D49">
        <w:rPr>
          <w:rFonts w:cs="Calibri"/>
          <w:szCs w:val="20"/>
          <w:lang w:val="en-US" w:eastAsia="bs-Latn-BA"/>
        </w:rPr>
        <w:t>sub Mediterranean</w:t>
      </w:r>
      <w:proofErr w:type="gramEnd"/>
      <w:r w:rsidRPr="00ED4D49">
        <w:rPr>
          <w:rFonts w:cs="Calibri"/>
          <w:szCs w:val="20"/>
          <w:lang w:val="en-US" w:eastAsia="bs-Latn-BA"/>
        </w:rPr>
        <w:t xml:space="preserve"> species in some parts.</w:t>
      </w:r>
    </w:p>
    <w:p w14:paraId="07BEA7CF" w14:textId="4AB8C7D0" w:rsidR="00A405B0" w:rsidRPr="00ED4D49" w:rsidRDefault="00A405B0" w:rsidP="00A405B0">
      <w:pPr>
        <w:jc w:val="both"/>
        <w:rPr>
          <w:rFonts w:cs="Calibri"/>
          <w:szCs w:val="20"/>
          <w:lang w:val="en-US" w:eastAsia="bs-Latn-BA"/>
        </w:rPr>
      </w:pPr>
      <w:r w:rsidRPr="00ED4D49">
        <w:rPr>
          <w:rFonts w:cs="Calibri"/>
          <w:szCs w:val="20"/>
          <w:lang w:val="en-US" w:eastAsia="bs-Latn-BA"/>
        </w:rPr>
        <w:t xml:space="preserve">According to the </w:t>
      </w:r>
      <w:r w:rsidR="00EF5FBF" w:rsidRPr="00ED4D49">
        <w:rPr>
          <w:rFonts w:cs="Calibri"/>
          <w:i/>
          <w:szCs w:val="20"/>
          <w:lang w:val="en-US" w:eastAsia="bs-Latn-BA"/>
        </w:rPr>
        <w:t>“</w:t>
      </w:r>
      <w:r w:rsidRPr="00ED4D49">
        <w:rPr>
          <w:rFonts w:cs="Calibri"/>
          <w:i/>
          <w:szCs w:val="20"/>
          <w:lang w:val="en-US" w:eastAsia="bs-Latn-BA"/>
        </w:rPr>
        <w:t>Natura 2000 Sites for BiH</w:t>
      </w:r>
      <w:r w:rsidR="00EF5FBF" w:rsidRPr="00ED4D49">
        <w:rPr>
          <w:rFonts w:cs="Calibri"/>
          <w:i/>
          <w:szCs w:val="20"/>
          <w:lang w:val="en-US" w:eastAsia="bs-Latn-BA"/>
        </w:rPr>
        <w:t>”</w:t>
      </w:r>
      <w:r w:rsidRPr="00ED4D49">
        <w:rPr>
          <w:rFonts w:cs="Calibri"/>
          <w:szCs w:val="20"/>
          <w:lang w:val="en-US" w:eastAsia="bs-Latn-BA"/>
        </w:rPr>
        <w:t xml:space="preserve"> </w:t>
      </w:r>
      <w:r w:rsidR="00EF5FBF" w:rsidRPr="00ED4D49">
        <w:rPr>
          <w:rFonts w:cs="Calibri"/>
          <w:szCs w:val="20"/>
          <w:lang w:val="en-US" w:eastAsia="bs-Latn-BA"/>
        </w:rPr>
        <w:t xml:space="preserve">report, </w:t>
      </w:r>
      <w:r w:rsidRPr="00ED4D49">
        <w:rPr>
          <w:rFonts w:cs="Calibri"/>
          <w:szCs w:val="20"/>
          <w:lang w:val="en-US" w:eastAsia="bs-Latn-BA"/>
        </w:rPr>
        <w:t>the lower parts of the DRB are characterized mostly by deciduous forests, including tree species like the Turkey oak (</w:t>
      </w:r>
      <w:r w:rsidRPr="00ED4D49">
        <w:rPr>
          <w:rFonts w:cs="Calibri"/>
          <w:i/>
          <w:iCs/>
          <w:szCs w:val="20"/>
          <w:lang w:val="en-US" w:eastAsia="bs-Latn-BA"/>
        </w:rPr>
        <w:t>Quercus cerris</w:t>
      </w:r>
      <w:r w:rsidRPr="00ED4D49">
        <w:rPr>
          <w:rFonts w:cs="Calibri"/>
          <w:szCs w:val="20"/>
          <w:lang w:val="en-US" w:eastAsia="bs-Latn-BA"/>
        </w:rPr>
        <w:t>), the hop hornbeam (</w:t>
      </w:r>
      <w:r w:rsidRPr="00ED4D49">
        <w:rPr>
          <w:rFonts w:cs="Calibri"/>
          <w:i/>
          <w:iCs/>
          <w:szCs w:val="20"/>
          <w:lang w:val="en-US" w:eastAsia="bs-Latn-BA"/>
        </w:rPr>
        <w:t xml:space="preserve">Ostrya </w:t>
      </w:r>
      <w:proofErr w:type="spellStart"/>
      <w:r w:rsidRPr="00ED4D49">
        <w:rPr>
          <w:rFonts w:cs="Calibri"/>
          <w:i/>
          <w:iCs/>
          <w:szCs w:val="20"/>
          <w:lang w:val="en-US" w:eastAsia="bs-Latn-BA"/>
        </w:rPr>
        <w:t>carpinifolia</w:t>
      </w:r>
      <w:proofErr w:type="spellEnd"/>
      <w:r w:rsidRPr="00ED4D49">
        <w:rPr>
          <w:rFonts w:cs="Calibri"/>
          <w:szCs w:val="20"/>
          <w:lang w:val="en-US" w:eastAsia="bs-Latn-BA"/>
        </w:rPr>
        <w:t>), the oriental hornbeam (</w:t>
      </w:r>
      <w:r w:rsidRPr="00ED4D49">
        <w:rPr>
          <w:rFonts w:cs="Calibri"/>
          <w:i/>
          <w:iCs/>
          <w:szCs w:val="20"/>
          <w:lang w:val="en-US" w:eastAsia="bs-Latn-BA"/>
        </w:rPr>
        <w:t xml:space="preserve">Carpinus </w:t>
      </w:r>
      <w:proofErr w:type="spellStart"/>
      <w:r w:rsidRPr="00ED4D49">
        <w:rPr>
          <w:rFonts w:cs="Calibri"/>
          <w:i/>
          <w:iCs/>
          <w:szCs w:val="20"/>
          <w:lang w:val="en-US" w:eastAsia="bs-Latn-BA"/>
        </w:rPr>
        <w:t>orientalis</w:t>
      </w:r>
      <w:proofErr w:type="spellEnd"/>
      <w:r w:rsidRPr="00ED4D49">
        <w:rPr>
          <w:rFonts w:cs="Calibri"/>
          <w:szCs w:val="20"/>
          <w:lang w:val="en-US" w:eastAsia="bs-Latn-BA"/>
        </w:rPr>
        <w:t>) and the manna ash (</w:t>
      </w:r>
      <w:r w:rsidRPr="00ED4D49">
        <w:rPr>
          <w:rFonts w:cs="Calibri"/>
          <w:i/>
          <w:iCs/>
          <w:szCs w:val="20"/>
          <w:lang w:val="en-US" w:eastAsia="bs-Latn-BA"/>
        </w:rPr>
        <w:t xml:space="preserve">Fraxinus </w:t>
      </w:r>
      <w:proofErr w:type="spellStart"/>
      <w:r w:rsidRPr="00ED4D49">
        <w:rPr>
          <w:rFonts w:cs="Calibri"/>
          <w:i/>
          <w:iCs/>
          <w:szCs w:val="20"/>
          <w:lang w:val="en-US" w:eastAsia="bs-Latn-BA"/>
        </w:rPr>
        <w:t>ornus</w:t>
      </w:r>
      <w:proofErr w:type="spellEnd"/>
      <w:r w:rsidRPr="00ED4D49">
        <w:rPr>
          <w:rFonts w:cs="Calibri"/>
          <w:szCs w:val="20"/>
          <w:lang w:val="en-US" w:eastAsia="bs-Latn-BA"/>
        </w:rPr>
        <w:t>). In the valley of the Drina River</w:t>
      </w:r>
      <w:r w:rsidR="00EF5FBF" w:rsidRPr="00ED4D49">
        <w:rPr>
          <w:rFonts w:cs="Calibri"/>
          <w:szCs w:val="20"/>
          <w:lang w:val="en-US" w:eastAsia="bs-Latn-BA"/>
        </w:rPr>
        <w:t>,</w:t>
      </w:r>
      <w:r w:rsidRPr="00ED4D49">
        <w:rPr>
          <w:rFonts w:cs="Calibri"/>
          <w:szCs w:val="20"/>
          <w:lang w:val="en-US" w:eastAsia="bs-Latn-BA"/>
        </w:rPr>
        <w:t xml:space="preserve"> there are small stands of alluvial forest with dominant species being the black alder (</w:t>
      </w:r>
      <w:r w:rsidRPr="00ED4D49">
        <w:rPr>
          <w:rFonts w:cs="Calibri"/>
          <w:i/>
          <w:szCs w:val="20"/>
          <w:lang w:val="en-US" w:eastAsia="bs-Latn-BA"/>
        </w:rPr>
        <w:t xml:space="preserve">Alnus </w:t>
      </w:r>
      <w:proofErr w:type="spellStart"/>
      <w:r w:rsidRPr="00ED4D49">
        <w:rPr>
          <w:rFonts w:cs="Calibri"/>
          <w:i/>
          <w:szCs w:val="20"/>
          <w:lang w:val="en-US" w:eastAsia="bs-Latn-BA"/>
        </w:rPr>
        <w:t>glutinosa</w:t>
      </w:r>
      <w:proofErr w:type="spellEnd"/>
      <w:r w:rsidRPr="00ED4D49">
        <w:rPr>
          <w:rFonts w:cs="Calibri"/>
          <w:szCs w:val="20"/>
          <w:lang w:val="en-US" w:eastAsia="bs-Latn-BA"/>
        </w:rPr>
        <w:t>) and white willow (</w:t>
      </w:r>
      <w:r w:rsidRPr="00ED4D49">
        <w:rPr>
          <w:rFonts w:cs="Calibri"/>
          <w:i/>
          <w:szCs w:val="20"/>
          <w:lang w:val="en-US" w:eastAsia="bs-Latn-BA"/>
        </w:rPr>
        <w:t>Salix alba</w:t>
      </w:r>
      <w:r w:rsidRPr="00ED4D49">
        <w:rPr>
          <w:rFonts w:cs="Calibri"/>
          <w:szCs w:val="20"/>
          <w:lang w:val="en-US" w:eastAsia="bs-Latn-BA"/>
        </w:rPr>
        <w:t>).</w:t>
      </w:r>
    </w:p>
    <w:p w14:paraId="383865B3" w14:textId="26B17E54" w:rsidR="00A405B0" w:rsidRPr="00ED4D49" w:rsidRDefault="00A405B0" w:rsidP="00A405B0">
      <w:pPr>
        <w:jc w:val="both"/>
        <w:rPr>
          <w:rFonts w:cs="Calibri"/>
          <w:iCs/>
          <w:szCs w:val="20"/>
          <w:lang w:val="en-US" w:eastAsia="bs-Latn-BA"/>
        </w:rPr>
      </w:pPr>
      <w:r w:rsidRPr="00ED4D49">
        <w:rPr>
          <w:rFonts w:cs="Calibri"/>
          <w:iCs/>
          <w:szCs w:val="20"/>
          <w:lang w:val="en-US" w:eastAsia="bs-Latn-BA"/>
        </w:rPr>
        <w:t xml:space="preserve">The wetland vegetation is found </w:t>
      </w:r>
      <w:r w:rsidRPr="00ED4D49">
        <w:rPr>
          <w:rFonts w:cs="Calibri"/>
          <w:szCs w:val="20"/>
          <w:lang w:val="en-US" w:eastAsia="bs-Latn-BA"/>
        </w:rPr>
        <w:t xml:space="preserve">in the lower course of the Drina River </w:t>
      </w:r>
      <w:r w:rsidRPr="00ED4D49">
        <w:rPr>
          <w:rFonts w:cs="Calibri"/>
          <w:iCs/>
          <w:szCs w:val="20"/>
          <w:lang w:val="en-US" w:eastAsia="bs-Latn-BA"/>
        </w:rPr>
        <w:t xml:space="preserve">with </w:t>
      </w:r>
      <w:proofErr w:type="spellStart"/>
      <w:r w:rsidRPr="00ED4D49">
        <w:rPr>
          <w:rFonts w:cs="Calibri"/>
          <w:iCs/>
          <w:szCs w:val="20"/>
          <w:lang w:val="en-US" w:eastAsia="bs-Latn-BA"/>
        </w:rPr>
        <w:t>hygrophylous</w:t>
      </w:r>
      <w:proofErr w:type="spellEnd"/>
      <w:r w:rsidRPr="00ED4D49">
        <w:rPr>
          <w:rFonts w:cs="Calibri"/>
          <w:iCs/>
          <w:szCs w:val="20"/>
          <w:lang w:val="en-US" w:eastAsia="bs-Latn-BA"/>
        </w:rPr>
        <w:t xml:space="preserve"> woods and shrubs of willow, alder, </w:t>
      </w:r>
      <w:r w:rsidR="00EF5FBF" w:rsidRPr="00ED4D49">
        <w:rPr>
          <w:rFonts w:cs="Calibri"/>
          <w:iCs/>
          <w:szCs w:val="20"/>
          <w:lang w:val="en-US" w:eastAsia="bs-Latn-BA"/>
        </w:rPr>
        <w:t>purple</w:t>
      </w:r>
      <w:r w:rsidRPr="00ED4D49">
        <w:rPr>
          <w:rFonts w:cs="Calibri"/>
          <w:iCs/>
          <w:szCs w:val="20"/>
          <w:lang w:val="en-US" w:eastAsia="bs-Latn-BA"/>
        </w:rPr>
        <w:t xml:space="preserve"> and marsh willow. </w:t>
      </w:r>
      <w:r w:rsidRPr="00ED4D49">
        <w:rPr>
          <w:rFonts w:cs="Calibri"/>
          <w:szCs w:val="20"/>
          <w:lang w:val="en-US"/>
        </w:rPr>
        <w:t xml:space="preserve">Wetlands play a critical role in maintaining many natural cycles and supporting a wide range of biodiversity. They purify and replenish water, serve as a natural sponge against flooding and drought, protect coastlines and help fight climate change. </w:t>
      </w:r>
    </w:p>
    <w:p w14:paraId="66A25207" w14:textId="5218A174" w:rsidR="00A405B0" w:rsidRPr="00ED4D49" w:rsidRDefault="00A405B0" w:rsidP="00A405B0">
      <w:pPr>
        <w:jc w:val="both"/>
        <w:rPr>
          <w:lang w:val="en-US" w:eastAsia="bs-Latn-BA"/>
        </w:rPr>
      </w:pPr>
      <w:r w:rsidRPr="00ED4D49">
        <w:rPr>
          <w:lang w:val="en-US" w:eastAsia="bs-Latn-BA"/>
        </w:rPr>
        <w:t>In the middle and upper watercourse of Drina River, at lower altitude</w:t>
      </w:r>
      <w:r w:rsidR="00EF5FBF" w:rsidRPr="00ED4D49">
        <w:rPr>
          <w:lang w:val="en-US" w:eastAsia="bs-Latn-BA"/>
        </w:rPr>
        <w:t>s</w:t>
      </w:r>
      <w:r w:rsidRPr="00ED4D49">
        <w:rPr>
          <w:lang w:val="en-US" w:eastAsia="bs-Latn-BA"/>
        </w:rPr>
        <w:t xml:space="preserve">, the dominant forests are acidophilous community </w:t>
      </w:r>
      <w:proofErr w:type="spellStart"/>
      <w:r w:rsidRPr="00ED4D49">
        <w:rPr>
          <w:i/>
          <w:iCs/>
          <w:lang w:val="en-US" w:eastAsia="bs-Latn-BA"/>
        </w:rPr>
        <w:t>Luzulo-Fagetum</w:t>
      </w:r>
      <w:proofErr w:type="spellEnd"/>
      <w:r w:rsidRPr="00ED4D49">
        <w:rPr>
          <w:i/>
          <w:iCs/>
          <w:lang w:val="en-US" w:eastAsia="bs-Latn-BA"/>
        </w:rPr>
        <w:t xml:space="preserve"> </w:t>
      </w:r>
      <w:r w:rsidRPr="00ED4D49">
        <w:rPr>
          <w:lang w:val="en-US" w:eastAsia="bs-Latn-BA"/>
        </w:rPr>
        <w:t>with the dominant species European beech (</w:t>
      </w:r>
      <w:r w:rsidRPr="00ED4D49">
        <w:rPr>
          <w:i/>
          <w:iCs/>
          <w:lang w:val="en-US" w:eastAsia="bs-Latn-BA"/>
        </w:rPr>
        <w:t xml:space="preserve">Fagus sylvatica) </w:t>
      </w:r>
      <w:r w:rsidRPr="00ED4D49">
        <w:rPr>
          <w:lang w:val="en-US" w:eastAsia="bs-Latn-BA"/>
        </w:rPr>
        <w:t>and white woodrush (</w:t>
      </w:r>
      <w:proofErr w:type="spellStart"/>
      <w:r w:rsidRPr="00ED4D49">
        <w:rPr>
          <w:i/>
          <w:iCs/>
          <w:lang w:val="en-US" w:eastAsia="bs-Latn-BA"/>
        </w:rPr>
        <w:t>Luzula</w:t>
      </w:r>
      <w:proofErr w:type="spellEnd"/>
      <w:r w:rsidRPr="00ED4D49">
        <w:rPr>
          <w:i/>
          <w:iCs/>
          <w:lang w:val="en-US" w:eastAsia="bs-Latn-BA"/>
        </w:rPr>
        <w:t xml:space="preserve"> </w:t>
      </w:r>
      <w:proofErr w:type="spellStart"/>
      <w:r w:rsidRPr="00ED4D49">
        <w:rPr>
          <w:i/>
          <w:iCs/>
          <w:lang w:val="en-US" w:eastAsia="bs-Latn-BA"/>
        </w:rPr>
        <w:t>luzuloides</w:t>
      </w:r>
      <w:proofErr w:type="spellEnd"/>
      <w:r w:rsidRPr="00ED4D49">
        <w:rPr>
          <w:i/>
          <w:iCs/>
          <w:lang w:val="en-US" w:eastAsia="bs-Latn-BA"/>
        </w:rPr>
        <w:t>).</w:t>
      </w:r>
      <w:r w:rsidR="00C6478C" w:rsidRPr="00ED4D49">
        <w:rPr>
          <w:i/>
          <w:iCs/>
          <w:lang w:val="en-US" w:eastAsia="bs-Latn-BA"/>
        </w:rPr>
        <w:t xml:space="preserve"> </w:t>
      </w:r>
      <w:r w:rsidRPr="00ED4D49">
        <w:rPr>
          <w:lang w:val="en-US" w:eastAsia="bs-Latn-BA"/>
        </w:rPr>
        <w:t>At higher altitude</w:t>
      </w:r>
      <w:r w:rsidR="00EF5FBF" w:rsidRPr="00ED4D49">
        <w:rPr>
          <w:lang w:val="en-US" w:eastAsia="bs-Latn-BA"/>
        </w:rPr>
        <w:t>s</w:t>
      </w:r>
      <w:r w:rsidRPr="00ED4D49">
        <w:rPr>
          <w:lang w:val="en-US" w:eastAsia="bs-Latn-BA"/>
        </w:rPr>
        <w:t>, the forests are characterized by fragments of communities of European beech (</w:t>
      </w:r>
      <w:r w:rsidRPr="00ED4D49">
        <w:rPr>
          <w:i/>
          <w:iCs/>
          <w:lang w:val="en-US" w:eastAsia="bs-Latn-BA"/>
        </w:rPr>
        <w:t>Fagus sylvatica</w:t>
      </w:r>
      <w:r w:rsidRPr="00ED4D49">
        <w:rPr>
          <w:lang w:val="en-US" w:eastAsia="bs-Latn-BA"/>
        </w:rPr>
        <w:t>), silver fir (</w:t>
      </w:r>
      <w:r w:rsidRPr="00ED4D49">
        <w:rPr>
          <w:i/>
          <w:iCs/>
          <w:lang w:val="en-US" w:eastAsia="bs-Latn-BA"/>
        </w:rPr>
        <w:t>Abies alba</w:t>
      </w:r>
      <w:r w:rsidRPr="00ED4D49">
        <w:rPr>
          <w:lang w:val="en-US" w:eastAsia="bs-Latn-BA"/>
        </w:rPr>
        <w:t>) and spruce (</w:t>
      </w:r>
      <w:r w:rsidRPr="00ED4D49">
        <w:rPr>
          <w:i/>
          <w:iCs/>
          <w:lang w:val="en-US" w:eastAsia="bs-Latn-BA"/>
        </w:rPr>
        <w:t>Picea abies</w:t>
      </w:r>
      <w:r w:rsidRPr="00ED4D49">
        <w:rPr>
          <w:lang w:val="en-US" w:eastAsia="bs-Latn-BA"/>
        </w:rPr>
        <w:t xml:space="preserve">) species. In the middle course of the Drina River </w:t>
      </w:r>
      <w:proofErr w:type="spellStart"/>
      <w:r w:rsidRPr="00ED4D49">
        <w:rPr>
          <w:lang w:val="en-US" w:eastAsia="bs-Latn-BA"/>
        </w:rPr>
        <w:t>thermophilous</w:t>
      </w:r>
      <w:proofErr w:type="spellEnd"/>
      <w:r w:rsidRPr="00ED4D49">
        <w:rPr>
          <w:lang w:val="en-US" w:eastAsia="bs-Latn-BA"/>
        </w:rPr>
        <w:t xml:space="preserve"> deciduous forests are found. The dominant species in this forest are </w:t>
      </w:r>
      <w:proofErr w:type="spellStart"/>
      <w:r w:rsidRPr="00ED4D49">
        <w:rPr>
          <w:lang w:val="en-US" w:eastAsia="bs-Latn-BA"/>
        </w:rPr>
        <w:t>thermophilous</w:t>
      </w:r>
      <w:proofErr w:type="spellEnd"/>
      <w:r w:rsidRPr="00ED4D49">
        <w:rPr>
          <w:lang w:val="en-US" w:eastAsia="bs-Latn-BA"/>
        </w:rPr>
        <w:t xml:space="preserve"> oaks (</w:t>
      </w:r>
      <w:r w:rsidRPr="00ED4D49">
        <w:rPr>
          <w:i/>
          <w:iCs/>
          <w:lang w:val="en-US" w:eastAsia="bs-Latn-BA"/>
        </w:rPr>
        <w:t xml:space="preserve">Quercus cerris </w:t>
      </w:r>
      <w:r w:rsidRPr="00ED4D49">
        <w:rPr>
          <w:lang w:val="en-US" w:eastAsia="bs-Latn-BA"/>
        </w:rPr>
        <w:t xml:space="preserve">and </w:t>
      </w:r>
      <w:r w:rsidRPr="00ED4D49">
        <w:rPr>
          <w:i/>
          <w:iCs/>
          <w:lang w:val="en-US" w:eastAsia="bs-Latn-BA"/>
        </w:rPr>
        <w:t xml:space="preserve">Q. petraea or Q. </w:t>
      </w:r>
      <w:proofErr w:type="spellStart"/>
      <w:r w:rsidRPr="00ED4D49">
        <w:rPr>
          <w:i/>
          <w:iCs/>
          <w:lang w:val="en-US" w:eastAsia="bs-Latn-BA"/>
        </w:rPr>
        <w:t>frainetto</w:t>
      </w:r>
      <w:proofErr w:type="spellEnd"/>
      <w:r w:rsidRPr="00ED4D49">
        <w:rPr>
          <w:i/>
          <w:iCs/>
          <w:lang w:val="en-US" w:eastAsia="bs-Latn-BA"/>
        </w:rPr>
        <w:t>)</w:t>
      </w:r>
      <w:r w:rsidRPr="00ED4D49">
        <w:rPr>
          <w:lang w:val="en-US" w:eastAsia="bs-Latn-BA"/>
        </w:rPr>
        <w:t xml:space="preserve">. </w:t>
      </w:r>
    </w:p>
    <w:p w14:paraId="7C31B3C0" w14:textId="44746A69" w:rsidR="00A405B0" w:rsidRPr="00ED4D49" w:rsidRDefault="00A405B0" w:rsidP="00A405B0">
      <w:pPr>
        <w:jc w:val="both"/>
        <w:rPr>
          <w:rFonts w:cs="Calibri"/>
          <w:szCs w:val="20"/>
          <w:lang w:val="en-US" w:eastAsia="bs-Latn-BA"/>
        </w:rPr>
      </w:pPr>
      <w:r w:rsidRPr="00ED4D49">
        <w:rPr>
          <w:rFonts w:cs="Calibri"/>
          <w:szCs w:val="20"/>
          <w:lang w:val="en-US" w:eastAsia="bs-Latn-BA"/>
        </w:rPr>
        <w:t xml:space="preserve">Highly valuable habitats of black pine on the limestone are found in the canyons of </w:t>
      </w:r>
      <w:proofErr w:type="gramStart"/>
      <w:r w:rsidRPr="00ED4D49">
        <w:rPr>
          <w:rFonts w:cs="Calibri"/>
          <w:szCs w:val="20"/>
          <w:lang w:val="en-US" w:eastAsia="bs-Latn-BA"/>
        </w:rPr>
        <w:t>Drina river</w:t>
      </w:r>
      <w:proofErr w:type="gramEnd"/>
      <w:r w:rsidRPr="00ED4D49">
        <w:rPr>
          <w:rFonts w:cs="Calibri"/>
          <w:szCs w:val="20"/>
          <w:lang w:val="en-US" w:eastAsia="bs-Latn-BA"/>
        </w:rPr>
        <w:t xml:space="preserve">. In the rock crevices of canyon black pine builds few </w:t>
      </w:r>
      <w:proofErr w:type="spellStart"/>
      <w:r w:rsidRPr="00ED4D49">
        <w:rPr>
          <w:rFonts w:cs="Calibri"/>
          <w:szCs w:val="20"/>
          <w:lang w:val="en-US" w:eastAsia="bs-Latn-BA"/>
        </w:rPr>
        <w:t>endemo</w:t>
      </w:r>
      <w:proofErr w:type="spellEnd"/>
      <w:r w:rsidRPr="00ED4D49">
        <w:rPr>
          <w:rFonts w:cs="Calibri"/>
          <w:szCs w:val="20"/>
          <w:lang w:val="en-US" w:eastAsia="bs-Latn-BA"/>
        </w:rPr>
        <w:t xml:space="preserve">-relict communities. According to the </w:t>
      </w:r>
      <w:r w:rsidR="00EF5FBF" w:rsidRPr="00ED4D49">
        <w:rPr>
          <w:rFonts w:cs="Calibri"/>
          <w:i/>
          <w:szCs w:val="20"/>
          <w:lang w:val="en-US" w:eastAsia="bs-Latn-BA"/>
        </w:rPr>
        <w:t>“</w:t>
      </w:r>
      <w:r w:rsidRPr="00ED4D49">
        <w:rPr>
          <w:rFonts w:cs="Calibri"/>
          <w:i/>
          <w:szCs w:val="20"/>
          <w:lang w:val="en-US" w:eastAsia="bs-Latn-BA"/>
        </w:rPr>
        <w:t xml:space="preserve">First National Report of BiH </w:t>
      </w:r>
      <w:r w:rsidR="00EF5FBF" w:rsidRPr="00ED4D49">
        <w:rPr>
          <w:rFonts w:cs="Calibri"/>
          <w:i/>
          <w:szCs w:val="20"/>
          <w:lang w:val="en-US" w:eastAsia="bs-Latn-BA"/>
        </w:rPr>
        <w:t>for</w:t>
      </w:r>
      <w:r w:rsidRPr="00ED4D49">
        <w:rPr>
          <w:rFonts w:cs="Calibri"/>
          <w:i/>
          <w:szCs w:val="20"/>
          <w:lang w:val="en-US" w:eastAsia="bs-Latn-BA"/>
        </w:rPr>
        <w:t xml:space="preserve"> the UN Convention on Biological </w:t>
      </w:r>
      <w:proofErr w:type="gramStart"/>
      <w:r w:rsidRPr="00ED4D49">
        <w:rPr>
          <w:rFonts w:cs="Calibri"/>
          <w:i/>
          <w:szCs w:val="20"/>
          <w:lang w:val="en-US" w:eastAsia="bs-Latn-BA"/>
        </w:rPr>
        <w:t>Diversity“</w:t>
      </w:r>
      <w:proofErr w:type="gramEnd"/>
      <w:r w:rsidRPr="00ED4D49">
        <w:rPr>
          <w:rFonts w:cs="Calibri"/>
          <w:i/>
          <w:szCs w:val="20"/>
          <w:lang w:val="en-US" w:eastAsia="bs-Latn-BA"/>
        </w:rPr>
        <w:t xml:space="preserve">, </w:t>
      </w:r>
      <w:r w:rsidRPr="00ED4D49">
        <w:rPr>
          <w:rFonts w:cs="Calibri"/>
          <w:szCs w:val="20"/>
          <w:lang w:val="en-US" w:eastAsia="bs-Latn-BA"/>
        </w:rPr>
        <w:t xml:space="preserve">the uniqueness of biodiversity of </w:t>
      </w:r>
      <w:r w:rsidR="00EF5FBF" w:rsidRPr="00ED4D49">
        <w:rPr>
          <w:rFonts w:cs="Calibri"/>
          <w:szCs w:val="20"/>
          <w:lang w:val="en-US" w:eastAsia="bs-Latn-BA"/>
        </w:rPr>
        <w:t xml:space="preserve">the </w:t>
      </w:r>
      <w:r w:rsidRPr="00ED4D49">
        <w:rPr>
          <w:rFonts w:cs="Calibri"/>
          <w:szCs w:val="20"/>
          <w:lang w:val="en-US" w:eastAsia="bs-Latn-BA"/>
        </w:rPr>
        <w:t xml:space="preserve">Drina </w:t>
      </w:r>
      <w:r w:rsidR="00EF5FBF" w:rsidRPr="00ED4D49">
        <w:rPr>
          <w:rFonts w:cs="Calibri"/>
          <w:szCs w:val="20"/>
          <w:lang w:val="en-US" w:eastAsia="bs-Latn-BA"/>
        </w:rPr>
        <w:t>R</w:t>
      </w:r>
      <w:r w:rsidRPr="00ED4D49">
        <w:rPr>
          <w:rFonts w:cs="Calibri"/>
          <w:szCs w:val="20"/>
          <w:lang w:val="en-US" w:eastAsia="bs-Latn-BA"/>
        </w:rPr>
        <w:t xml:space="preserve">iver is reflected through occurrence of </w:t>
      </w:r>
      <w:proofErr w:type="spellStart"/>
      <w:r w:rsidRPr="00ED4D49">
        <w:rPr>
          <w:rFonts w:cs="Calibri"/>
          <w:szCs w:val="20"/>
          <w:lang w:val="en-US" w:eastAsia="bs-Latn-BA"/>
        </w:rPr>
        <w:t>polydominat</w:t>
      </w:r>
      <w:proofErr w:type="spellEnd"/>
      <w:r w:rsidRPr="00ED4D49">
        <w:rPr>
          <w:rFonts w:cs="Calibri"/>
          <w:szCs w:val="20"/>
          <w:lang w:val="en-US" w:eastAsia="bs-Latn-BA"/>
        </w:rPr>
        <w:t xml:space="preserve"> communities, with over 50 tree species. One of the most famous </w:t>
      </w:r>
      <w:proofErr w:type="spellStart"/>
      <w:r w:rsidRPr="00ED4D49">
        <w:rPr>
          <w:rFonts w:cs="Calibri"/>
          <w:szCs w:val="20"/>
          <w:lang w:val="en-US" w:eastAsia="bs-Latn-BA"/>
        </w:rPr>
        <w:t>polydominant</w:t>
      </w:r>
      <w:proofErr w:type="spellEnd"/>
      <w:r w:rsidRPr="00ED4D49">
        <w:rPr>
          <w:rFonts w:cs="Calibri"/>
          <w:szCs w:val="20"/>
          <w:lang w:val="en-US" w:eastAsia="bs-Latn-BA"/>
        </w:rPr>
        <w:t xml:space="preserve"> communities is </w:t>
      </w:r>
      <w:proofErr w:type="spellStart"/>
      <w:r w:rsidRPr="00ED4D49">
        <w:rPr>
          <w:rFonts w:cs="Calibri"/>
          <w:i/>
          <w:szCs w:val="20"/>
          <w:lang w:val="en-US" w:eastAsia="bs-Latn-BA"/>
        </w:rPr>
        <w:t>Aceri-Tilietum</w:t>
      </w:r>
      <w:proofErr w:type="spellEnd"/>
      <w:r w:rsidRPr="00ED4D49">
        <w:rPr>
          <w:rFonts w:cs="Calibri"/>
          <w:i/>
          <w:szCs w:val="20"/>
          <w:lang w:val="en-US" w:eastAsia="bs-Latn-BA"/>
        </w:rPr>
        <w:t xml:space="preserve"> </w:t>
      </w:r>
      <w:proofErr w:type="spellStart"/>
      <w:r w:rsidRPr="00ED4D49">
        <w:rPr>
          <w:rFonts w:cs="Calibri"/>
          <w:i/>
          <w:szCs w:val="20"/>
          <w:lang w:val="en-US" w:eastAsia="bs-Latn-BA"/>
        </w:rPr>
        <w:t>mixtum</w:t>
      </w:r>
      <w:proofErr w:type="spellEnd"/>
      <w:r w:rsidRPr="00ED4D49">
        <w:rPr>
          <w:rFonts w:cs="Calibri"/>
          <w:szCs w:val="20"/>
          <w:lang w:val="en-US" w:eastAsia="bs-Latn-BA"/>
        </w:rPr>
        <w:t xml:space="preserve"> </w:t>
      </w:r>
      <w:r w:rsidR="00EF5FBF" w:rsidRPr="00ED4D49">
        <w:rPr>
          <w:rFonts w:cs="Calibri"/>
          <w:szCs w:val="20"/>
          <w:lang w:val="en-US" w:eastAsia="bs-Latn-BA"/>
        </w:rPr>
        <w:t>(</w:t>
      </w:r>
      <w:r w:rsidRPr="00ED4D49">
        <w:rPr>
          <w:rFonts w:cs="Calibri"/>
          <w:szCs w:val="20"/>
          <w:lang w:val="en-US" w:eastAsia="bs-Latn-BA"/>
        </w:rPr>
        <w:t>Stefanovi</w:t>
      </w:r>
      <w:r w:rsidR="00C6478C" w:rsidRPr="00ED4D49">
        <w:rPr>
          <w:rFonts w:cs="Calibri"/>
          <w:szCs w:val="20"/>
          <w:lang w:val="en-US" w:eastAsia="bs-Latn-BA"/>
        </w:rPr>
        <w:t>c</w:t>
      </w:r>
      <w:r w:rsidRPr="00ED4D49">
        <w:rPr>
          <w:rFonts w:cs="Calibri"/>
          <w:szCs w:val="20"/>
          <w:lang w:val="en-US" w:eastAsia="bs-Latn-BA"/>
        </w:rPr>
        <w:t>, 1979</w:t>
      </w:r>
      <w:r w:rsidR="00EF5FBF" w:rsidRPr="00ED4D49">
        <w:rPr>
          <w:rFonts w:cs="Calibri"/>
          <w:szCs w:val="20"/>
          <w:lang w:val="en-US" w:eastAsia="bs-Latn-BA"/>
        </w:rPr>
        <w:t>)</w:t>
      </w:r>
      <w:r w:rsidRPr="00ED4D49">
        <w:rPr>
          <w:rFonts w:cs="Calibri"/>
          <w:szCs w:val="20"/>
          <w:lang w:val="en-US" w:eastAsia="bs-Latn-BA"/>
        </w:rPr>
        <w:t xml:space="preserve">. </w:t>
      </w:r>
    </w:p>
    <w:p w14:paraId="19C9CB75" w14:textId="7CEB52BB" w:rsidR="00A405B0" w:rsidRPr="00ED4D49" w:rsidRDefault="00A405B0" w:rsidP="00A405B0">
      <w:pPr>
        <w:jc w:val="both"/>
        <w:rPr>
          <w:rFonts w:cs="Calibri"/>
          <w:szCs w:val="20"/>
          <w:lang w:val="en-US" w:eastAsia="bs-Latn-BA"/>
        </w:rPr>
      </w:pPr>
      <w:r w:rsidRPr="00ED4D49">
        <w:rPr>
          <w:rFonts w:cs="Calibri"/>
          <w:iCs/>
          <w:szCs w:val="20"/>
          <w:lang w:val="en-US" w:eastAsia="bs-Latn-BA"/>
        </w:rPr>
        <w:t xml:space="preserve">This area is inhabited by populations of many </w:t>
      </w:r>
      <w:proofErr w:type="spellStart"/>
      <w:r w:rsidRPr="00ED4D49">
        <w:rPr>
          <w:rFonts w:cs="Calibri"/>
          <w:iCs/>
          <w:szCs w:val="20"/>
          <w:lang w:val="en-US" w:eastAsia="bs-Latn-BA"/>
        </w:rPr>
        <w:t>stenoendemic</w:t>
      </w:r>
      <w:proofErr w:type="spellEnd"/>
      <w:r w:rsidRPr="00ED4D49">
        <w:rPr>
          <w:rFonts w:cs="Calibri"/>
          <w:iCs/>
          <w:szCs w:val="20"/>
          <w:lang w:val="en-US" w:eastAsia="bs-Latn-BA"/>
        </w:rPr>
        <w:t xml:space="preserve"> and endemic species. The most famous </w:t>
      </w:r>
      <w:r w:rsidRPr="00ED4D49">
        <w:rPr>
          <w:rFonts w:cs="Calibri"/>
          <w:szCs w:val="20"/>
          <w:lang w:val="en-US" w:eastAsia="bs-Latn-BA"/>
        </w:rPr>
        <w:t xml:space="preserve">endemic </w:t>
      </w:r>
      <w:r w:rsidRPr="00ED4D49">
        <w:rPr>
          <w:rFonts w:cs="Calibri"/>
          <w:iCs/>
          <w:szCs w:val="20"/>
          <w:lang w:val="en-US" w:eastAsia="bs-Latn-BA"/>
        </w:rPr>
        <w:t xml:space="preserve">species </w:t>
      </w:r>
      <w:r w:rsidRPr="00ED4D49">
        <w:rPr>
          <w:rFonts w:cs="Calibri"/>
          <w:szCs w:val="20"/>
          <w:lang w:val="en-US" w:eastAsia="bs-Latn-BA"/>
        </w:rPr>
        <w:t xml:space="preserve">located in BiH along the Drina </w:t>
      </w:r>
      <w:r w:rsidR="00EF5FBF" w:rsidRPr="00ED4D49">
        <w:rPr>
          <w:rFonts w:cs="Calibri"/>
          <w:szCs w:val="20"/>
          <w:lang w:val="en-US" w:eastAsia="bs-Latn-BA"/>
        </w:rPr>
        <w:t xml:space="preserve">River </w:t>
      </w:r>
      <w:r w:rsidRPr="00ED4D49">
        <w:rPr>
          <w:rFonts w:cs="Calibri"/>
          <w:iCs/>
          <w:szCs w:val="20"/>
          <w:lang w:val="en-US" w:eastAsia="bs-Latn-BA"/>
        </w:rPr>
        <w:t>is</w:t>
      </w:r>
      <w:r w:rsidRPr="00ED4D49">
        <w:rPr>
          <w:rFonts w:cs="Calibri"/>
          <w:i/>
          <w:iCs/>
          <w:szCs w:val="20"/>
          <w:lang w:val="en-US" w:eastAsia="bs-Latn-BA"/>
        </w:rPr>
        <w:t xml:space="preserve"> Picea </w:t>
      </w:r>
      <w:proofErr w:type="spellStart"/>
      <w:r w:rsidRPr="00ED4D49">
        <w:rPr>
          <w:rFonts w:cs="Calibri"/>
          <w:i/>
          <w:iCs/>
          <w:szCs w:val="20"/>
          <w:lang w:val="en-US" w:eastAsia="bs-Latn-BA"/>
        </w:rPr>
        <w:t>omorika</w:t>
      </w:r>
      <w:proofErr w:type="spellEnd"/>
      <w:r w:rsidRPr="00ED4D49">
        <w:rPr>
          <w:rFonts w:cs="Calibri"/>
          <w:i/>
          <w:iCs/>
          <w:szCs w:val="20"/>
          <w:lang w:val="en-US" w:eastAsia="bs-Latn-BA"/>
        </w:rPr>
        <w:t xml:space="preserve"> </w:t>
      </w:r>
      <w:r w:rsidRPr="00ED4D49">
        <w:rPr>
          <w:rFonts w:cs="Calibri"/>
          <w:szCs w:val="20"/>
          <w:lang w:val="en-US" w:eastAsia="bs-Latn-BA"/>
        </w:rPr>
        <w:t>(</w:t>
      </w:r>
      <w:proofErr w:type="spellStart"/>
      <w:r w:rsidRPr="00ED4D49">
        <w:rPr>
          <w:rFonts w:cs="Calibri"/>
          <w:szCs w:val="20"/>
          <w:lang w:val="en-US" w:eastAsia="bs-Latn-BA"/>
        </w:rPr>
        <w:t>Pan</w:t>
      </w:r>
      <w:r w:rsidR="00A7018E" w:rsidRPr="00ED4D49">
        <w:rPr>
          <w:rFonts w:cs="Calibri"/>
          <w:szCs w:val="20"/>
          <w:lang w:val="en-US" w:eastAsia="bs-Latn-BA"/>
        </w:rPr>
        <w:t>c</w:t>
      </w:r>
      <w:r w:rsidRPr="00ED4D49">
        <w:rPr>
          <w:rFonts w:cs="Calibri"/>
          <w:szCs w:val="20"/>
          <w:lang w:val="en-US" w:eastAsia="bs-Latn-BA"/>
        </w:rPr>
        <w:t>i</w:t>
      </w:r>
      <w:r w:rsidR="00C6478C" w:rsidRPr="00ED4D49">
        <w:rPr>
          <w:rFonts w:cs="Calibri"/>
          <w:szCs w:val="20"/>
          <w:lang w:val="en-US" w:eastAsia="bs-Latn-BA"/>
        </w:rPr>
        <w:t>c</w:t>
      </w:r>
      <w:proofErr w:type="spellEnd"/>
      <w:r w:rsidRPr="00ED4D49">
        <w:rPr>
          <w:rFonts w:cs="Calibri"/>
          <w:szCs w:val="20"/>
          <w:lang w:val="en-US" w:eastAsia="bs-Latn-BA"/>
        </w:rPr>
        <w:t xml:space="preserve">) Purk. </w:t>
      </w:r>
      <w:r w:rsidR="00EF5FBF" w:rsidRPr="00ED4D49">
        <w:rPr>
          <w:rFonts w:cs="Calibri"/>
          <w:szCs w:val="20"/>
          <w:lang w:val="en-US" w:eastAsia="bs-Latn-BA"/>
        </w:rPr>
        <w:t xml:space="preserve">The </w:t>
      </w:r>
      <w:r w:rsidRPr="00ED4D49">
        <w:rPr>
          <w:rFonts w:cs="Calibri"/>
          <w:i/>
          <w:szCs w:val="20"/>
          <w:lang w:val="en-US" w:eastAsia="bs-Latn-BA"/>
        </w:rPr>
        <w:t xml:space="preserve">Picea </w:t>
      </w:r>
      <w:proofErr w:type="spellStart"/>
      <w:r w:rsidRPr="00ED4D49">
        <w:rPr>
          <w:rFonts w:cs="Calibri"/>
          <w:i/>
          <w:szCs w:val="20"/>
          <w:lang w:val="en-US" w:eastAsia="bs-Latn-BA"/>
        </w:rPr>
        <w:t>omorika</w:t>
      </w:r>
      <w:proofErr w:type="spellEnd"/>
      <w:r w:rsidRPr="00ED4D49">
        <w:rPr>
          <w:rFonts w:cs="Calibri"/>
          <w:szCs w:val="20"/>
          <w:lang w:val="en-US" w:eastAsia="bs-Latn-BA"/>
        </w:rPr>
        <w:t xml:space="preserve"> </w:t>
      </w:r>
      <w:r w:rsidR="00EF5FBF" w:rsidRPr="00ED4D49">
        <w:rPr>
          <w:rFonts w:cs="Calibri"/>
          <w:szCs w:val="20"/>
          <w:lang w:val="en-US" w:eastAsia="bs-Latn-BA"/>
        </w:rPr>
        <w:t xml:space="preserve">population </w:t>
      </w:r>
      <w:r w:rsidRPr="00ED4D49">
        <w:rPr>
          <w:rFonts w:cs="Calibri"/>
          <w:szCs w:val="20"/>
          <w:lang w:val="en-US" w:eastAsia="bs-Latn-BA"/>
        </w:rPr>
        <w:t xml:space="preserve">is still decreasing in </w:t>
      </w:r>
      <w:r w:rsidR="00EF5FBF" w:rsidRPr="00ED4D49">
        <w:rPr>
          <w:rFonts w:cs="Calibri"/>
          <w:szCs w:val="20"/>
          <w:lang w:val="en-US" w:eastAsia="bs-Latn-BA"/>
        </w:rPr>
        <w:t>BiH</w:t>
      </w:r>
      <w:r w:rsidRPr="00ED4D49">
        <w:rPr>
          <w:rFonts w:cs="Calibri"/>
          <w:szCs w:val="20"/>
          <w:lang w:val="en-US" w:eastAsia="bs-Latn-BA"/>
        </w:rPr>
        <w:t xml:space="preserve"> (IUNCN status: near </w:t>
      </w:r>
      <w:r w:rsidRPr="00ED4D49">
        <w:rPr>
          <w:lang w:val="en-US"/>
        </w:rPr>
        <w:t>threatened</w:t>
      </w:r>
      <w:r w:rsidRPr="00ED4D49">
        <w:rPr>
          <w:rFonts w:cs="Calibri"/>
          <w:szCs w:val="20"/>
          <w:lang w:val="en-US" w:eastAsia="bs-Latn-BA"/>
        </w:rPr>
        <w:t xml:space="preserve">) and conservation actions are needed. </w:t>
      </w:r>
    </w:p>
    <w:p w14:paraId="6D8F00F9" w14:textId="2027915D" w:rsidR="00A405B0" w:rsidRPr="00ED4D49" w:rsidRDefault="00A405B0" w:rsidP="00A405B0">
      <w:pPr>
        <w:jc w:val="both"/>
        <w:rPr>
          <w:rFonts w:cs="Calibri"/>
          <w:i/>
          <w:iCs/>
          <w:szCs w:val="20"/>
          <w:lang w:val="en-US" w:eastAsia="bs-Latn-BA"/>
        </w:rPr>
      </w:pPr>
      <w:r w:rsidRPr="00ED4D49">
        <w:rPr>
          <w:rFonts w:cs="Calibri"/>
          <w:szCs w:val="20"/>
          <w:lang w:val="en-US" w:eastAsia="bs-Latn-BA"/>
        </w:rPr>
        <w:t xml:space="preserve">According to the </w:t>
      </w:r>
      <w:r w:rsidR="006A372F" w:rsidRPr="00ED4D49">
        <w:rPr>
          <w:rFonts w:cs="Calibri"/>
          <w:i/>
          <w:szCs w:val="20"/>
          <w:lang w:val="en-US" w:eastAsia="bs-Latn-BA"/>
        </w:rPr>
        <w:t>“</w:t>
      </w:r>
      <w:r w:rsidRPr="00ED4D49">
        <w:rPr>
          <w:rFonts w:cs="Calibri"/>
          <w:i/>
          <w:szCs w:val="20"/>
          <w:lang w:val="en-US" w:eastAsia="bs-Latn-BA"/>
        </w:rPr>
        <w:t xml:space="preserve">First National Report of BiH </w:t>
      </w:r>
      <w:r w:rsidR="006A372F" w:rsidRPr="00ED4D49">
        <w:rPr>
          <w:rFonts w:cs="Calibri"/>
          <w:i/>
          <w:szCs w:val="20"/>
          <w:lang w:val="en-US" w:eastAsia="bs-Latn-BA"/>
        </w:rPr>
        <w:t>for</w:t>
      </w:r>
      <w:r w:rsidRPr="00ED4D49">
        <w:rPr>
          <w:rFonts w:cs="Calibri"/>
          <w:i/>
          <w:szCs w:val="20"/>
          <w:lang w:val="en-US" w:eastAsia="bs-Latn-BA"/>
        </w:rPr>
        <w:t xml:space="preserve"> the UN Convention on Biological </w:t>
      </w:r>
      <w:proofErr w:type="gramStart"/>
      <w:r w:rsidRPr="00ED4D49">
        <w:rPr>
          <w:rFonts w:cs="Calibri"/>
          <w:i/>
          <w:szCs w:val="20"/>
          <w:lang w:val="en-US" w:eastAsia="bs-Latn-BA"/>
        </w:rPr>
        <w:t>Diversity“</w:t>
      </w:r>
      <w:proofErr w:type="gramEnd"/>
      <w:r w:rsidR="006A372F" w:rsidRPr="00ED4D49">
        <w:rPr>
          <w:rFonts w:cs="Calibri"/>
          <w:i/>
          <w:szCs w:val="20"/>
          <w:lang w:val="en-US" w:eastAsia="bs-Latn-BA"/>
        </w:rPr>
        <w:t>,</w:t>
      </w:r>
      <w:r w:rsidRPr="00ED4D49">
        <w:rPr>
          <w:rFonts w:cs="Calibri"/>
          <w:szCs w:val="20"/>
          <w:lang w:val="en-US" w:eastAsia="bs-Latn-BA"/>
        </w:rPr>
        <w:t xml:space="preserve"> other examples of plants in tertiary refugia of </w:t>
      </w:r>
      <w:r w:rsidR="0001332B" w:rsidRPr="00ED4D49">
        <w:rPr>
          <w:rFonts w:cs="Calibri"/>
          <w:szCs w:val="20"/>
          <w:lang w:val="en-US" w:eastAsia="bs-Latn-BA"/>
        </w:rPr>
        <w:t>the DRB</w:t>
      </w:r>
      <w:r w:rsidRPr="00ED4D49">
        <w:rPr>
          <w:rFonts w:cs="Calibri"/>
          <w:szCs w:val="20"/>
          <w:lang w:val="en-US" w:eastAsia="bs-Latn-BA"/>
        </w:rPr>
        <w:t xml:space="preserve"> are: </w:t>
      </w:r>
      <w:r w:rsidRPr="00ED4D49">
        <w:rPr>
          <w:rFonts w:cs="Calibri"/>
          <w:i/>
          <w:iCs/>
          <w:szCs w:val="20"/>
          <w:lang w:val="en-US" w:eastAsia="bs-Latn-BA"/>
        </w:rPr>
        <w:t xml:space="preserve">Daphne </w:t>
      </w:r>
      <w:proofErr w:type="spellStart"/>
      <w:r w:rsidRPr="00ED4D49">
        <w:rPr>
          <w:rFonts w:cs="Calibri"/>
          <w:i/>
          <w:iCs/>
          <w:szCs w:val="20"/>
          <w:lang w:val="en-US" w:eastAsia="bs-Latn-BA"/>
        </w:rPr>
        <w:t>malyana</w:t>
      </w:r>
      <w:proofErr w:type="spellEnd"/>
      <w:r w:rsidRPr="00ED4D49">
        <w:rPr>
          <w:rFonts w:cs="Calibri"/>
          <w:i/>
          <w:iCs/>
          <w:szCs w:val="20"/>
          <w:lang w:val="en-US" w:eastAsia="bs-Latn-BA"/>
        </w:rPr>
        <w:t xml:space="preserve">, Saxifraga </w:t>
      </w:r>
      <w:proofErr w:type="spellStart"/>
      <w:r w:rsidRPr="00ED4D49">
        <w:rPr>
          <w:rFonts w:cs="Calibri"/>
          <w:i/>
          <w:iCs/>
          <w:szCs w:val="20"/>
          <w:lang w:val="en-US" w:eastAsia="bs-Latn-BA"/>
        </w:rPr>
        <w:t>rocheliana</w:t>
      </w:r>
      <w:proofErr w:type="spellEnd"/>
      <w:r w:rsidRPr="00ED4D49">
        <w:rPr>
          <w:rFonts w:cs="Calibri"/>
          <w:i/>
          <w:iCs/>
          <w:szCs w:val="20"/>
          <w:lang w:val="en-US" w:eastAsia="bs-Latn-BA"/>
        </w:rPr>
        <w:t xml:space="preserve">, Centaurea </w:t>
      </w:r>
      <w:proofErr w:type="spellStart"/>
      <w:r w:rsidRPr="00ED4D49">
        <w:rPr>
          <w:rFonts w:cs="Calibri"/>
          <w:i/>
          <w:iCs/>
          <w:szCs w:val="20"/>
          <w:lang w:val="en-US" w:eastAsia="bs-Latn-BA"/>
        </w:rPr>
        <w:t>incompta</w:t>
      </w:r>
      <w:proofErr w:type="spellEnd"/>
      <w:r w:rsidRPr="00ED4D49">
        <w:rPr>
          <w:rFonts w:cs="Calibri"/>
          <w:i/>
          <w:iCs/>
          <w:szCs w:val="20"/>
          <w:lang w:val="en-US" w:eastAsia="bs-Latn-BA"/>
        </w:rPr>
        <w:t xml:space="preserve">, Dianthus </w:t>
      </w:r>
      <w:proofErr w:type="spellStart"/>
      <w:r w:rsidRPr="00ED4D49">
        <w:rPr>
          <w:rFonts w:cs="Calibri"/>
          <w:i/>
          <w:iCs/>
          <w:szCs w:val="20"/>
          <w:lang w:val="en-US" w:eastAsia="bs-Latn-BA"/>
        </w:rPr>
        <w:t>kitaibelii</w:t>
      </w:r>
      <w:proofErr w:type="spellEnd"/>
      <w:r w:rsidRPr="00ED4D49">
        <w:rPr>
          <w:rFonts w:cs="Calibri"/>
          <w:i/>
          <w:iCs/>
          <w:szCs w:val="20"/>
          <w:lang w:val="en-US" w:eastAsia="bs-Latn-BA"/>
        </w:rPr>
        <w:t xml:space="preserve">, </w:t>
      </w:r>
      <w:proofErr w:type="spellStart"/>
      <w:r w:rsidRPr="00ED4D49">
        <w:rPr>
          <w:rFonts w:cs="Calibri"/>
          <w:i/>
          <w:iCs/>
          <w:szCs w:val="20"/>
          <w:lang w:val="en-US" w:eastAsia="bs-Latn-BA"/>
        </w:rPr>
        <w:t>Cerastium</w:t>
      </w:r>
      <w:proofErr w:type="spellEnd"/>
      <w:r w:rsidRPr="00ED4D49">
        <w:rPr>
          <w:rFonts w:cs="Calibri"/>
          <w:i/>
          <w:iCs/>
          <w:szCs w:val="20"/>
          <w:lang w:val="en-US" w:eastAsia="bs-Latn-BA"/>
        </w:rPr>
        <w:t xml:space="preserve"> </w:t>
      </w:r>
      <w:proofErr w:type="spellStart"/>
      <w:r w:rsidRPr="00ED4D49">
        <w:rPr>
          <w:rFonts w:cs="Calibri"/>
          <w:i/>
          <w:iCs/>
          <w:szCs w:val="20"/>
          <w:lang w:val="en-US" w:eastAsia="bs-Latn-BA"/>
        </w:rPr>
        <w:t>lanatum</w:t>
      </w:r>
      <w:proofErr w:type="spellEnd"/>
      <w:r w:rsidRPr="00ED4D49">
        <w:rPr>
          <w:rFonts w:cs="Calibri"/>
          <w:i/>
          <w:iCs/>
          <w:szCs w:val="20"/>
          <w:lang w:val="en-US" w:eastAsia="bs-Latn-BA"/>
        </w:rPr>
        <w:t xml:space="preserve">, Centaurea </w:t>
      </w:r>
      <w:proofErr w:type="spellStart"/>
      <w:r w:rsidRPr="00ED4D49">
        <w:rPr>
          <w:rFonts w:cs="Calibri"/>
          <w:i/>
          <w:iCs/>
          <w:szCs w:val="20"/>
          <w:lang w:val="en-US" w:eastAsia="bs-Latn-BA"/>
        </w:rPr>
        <w:t>derventana</w:t>
      </w:r>
      <w:proofErr w:type="spellEnd"/>
      <w:r w:rsidRPr="00ED4D49">
        <w:rPr>
          <w:rFonts w:cs="Calibri"/>
          <w:i/>
          <w:iCs/>
          <w:szCs w:val="20"/>
          <w:lang w:val="en-US" w:eastAsia="bs-Latn-BA"/>
        </w:rPr>
        <w:t xml:space="preserve">, Aquilegia grata, </w:t>
      </w:r>
      <w:proofErr w:type="spellStart"/>
      <w:r w:rsidRPr="00ED4D49">
        <w:rPr>
          <w:rFonts w:cs="Calibri"/>
          <w:i/>
          <w:iCs/>
          <w:szCs w:val="20"/>
          <w:lang w:val="en-US" w:eastAsia="bs-Latn-BA"/>
        </w:rPr>
        <w:t>Amphoricarpus</w:t>
      </w:r>
      <w:proofErr w:type="spellEnd"/>
      <w:r w:rsidRPr="00ED4D49">
        <w:rPr>
          <w:rFonts w:cs="Calibri"/>
          <w:i/>
          <w:iCs/>
          <w:szCs w:val="20"/>
          <w:lang w:val="en-US" w:eastAsia="bs-Latn-BA"/>
        </w:rPr>
        <w:t xml:space="preserve"> </w:t>
      </w:r>
      <w:proofErr w:type="spellStart"/>
      <w:r w:rsidRPr="00ED4D49">
        <w:rPr>
          <w:rFonts w:cs="Calibri"/>
          <w:i/>
          <w:iCs/>
          <w:szCs w:val="20"/>
          <w:lang w:val="en-US" w:eastAsia="bs-Latn-BA"/>
        </w:rPr>
        <w:t>autariatus</w:t>
      </w:r>
      <w:proofErr w:type="spellEnd"/>
      <w:r w:rsidRPr="00ED4D49">
        <w:rPr>
          <w:rFonts w:cs="Calibri"/>
          <w:i/>
          <w:iCs/>
          <w:szCs w:val="20"/>
          <w:lang w:val="en-US" w:eastAsia="bs-Latn-BA"/>
        </w:rPr>
        <w:t xml:space="preserve">, Valeriana </w:t>
      </w:r>
      <w:proofErr w:type="spellStart"/>
      <w:r w:rsidRPr="00ED4D49">
        <w:rPr>
          <w:rFonts w:cs="Calibri"/>
          <w:i/>
          <w:iCs/>
          <w:szCs w:val="20"/>
          <w:lang w:val="en-US" w:eastAsia="bs-Latn-BA"/>
        </w:rPr>
        <w:t>braun-blanquetii</w:t>
      </w:r>
      <w:proofErr w:type="spellEnd"/>
      <w:r w:rsidRPr="00ED4D49">
        <w:rPr>
          <w:rFonts w:cs="Calibri"/>
          <w:i/>
          <w:iCs/>
          <w:szCs w:val="20"/>
          <w:lang w:val="en-US" w:eastAsia="bs-Latn-BA"/>
        </w:rPr>
        <w:t xml:space="preserve">, Campanula </w:t>
      </w:r>
      <w:proofErr w:type="spellStart"/>
      <w:r w:rsidRPr="00ED4D49">
        <w:rPr>
          <w:rFonts w:cs="Calibri"/>
          <w:i/>
          <w:iCs/>
          <w:szCs w:val="20"/>
          <w:lang w:val="en-US" w:eastAsia="bs-Latn-BA"/>
        </w:rPr>
        <w:t>balcanica</w:t>
      </w:r>
      <w:proofErr w:type="spellEnd"/>
      <w:r w:rsidRPr="00ED4D49">
        <w:rPr>
          <w:rFonts w:cs="Calibri"/>
          <w:i/>
          <w:iCs/>
          <w:szCs w:val="20"/>
          <w:lang w:val="en-US" w:eastAsia="bs-Latn-BA"/>
        </w:rPr>
        <w:t xml:space="preserve">, Adenophora </w:t>
      </w:r>
      <w:proofErr w:type="spellStart"/>
      <w:r w:rsidRPr="00ED4D49">
        <w:rPr>
          <w:rFonts w:cs="Calibri"/>
          <w:i/>
          <w:iCs/>
          <w:szCs w:val="20"/>
          <w:lang w:val="en-US" w:eastAsia="bs-Latn-BA"/>
        </w:rPr>
        <w:t>liliifolia</w:t>
      </w:r>
      <w:proofErr w:type="spellEnd"/>
      <w:r w:rsidRPr="00ED4D49">
        <w:rPr>
          <w:rFonts w:cs="Calibri"/>
          <w:i/>
          <w:iCs/>
          <w:szCs w:val="20"/>
          <w:lang w:val="en-US" w:eastAsia="bs-Latn-BA"/>
        </w:rPr>
        <w:t xml:space="preserve">, Cirsium </w:t>
      </w:r>
      <w:proofErr w:type="spellStart"/>
      <w:r w:rsidRPr="00ED4D49">
        <w:rPr>
          <w:rFonts w:cs="Calibri"/>
          <w:i/>
          <w:iCs/>
          <w:szCs w:val="20"/>
          <w:lang w:val="en-US" w:eastAsia="bs-Latn-BA"/>
        </w:rPr>
        <w:t>wettsteinii</w:t>
      </w:r>
      <w:proofErr w:type="spellEnd"/>
      <w:r w:rsidRPr="00ED4D49">
        <w:rPr>
          <w:rFonts w:cs="Calibri"/>
          <w:i/>
          <w:iCs/>
          <w:szCs w:val="20"/>
          <w:lang w:val="en-US" w:eastAsia="bs-Latn-BA"/>
        </w:rPr>
        <w:t xml:space="preserve">, </w:t>
      </w:r>
      <w:proofErr w:type="spellStart"/>
      <w:r w:rsidRPr="00ED4D49">
        <w:rPr>
          <w:rFonts w:cs="Calibri"/>
          <w:i/>
          <w:iCs/>
          <w:szCs w:val="20"/>
          <w:lang w:val="en-US" w:eastAsia="bs-Latn-BA"/>
        </w:rPr>
        <w:t>Cicerbita</w:t>
      </w:r>
      <w:proofErr w:type="spellEnd"/>
      <w:r w:rsidRPr="00ED4D49">
        <w:rPr>
          <w:rFonts w:cs="Calibri"/>
          <w:i/>
          <w:iCs/>
          <w:szCs w:val="20"/>
          <w:lang w:val="en-US" w:eastAsia="bs-Latn-BA"/>
        </w:rPr>
        <w:t xml:space="preserve"> </w:t>
      </w:r>
      <w:proofErr w:type="spellStart"/>
      <w:r w:rsidRPr="00ED4D49">
        <w:rPr>
          <w:rFonts w:cs="Calibri"/>
          <w:i/>
          <w:iCs/>
          <w:szCs w:val="20"/>
          <w:lang w:val="en-US" w:eastAsia="bs-Latn-BA"/>
        </w:rPr>
        <w:t>pancicii</w:t>
      </w:r>
      <w:proofErr w:type="spellEnd"/>
      <w:r w:rsidRPr="00ED4D49">
        <w:rPr>
          <w:rFonts w:cs="Calibri"/>
          <w:i/>
          <w:iCs/>
          <w:szCs w:val="20"/>
          <w:lang w:val="en-US" w:eastAsia="bs-Latn-BA"/>
        </w:rPr>
        <w:t xml:space="preserve">, </w:t>
      </w:r>
      <w:proofErr w:type="spellStart"/>
      <w:r w:rsidRPr="00ED4D49">
        <w:rPr>
          <w:rFonts w:cs="Calibri"/>
          <w:i/>
          <w:iCs/>
          <w:szCs w:val="20"/>
          <w:lang w:val="en-US" w:eastAsia="bs-Latn-BA"/>
        </w:rPr>
        <w:t>Melampyrum</w:t>
      </w:r>
      <w:proofErr w:type="spellEnd"/>
      <w:r w:rsidRPr="00ED4D49">
        <w:rPr>
          <w:rFonts w:cs="Calibri"/>
          <w:i/>
          <w:iCs/>
          <w:szCs w:val="20"/>
          <w:lang w:val="en-US" w:eastAsia="bs-Latn-BA"/>
        </w:rPr>
        <w:t xml:space="preserve"> </w:t>
      </w:r>
      <w:proofErr w:type="spellStart"/>
      <w:r w:rsidRPr="00ED4D49">
        <w:rPr>
          <w:rFonts w:cs="Calibri"/>
          <w:i/>
          <w:iCs/>
          <w:szCs w:val="20"/>
          <w:lang w:val="en-US" w:eastAsia="bs-Latn-BA"/>
        </w:rPr>
        <w:t>hoermanianum</w:t>
      </w:r>
      <w:proofErr w:type="spellEnd"/>
      <w:r w:rsidRPr="00ED4D49">
        <w:rPr>
          <w:rFonts w:cs="Calibri"/>
          <w:i/>
          <w:iCs/>
          <w:szCs w:val="20"/>
          <w:lang w:val="en-US" w:eastAsia="bs-Latn-BA"/>
        </w:rPr>
        <w:t xml:space="preserve">, Teucrium </w:t>
      </w:r>
      <w:proofErr w:type="spellStart"/>
      <w:r w:rsidRPr="00ED4D49">
        <w:rPr>
          <w:rFonts w:cs="Calibri"/>
          <w:i/>
          <w:iCs/>
          <w:szCs w:val="20"/>
          <w:lang w:val="en-US" w:eastAsia="bs-Latn-BA"/>
        </w:rPr>
        <w:t>arduini</w:t>
      </w:r>
      <w:proofErr w:type="spellEnd"/>
      <w:r w:rsidRPr="00ED4D49">
        <w:rPr>
          <w:rFonts w:cs="Calibri"/>
          <w:i/>
          <w:iCs/>
          <w:szCs w:val="20"/>
          <w:lang w:val="en-US" w:eastAsia="bs-Latn-BA"/>
        </w:rPr>
        <w:t xml:space="preserve">, Iris </w:t>
      </w:r>
      <w:proofErr w:type="spellStart"/>
      <w:r w:rsidRPr="00ED4D49">
        <w:rPr>
          <w:rFonts w:cs="Calibri"/>
          <w:i/>
          <w:iCs/>
          <w:szCs w:val="20"/>
          <w:lang w:val="en-US" w:eastAsia="bs-Latn-BA"/>
        </w:rPr>
        <w:t>bosniaca</w:t>
      </w:r>
      <w:proofErr w:type="spellEnd"/>
      <w:r w:rsidR="0001332B" w:rsidRPr="00ED4D49">
        <w:rPr>
          <w:rFonts w:cs="Calibri"/>
          <w:i/>
          <w:iCs/>
          <w:szCs w:val="20"/>
          <w:lang w:val="en-US" w:eastAsia="bs-Latn-BA"/>
        </w:rPr>
        <w:t>,</w:t>
      </w:r>
      <w:r w:rsidRPr="00ED4D49">
        <w:rPr>
          <w:rFonts w:cs="Calibri"/>
          <w:i/>
          <w:iCs/>
          <w:szCs w:val="20"/>
          <w:lang w:val="en-US" w:eastAsia="bs-Latn-BA"/>
        </w:rPr>
        <w:t xml:space="preserve"> </w:t>
      </w:r>
      <w:r w:rsidRPr="00ED4D49">
        <w:rPr>
          <w:rFonts w:cs="Calibri"/>
          <w:szCs w:val="20"/>
          <w:lang w:val="en-US" w:eastAsia="bs-Latn-BA"/>
        </w:rPr>
        <w:t xml:space="preserve">etc. </w:t>
      </w:r>
    </w:p>
    <w:p w14:paraId="22253683" w14:textId="31181E70" w:rsidR="00A405B0" w:rsidRPr="00ED4D49" w:rsidRDefault="007D0749" w:rsidP="00A405B0">
      <w:pPr>
        <w:jc w:val="both"/>
        <w:rPr>
          <w:rFonts w:cs="Calibri"/>
          <w:color w:val="000000"/>
          <w:szCs w:val="20"/>
          <w:lang w:val="en-US" w:eastAsia="bs-Latn-BA"/>
        </w:rPr>
      </w:pPr>
      <w:r w:rsidRPr="00ED4D49">
        <w:rPr>
          <w:rFonts w:cs="Calibri"/>
          <w:color w:val="000000"/>
          <w:szCs w:val="20"/>
          <w:lang w:val="en-US" w:eastAsia="bs-Latn-BA"/>
        </w:rPr>
        <w:lastRenderedPageBreak/>
        <w:t>S</w:t>
      </w:r>
      <w:r w:rsidR="00A405B0" w:rsidRPr="00ED4D49">
        <w:rPr>
          <w:rFonts w:cs="Calibri"/>
          <w:color w:val="000000"/>
          <w:szCs w:val="20"/>
          <w:lang w:val="en-US" w:eastAsia="bs-Latn-BA"/>
        </w:rPr>
        <w:t xml:space="preserve">ignificant species </w:t>
      </w:r>
      <w:r w:rsidRPr="00ED4D49">
        <w:rPr>
          <w:rFonts w:cs="Calibri"/>
          <w:color w:val="000000"/>
          <w:szCs w:val="20"/>
          <w:lang w:val="en-US" w:eastAsia="bs-Latn-BA"/>
        </w:rPr>
        <w:t xml:space="preserve">in the economic sense </w:t>
      </w:r>
      <w:r w:rsidR="00A405B0" w:rsidRPr="00ED4D49">
        <w:rPr>
          <w:rFonts w:cs="Calibri"/>
          <w:color w:val="000000"/>
          <w:szCs w:val="20"/>
          <w:lang w:val="en-US" w:eastAsia="bs-Latn-BA"/>
        </w:rPr>
        <w:t xml:space="preserve">along the riverside are wild cherry, apple tree, common </w:t>
      </w:r>
      <w:r w:rsidR="00AA7453" w:rsidRPr="00ED4D49">
        <w:rPr>
          <w:rFonts w:cs="Calibri"/>
          <w:color w:val="000000"/>
          <w:szCs w:val="20"/>
          <w:lang w:val="en-US" w:eastAsia="bs-Latn-BA"/>
        </w:rPr>
        <w:t>plum</w:t>
      </w:r>
      <w:r w:rsidR="00A405B0" w:rsidRPr="00ED4D49">
        <w:rPr>
          <w:rFonts w:cs="Calibri"/>
          <w:color w:val="000000"/>
          <w:szCs w:val="20"/>
          <w:lang w:val="en-US" w:eastAsia="bs-Latn-BA"/>
        </w:rPr>
        <w:t xml:space="preserve"> tree, rock</w:t>
      </w:r>
      <w:r w:rsidR="00934506" w:rsidRPr="00ED4D49">
        <w:rPr>
          <w:rFonts w:cs="Calibri"/>
          <w:color w:val="000000"/>
          <w:szCs w:val="20"/>
          <w:lang w:val="en-US" w:eastAsia="bs-Latn-BA"/>
        </w:rPr>
        <w:t xml:space="preserve"> c</w:t>
      </w:r>
      <w:r w:rsidR="00A405B0" w:rsidRPr="00ED4D49">
        <w:rPr>
          <w:rFonts w:cs="Calibri"/>
          <w:color w:val="000000"/>
          <w:szCs w:val="20"/>
          <w:lang w:val="en-US" w:eastAsia="bs-Latn-BA"/>
        </w:rPr>
        <w:t xml:space="preserve">herry, European mountain ash, </w:t>
      </w:r>
      <w:r w:rsidR="00AD5D4A" w:rsidRPr="00ED4D49">
        <w:rPr>
          <w:rFonts w:cs="Calibri"/>
          <w:color w:val="000000"/>
          <w:szCs w:val="20"/>
          <w:lang w:val="en-US" w:eastAsia="bs-Latn-BA"/>
        </w:rPr>
        <w:t>raspberry</w:t>
      </w:r>
      <w:r w:rsidR="00A405B0" w:rsidRPr="00ED4D49">
        <w:rPr>
          <w:rFonts w:cs="Calibri"/>
          <w:color w:val="000000"/>
          <w:szCs w:val="20"/>
          <w:lang w:val="en-US" w:eastAsia="bs-Latn-BA"/>
        </w:rPr>
        <w:t xml:space="preserve">, black berry, walnut tree. </w:t>
      </w:r>
    </w:p>
    <w:p w14:paraId="3B2C7E8B" w14:textId="77777777" w:rsidR="00A405B0" w:rsidRPr="00ED4D49" w:rsidRDefault="00A405B0" w:rsidP="00793996">
      <w:pPr>
        <w:spacing w:after="0"/>
        <w:jc w:val="both"/>
        <w:rPr>
          <w:rStyle w:val="tlid-translation"/>
          <w:color w:val="1F497D"/>
          <w:lang w:val="en-US"/>
        </w:rPr>
      </w:pPr>
      <w:r w:rsidRPr="00ED4D49">
        <w:rPr>
          <w:rStyle w:val="tlid-translation"/>
          <w:color w:val="1F497D"/>
          <w:lang w:val="en-US"/>
        </w:rPr>
        <w:t>Fauna</w:t>
      </w:r>
    </w:p>
    <w:p w14:paraId="34FF67C0" w14:textId="54057C33" w:rsidR="00A405B0" w:rsidRPr="00ED4D49" w:rsidRDefault="00A405B0" w:rsidP="00A405B0">
      <w:pPr>
        <w:jc w:val="both"/>
        <w:rPr>
          <w:rFonts w:cs="Calibri"/>
          <w:szCs w:val="20"/>
          <w:lang w:val="en-US"/>
        </w:rPr>
      </w:pPr>
      <w:r w:rsidRPr="00ED4D49">
        <w:rPr>
          <w:rFonts w:cs="Calibri"/>
          <w:szCs w:val="20"/>
          <w:lang w:val="en-US"/>
        </w:rPr>
        <w:t>Due to</w:t>
      </w:r>
      <w:r w:rsidR="00AD5D4A" w:rsidRPr="00ED4D49">
        <w:rPr>
          <w:rFonts w:cs="Calibri"/>
          <w:szCs w:val="20"/>
          <w:lang w:val="en-US"/>
        </w:rPr>
        <w:t xml:space="preserve"> a</w:t>
      </w:r>
      <w:r w:rsidRPr="00ED4D49">
        <w:rPr>
          <w:rFonts w:cs="Calibri"/>
          <w:szCs w:val="20"/>
          <w:lang w:val="en-US"/>
        </w:rPr>
        <w:t xml:space="preserve"> high variety of habitats, the DRB in BiH </w:t>
      </w:r>
      <w:r w:rsidR="007D0749" w:rsidRPr="00ED4D49">
        <w:rPr>
          <w:rFonts w:cs="Calibri"/>
          <w:szCs w:val="20"/>
          <w:lang w:val="en-US"/>
        </w:rPr>
        <w:t>has</w:t>
      </w:r>
      <w:r w:rsidRPr="00ED4D49">
        <w:rPr>
          <w:rFonts w:cs="Calibri"/>
          <w:szCs w:val="20"/>
          <w:lang w:val="en-US"/>
        </w:rPr>
        <w:t xml:space="preserve"> a large variety of fauna, including fish, birds, amphibians, mammals and insects.</w:t>
      </w:r>
    </w:p>
    <w:p w14:paraId="453BEEA4" w14:textId="290DBA78" w:rsidR="00A405B0" w:rsidRPr="00ED4D49" w:rsidRDefault="00A405B0" w:rsidP="00A405B0">
      <w:pPr>
        <w:jc w:val="both"/>
        <w:rPr>
          <w:rFonts w:cs="Calibri"/>
          <w:szCs w:val="20"/>
          <w:lang w:val="en-US" w:eastAsia="bs-Latn-BA"/>
        </w:rPr>
      </w:pPr>
      <w:r w:rsidRPr="00ED4D49">
        <w:rPr>
          <w:rFonts w:cs="Calibri"/>
          <w:szCs w:val="20"/>
          <w:lang w:val="en-US" w:eastAsia="bs-Latn-BA"/>
        </w:rPr>
        <w:t xml:space="preserve">Based on </w:t>
      </w:r>
      <w:r w:rsidR="00793996" w:rsidRPr="00ED4D49">
        <w:rPr>
          <w:rFonts w:cs="Calibri"/>
          <w:szCs w:val="20"/>
          <w:lang w:val="en-US" w:eastAsia="bs-Latn-BA"/>
        </w:rPr>
        <w:t>the</w:t>
      </w:r>
      <w:r w:rsidRPr="00ED4D49">
        <w:rPr>
          <w:rFonts w:cs="Calibri"/>
          <w:szCs w:val="20"/>
          <w:lang w:val="en-US" w:eastAsia="bs-Latn-BA"/>
        </w:rPr>
        <w:t xml:space="preserve"> </w:t>
      </w:r>
      <w:r w:rsidR="007D0749" w:rsidRPr="00ED4D49">
        <w:rPr>
          <w:rFonts w:cs="Calibri"/>
          <w:i/>
          <w:szCs w:val="20"/>
          <w:lang w:val="en-US" w:eastAsia="bs-Latn-BA"/>
        </w:rPr>
        <w:t>“</w:t>
      </w:r>
      <w:r w:rsidRPr="00ED4D49">
        <w:rPr>
          <w:rFonts w:cs="Calibri"/>
          <w:i/>
          <w:szCs w:val="20"/>
          <w:lang w:val="en-US" w:eastAsia="bs-Latn-BA"/>
        </w:rPr>
        <w:t xml:space="preserve">Support to water </w:t>
      </w:r>
      <w:r w:rsidR="00793996" w:rsidRPr="00ED4D49">
        <w:rPr>
          <w:rFonts w:cs="Calibri"/>
          <w:i/>
          <w:szCs w:val="20"/>
          <w:lang w:val="en-US" w:eastAsia="bs-Latn-BA"/>
        </w:rPr>
        <w:t>resources</w:t>
      </w:r>
      <w:r w:rsidRPr="00ED4D49">
        <w:rPr>
          <w:rFonts w:cs="Calibri"/>
          <w:i/>
          <w:szCs w:val="20"/>
          <w:lang w:val="en-US" w:eastAsia="bs-Latn-BA"/>
        </w:rPr>
        <w:t xml:space="preserve"> management in the </w:t>
      </w:r>
      <w:r w:rsidR="007D0749" w:rsidRPr="00ED4D49">
        <w:rPr>
          <w:rFonts w:cs="Calibri"/>
          <w:i/>
          <w:szCs w:val="20"/>
          <w:lang w:val="en-US" w:eastAsia="bs-Latn-BA"/>
        </w:rPr>
        <w:t>DRB for BiH</w:t>
      </w:r>
      <w:r w:rsidR="001A1227" w:rsidRPr="00ED4D49">
        <w:rPr>
          <w:rFonts w:cs="Calibri"/>
          <w:i/>
          <w:szCs w:val="20"/>
          <w:lang w:val="en-US" w:eastAsia="bs-Latn-BA"/>
        </w:rPr>
        <w:t>”</w:t>
      </w:r>
      <w:r w:rsidR="007D0749" w:rsidRPr="00ED4D49">
        <w:rPr>
          <w:rFonts w:cs="Calibri"/>
          <w:i/>
          <w:szCs w:val="20"/>
          <w:lang w:val="en-US" w:eastAsia="bs-Latn-BA"/>
        </w:rPr>
        <w:t xml:space="preserve"> </w:t>
      </w:r>
      <w:r w:rsidR="007D0749" w:rsidRPr="00ED4D49">
        <w:rPr>
          <w:rFonts w:cs="Calibri"/>
          <w:szCs w:val="20"/>
          <w:lang w:val="en-US" w:eastAsia="bs-Latn-BA"/>
        </w:rPr>
        <w:t>report,</w:t>
      </w:r>
      <w:r w:rsidRPr="00ED4D49">
        <w:rPr>
          <w:rFonts w:cs="Calibri"/>
          <w:szCs w:val="20"/>
          <w:lang w:val="en-US" w:eastAsia="bs-Latn-BA"/>
        </w:rPr>
        <w:t xml:space="preserve"> the most important fish species in the region is the Danube Salmon (</w:t>
      </w:r>
      <w:proofErr w:type="spellStart"/>
      <w:r w:rsidRPr="00ED4D49">
        <w:rPr>
          <w:rFonts w:cs="Calibri"/>
          <w:i/>
          <w:iCs/>
          <w:szCs w:val="20"/>
          <w:lang w:val="en-US" w:eastAsia="bs-Latn-BA"/>
        </w:rPr>
        <w:t>Hucho</w:t>
      </w:r>
      <w:proofErr w:type="spellEnd"/>
      <w:r w:rsidRPr="00ED4D49">
        <w:rPr>
          <w:rFonts w:cs="Calibri"/>
          <w:i/>
          <w:iCs/>
          <w:szCs w:val="20"/>
          <w:lang w:val="en-US" w:eastAsia="bs-Latn-BA"/>
        </w:rPr>
        <w:t xml:space="preserve"> </w:t>
      </w:r>
      <w:proofErr w:type="spellStart"/>
      <w:r w:rsidRPr="00ED4D49">
        <w:rPr>
          <w:rFonts w:cs="Calibri"/>
          <w:i/>
          <w:iCs/>
          <w:szCs w:val="20"/>
          <w:lang w:val="en-US" w:eastAsia="bs-Latn-BA"/>
        </w:rPr>
        <w:t>hucho</w:t>
      </w:r>
      <w:proofErr w:type="spellEnd"/>
      <w:r w:rsidRPr="00ED4D49">
        <w:rPr>
          <w:rFonts w:cs="Calibri"/>
          <w:i/>
          <w:iCs/>
          <w:szCs w:val="20"/>
          <w:lang w:val="en-US" w:eastAsia="bs-Latn-BA"/>
        </w:rPr>
        <w:t xml:space="preserve">), </w:t>
      </w:r>
      <w:r w:rsidRPr="00ED4D49">
        <w:rPr>
          <w:rFonts w:cs="Calibri"/>
          <w:szCs w:val="20"/>
          <w:lang w:val="en-US" w:eastAsia="bs-Latn-BA"/>
        </w:rPr>
        <w:t xml:space="preserve">whose migration routes are interrupted by dams, and whose populations are showing a disrupted structure, whilst the overall population size has decreased significantly. It </w:t>
      </w:r>
      <w:r w:rsidR="00521F0B" w:rsidRPr="00ED4D49">
        <w:rPr>
          <w:rFonts w:cs="Calibri"/>
          <w:szCs w:val="20"/>
          <w:lang w:val="en-US" w:eastAsia="bs-Latn-BA"/>
        </w:rPr>
        <w:t>should be</w:t>
      </w:r>
      <w:r w:rsidRPr="00ED4D49">
        <w:rPr>
          <w:rFonts w:cs="Calibri"/>
          <w:szCs w:val="20"/>
          <w:lang w:val="en-US" w:eastAsia="bs-Latn-BA"/>
        </w:rPr>
        <w:t xml:space="preserve"> note</w:t>
      </w:r>
      <w:r w:rsidR="00521F0B" w:rsidRPr="00ED4D49">
        <w:rPr>
          <w:rFonts w:cs="Calibri"/>
          <w:szCs w:val="20"/>
          <w:lang w:val="en-US" w:eastAsia="bs-Latn-BA"/>
        </w:rPr>
        <w:t>d</w:t>
      </w:r>
      <w:r w:rsidRPr="00ED4D49">
        <w:rPr>
          <w:rFonts w:cs="Calibri"/>
          <w:szCs w:val="20"/>
          <w:lang w:val="en-US" w:eastAsia="bs-Latn-BA"/>
        </w:rPr>
        <w:t xml:space="preserve"> that </w:t>
      </w:r>
      <w:r w:rsidR="00793996" w:rsidRPr="00ED4D49">
        <w:rPr>
          <w:rFonts w:cs="Calibri"/>
          <w:szCs w:val="20"/>
          <w:lang w:val="en-US" w:eastAsia="bs-Latn-BA"/>
        </w:rPr>
        <w:t>the</w:t>
      </w:r>
      <w:r w:rsidRPr="00ED4D49">
        <w:rPr>
          <w:rFonts w:cs="Calibri"/>
          <w:szCs w:val="20"/>
          <w:lang w:val="en-US" w:eastAsia="bs-Latn-BA"/>
        </w:rPr>
        <w:t xml:space="preserve"> Danube Salmon is one of the most endangered European fish species (IUCN Red List)</w:t>
      </w:r>
      <w:r w:rsidR="00793996" w:rsidRPr="00ED4D49">
        <w:rPr>
          <w:rFonts w:cs="Calibri"/>
          <w:szCs w:val="20"/>
          <w:lang w:val="en-US" w:eastAsia="bs-Latn-BA"/>
        </w:rPr>
        <w:t xml:space="preserve"> and</w:t>
      </w:r>
      <w:r w:rsidRPr="00ED4D49">
        <w:rPr>
          <w:rFonts w:cs="Calibri"/>
          <w:szCs w:val="20"/>
          <w:lang w:val="en-US" w:eastAsia="bs-Latn-BA"/>
        </w:rPr>
        <w:t xml:space="preserve"> endemic for </w:t>
      </w:r>
      <w:r w:rsidR="00793996" w:rsidRPr="00ED4D49">
        <w:rPr>
          <w:rFonts w:cs="Calibri"/>
          <w:szCs w:val="20"/>
          <w:lang w:val="en-US" w:eastAsia="bs-Latn-BA"/>
        </w:rPr>
        <w:t xml:space="preserve">the </w:t>
      </w:r>
      <w:r w:rsidRPr="00ED4D49">
        <w:rPr>
          <w:rFonts w:cs="Calibri"/>
          <w:szCs w:val="20"/>
          <w:lang w:val="en-US" w:eastAsia="bs-Latn-BA"/>
        </w:rPr>
        <w:t xml:space="preserve">Danube drainage. </w:t>
      </w:r>
      <w:r w:rsidR="00793996" w:rsidRPr="00ED4D49">
        <w:rPr>
          <w:rFonts w:cs="Calibri"/>
          <w:szCs w:val="20"/>
          <w:lang w:val="en-US" w:eastAsia="bs-Latn-BA"/>
        </w:rPr>
        <w:t xml:space="preserve">The </w:t>
      </w:r>
      <w:r w:rsidRPr="00ED4D49">
        <w:rPr>
          <w:rFonts w:cs="Calibri"/>
          <w:szCs w:val="20"/>
          <w:lang w:val="en-US" w:eastAsia="bs-Latn-BA"/>
        </w:rPr>
        <w:t>Drina River is a very important habitat for this species. Other fish species along the Drina River are rainbow trout (</w:t>
      </w:r>
      <w:r w:rsidRPr="00ED4D49">
        <w:rPr>
          <w:rFonts w:cs="Calibri"/>
          <w:i/>
          <w:szCs w:val="20"/>
          <w:shd w:val="clear" w:color="auto" w:fill="FFFFFF"/>
          <w:lang w:val="en-US"/>
        </w:rPr>
        <w:t>Oncorhynchus mykiss</w:t>
      </w:r>
      <w:r w:rsidRPr="00ED4D49">
        <w:rPr>
          <w:rFonts w:cs="Calibri"/>
          <w:szCs w:val="20"/>
          <w:shd w:val="clear" w:color="auto" w:fill="FFFFFF"/>
          <w:lang w:val="en-US"/>
        </w:rPr>
        <w:t>)</w:t>
      </w:r>
      <w:r w:rsidRPr="00ED4D49">
        <w:rPr>
          <w:rFonts w:cs="Calibri"/>
          <w:szCs w:val="20"/>
          <w:lang w:val="en-US" w:eastAsia="bs-Latn-BA"/>
        </w:rPr>
        <w:t>, grayling (</w:t>
      </w:r>
      <w:proofErr w:type="spellStart"/>
      <w:r w:rsidRPr="00ED4D49">
        <w:rPr>
          <w:rFonts w:cs="Calibri"/>
          <w:i/>
          <w:iCs/>
          <w:szCs w:val="20"/>
          <w:lang w:val="en-US" w:eastAsia="bs-Latn-BA"/>
        </w:rPr>
        <w:t>Thymalus</w:t>
      </w:r>
      <w:proofErr w:type="spellEnd"/>
      <w:r w:rsidRPr="00ED4D49">
        <w:rPr>
          <w:rFonts w:cs="Calibri"/>
          <w:i/>
          <w:iCs/>
          <w:szCs w:val="20"/>
          <w:lang w:val="en-US" w:eastAsia="bs-Latn-BA"/>
        </w:rPr>
        <w:t xml:space="preserve"> </w:t>
      </w:r>
      <w:proofErr w:type="spellStart"/>
      <w:r w:rsidRPr="00ED4D49">
        <w:rPr>
          <w:rFonts w:cs="Calibri"/>
          <w:i/>
          <w:iCs/>
          <w:szCs w:val="20"/>
          <w:lang w:val="en-US" w:eastAsia="bs-Latn-BA"/>
        </w:rPr>
        <w:t>thymalus</w:t>
      </w:r>
      <w:proofErr w:type="spellEnd"/>
      <w:r w:rsidRPr="00ED4D49">
        <w:rPr>
          <w:rFonts w:cs="Calibri"/>
          <w:i/>
          <w:iCs/>
          <w:szCs w:val="20"/>
          <w:lang w:val="en-US" w:eastAsia="bs-Latn-BA"/>
        </w:rPr>
        <w:t>)</w:t>
      </w:r>
      <w:r w:rsidRPr="00ED4D49">
        <w:rPr>
          <w:rFonts w:cs="Calibri"/>
          <w:szCs w:val="20"/>
          <w:lang w:val="en-US" w:eastAsia="bs-Latn-BA"/>
        </w:rPr>
        <w:t>, brown trout (</w:t>
      </w:r>
      <w:r w:rsidRPr="00ED4D49">
        <w:rPr>
          <w:rFonts w:cs="Calibri"/>
          <w:i/>
          <w:iCs/>
          <w:szCs w:val="20"/>
          <w:lang w:val="en-US" w:eastAsia="bs-Latn-BA"/>
        </w:rPr>
        <w:t xml:space="preserve">Salmo </w:t>
      </w:r>
      <w:proofErr w:type="spellStart"/>
      <w:r w:rsidRPr="00ED4D49">
        <w:rPr>
          <w:rFonts w:cs="Calibri"/>
          <w:i/>
          <w:iCs/>
          <w:szCs w:val="20"/>
          <w:lang w:val="en-US" w:eastAsia="bs-Latn-BA"/>
        </w:rPr>
        <w:t>labrax</w:t>
      </w:r>
      <w:proofErr w:type="spellEnd"/>
      <w:r w:rsidRPr="00ED4D49">
        <w:rPr>
          <w:rFonts w:cs="Calibri"/>
          <w:i/>
          <w:iCs/>
          <w:szCs w:val="20"/>
          <w:lang w:val="en-US" w:eastAsia="bs-Latn-BA"/>
        </w:rPr>
        <w:t>)</w:t>
      </w:r>
      <w:r w:rsidRPr="00ED4D49">
        <w:rPr>
          <w:rFonts w:cs="Calibri"/>
          <w:szCs w:val="20"/>
          <w:lang w:val="en-US"/>
        </w:rPr>
        <w:t>, the European mudminnow (</w:t>
      </w:r>
      <w:r w:rsidRPr="00ED4D49">
        <w:rPr>
          <w:rFonts w:cs="Calibri"/>
          <w:i/>
          <w:szCs w:val="20"/>
          <w:lang w:val="en-US"/>
        </w:rPr>
        <w:t xml:space="preserve">Umbra </w:t>
      </w:r>
      <w:proofErr w:type="spellStart"/>
      <w:r w:rsidRPr="00ED4D49">
        <w:rPr>
          <w:rFonts w:cs="Calibri"/>
          <w:i/>
          <w:szCs w:val="20"/>
          <w:lang w:val="en-US"/>
        </w:rPr>
        <w:t>krameri</w:t>
      </w:r>
      <w:proofErr w:type="spellEnd"/>
      <w:r w:rsidRPr="00ED4D49">
        <w:rPr>
          <w:rFonts w:cs="Calibri"/>
          <w:szCs w:val="20"/>
          <w:lang w:val="en-US"/>
        </w:rPr>
        <w:t xml:space="preserve"> (found only in </w:t>
      </w:r>
      <w:proofErr w:type="spellStart"/>
      <w:r w:rsidRPr="00ED4D49">
        <w:rPr>
          <w:rFonts w:cs="Calibri"/>
          <w:szCs w:val="20"/>
          <w:lang w:val="en-US"/>
        </w:rPr>
        <w:t>Gromi</w:t>
      </w:r>
      <w:r w:rsidR="00C6478C" w:rsidRPr="00ED4D49">
        <w:rPr>
          <w:rFonts w:cs="Calibri"/>
          <w:szCs w:val="20"/>
          <w:lang w:val="en-US"/>
        </w:rPr>
        <w:t>z</w:t>
      </w:r>
      <w:r w:rsidRPr="00ED4D49">
        <w:rPr>
          <w:rFonts w:cs="Calibri"/>
          <w:szCs w:val="20"/>
          <w:lang w:val="en-US"/>
        </w:rPr>
        <w:t>elj</w:t>
      </w:r>
      <w:proofErr w:type="spellEnd"/>
      <w:r w:rsidRPr="00ED4D49">
        <w:rPr>
          <w:rFonts w:cs="Calibri"/>
          <w:szCs w:val="20"/>
          <w:lang w:val="en-US"/>
        </w:rPr>
        <w:t xml:space="preserve">)), </w:t>
      </w:r>
      <w:r w:rsidRPr="00ED4D49">
        <w:rPr>
          <w:rFonts w:cs="Calibri"/>
          <w:szCs w:val="20"/>
          <w:lang w:val="en-US" w:eastAsia="bs-Latn-BA"/>
        </w:rPr>
        <w:t>Arctic char (</w:t>
      </w:r>
      <w:r w:rsidRPr="00ED4D49">
        <w:rPr>
          <w:rFonts w:cs="Calibri"/>
          <w:i/>
          <w:szCs w:val="20"/>
          <w:shd w:val="clear" w:color="auto" w:fill="FFFFFF"/>
          <w:lang w:val="en-US"/>
        </w:rPr>
        <w:t xml:space="preserve">Salvelinus </w:t>
      </w:r>
      <w:proofErr w:type="spellStart"/>
      <w:r w:rsidRPr="00ED4D49">
        <w:rPr>
          <w:rFonts w:cs="Calibri"/>
          <w:i/>
          <w:szCs w:val="20"/>
          <w:shd w:val="clear" w:color="auto" w:fill="FFFFFF"/>
          <w:lang w:val="en-US"/>
        </w:rPr>
        <w:t>alpinus</w:t>
      </w:r>
      <w:proofErr w:type="spellEnd"/>
      <w:r w:rsidRPr="00ED4D49">
        <w:rPr>
          <w:rFonts w:cs="Calibri"/>
          <w:szCs w:val="20"/>
          <w:shd w:val="clear" w:color="auto" w:fill="FFFFFF"/>
          <w:lang w:val="en-US"/>
        </w:rPr>
        <w:t>)</w:t>
      </w:r>
      <w:r w:rsidR="00793996" w:rsidRPr="00ED4D49">
        <w:rPr>
          <w:rFonts w:cs="Calibri"/>
          <w:szCs w:val="20"/>
          <w:shd w:val="clear" w:color="auto" w:fill="FFFFFF"/>
          <w:lang w:val="en-US"/>
        </w:rPr>
        <w:t>,</w:t>
      </w:r>
      <w:r w:rsidRPr="00ED4D49">
        <w:rPr>
          <w:rFonts w:cs="Calibri"/>
          <w:szCs w:val="20"/>
          <w:shd w:val="clear" w:color="auto" w:fill="FFFFFF"/>
          <w:lang w:val="en-US"/>
        </w:rPr>
        <w:t xml:space="preserve"> etc.</w:t>
      </w:r>
    </w:p>
    <w:p w14:paraId="273EE4C5" w14:textId="7FB51AE0" w:rsidR="00A405B0" w:rsidRPr="00ED4D49" w:rsidRDefault="00A405B0" w:rsidP="00A405B0">
      <w:pPr>
        <w:jc w:val="both"/>
        <w:rPr>
          <w:rFonts w:cs="Calibri"/>
          <w:szCs w:val="20"/>
          <w:lang w:val="en-US"/>
        </w:rPr>
      </w:pPr>
      <w:r w:rsidRPr="00ED4D49">
        <w:rPr>
          <w:rFonts w:cs="Calibri"/>
          <w:szCs w:val="20"/>
          <w:lang w:val="en-US"/>
        </w:rPr>
        <w:t xml:space="preserve">It is important to emphasize that great number of endemic forms and tertiary relicts is </w:t>
      </w:r>
      <w:r w:rsidR="00793996" w:rsidRPr="00ED4D49">
        <w:rPr>
          <w:rFonts w:cs="Calibri"/>
          <w:szCs w:val="20"/>
          <w:lang w:val="en-US"/>
        </w:rPr>
        <w:t xml:space="preserve">found </w:t>
      </w:r>
      <w:r w:rsidRPr="00ED4D49">
        <w:rPr>
          <w:rFonts w:cs="Calibri"/>
          <w:szCs w:val="20"/>
          <w:lang w:val="en-US"/>
        </w:rPr>
        <w:t>among insects (</w:t>
      </w:r>
      <w:proofErr w:type="spellStart"/>
      <w:r w:rsidRPr="00ED4D49">
        <w:rPr>
          <w:rFonts w:cs="Calibri"/>
          <w:szCs w:val="20"/>
          <w:lang w:val="en-US"/>
        </w:rPr>
        <w:t>Psychodidae</w:t>
      </w:r>
      <w:proofErr w:type="spellEnd"/>
      <w:r w:rsidRPr="00ED4D49">
        <w:rPr>
          <w:rFonts w:cs="Calibri"/>
          <w:szCs w:val="20"/>
          <w:lang w:val="en-US"/>
        </w:rPr>
        <w:t xml:space="preserve">, Ephemeroptera, </w:t>
      </w:r>
      <w:proofErr w:type="spellStart"/>
      <w:r w:rsidRPr="00ED4D49">
        <w:rPr>
          <w:rFonts w:cs="Calibri"/>
          <w:szCs w:val="20"/>
          <w:lang w:val="en-US"/>
        </w:rPr>
        <w:t>Plecoptera</w:t>
      </w:r>
      <w:proofErr w:type="spellEnd"/>
      <w:r w:rsidRPr="00ED4D49">
        <w:rPr>
          <w:rFonts w:cs="Calibri"/>
          <w:szCs w:val="20"/>
          <w:lang w:val="en-US"/>
        </w:rPr>
        <w:t xml:space="preserve">, </w:t>
      </w:r>
      <w:proofErr w:type="spellStart"/>
      <w:r w:rsidRPr="00ED4D49">
        <w:rPr>
          <w:rFonts w:cs="Calibri"/>
          <w:szCs w:val="20"/>
          <w:lang w:val="en-US"/>
        </w:rPr>
        <w:t>Trichoptera</w:t>
      </w:r>
      <w:proofErr w:type="spellEnd"/>
      <w:r w:rsidRPr="00ED4D49">
        <w:rPr>
          <w:rFonts w:cs="Calibri"/>
          <w:szCs w:val="20"/>
          <w:lang w:val="en-US"/>
        </w:rPr>
        <w:t xml:space="preserve">, Orthoptera, Rhopalocera). </w:t>
      </w:r>
    </w:p>
    <w:p w14:paraId="32DB0F37" w14:textId="59EC74F3" w:rsidR="00A405B0" w:rsidRPr="00ED4D49" w:rsidRDefault="00A405B0" w:rsidP="00A405B0">
      <w:pPr>
        <w:jc w:val="both"/>
        <w:rPr>
          <w:lang w:val="en-US"/>
        </w:rPr>
      </w:pPr>
      <w:r w:rsidRPr="00ED4D49">
        <w:rPr>
          <w:lang w:val="en-US"/>
        </w:rPr>
        <w:t>During the field research</w:t>
      </w:r>
      <w:r w:rsidR="00CA428C" w:rsidRPr="00ED4D49">
        <w:rPr>
          <w:lang w:val="en-US"/>
        </w:rPr>
        <w:t xml:space="preserve"> on</w:t>
      </w:r>
      <w:r w:rsidRPr="00ED4D49">
        <w:rPr>
          <w:lang w:val="en-US"/>
        </w:rPr>
        <w:t xml:space="preserve"> </w:t>
      </w:r>
      <w:r w:rsidR="00CA428C" w:rsidRPr="00ED4D49">
        <w:rPr>
          <w:i/>
          <w:lang w:val="en-US"/>
        </w:rPr>
        <w:t>“</w:t>
      </w:r>
      <w:r w:rsidRPr="00ED4D49">
        <w:rPr>
          <w:i/>
          <w:lang w:val="en-US"/>
        </w:rPr>
        <w:t xml:space="preserve">Morphometrics characters of </w:t>
      </w:r>
      <w:proofErr w:type="spellStart"/>
      <w:r w:rsidRPr="00ED4D49">
        <w:rPr>
          <w:i/>
          <w:lang w:val="en-US"/>
        </w:rPr>
        <w:t>Astacus</w:t>
      </w:r>
      <w:proofErr w:type="spellEnd"/>
      <w:r w:rsidRPr="00ED4D49">
        <w:rPr>
          <w:i/>
          <w:lang w:val="en-US"/>
        </w:rPr>
        <w:t xml:space="preserve"> </w:t>
      </w:r>
      <w:proofErr w:type="spellStart"/>
      <w:r w:rsidRPr="00ED4D49">
        <w:rPr>
          <w:i/>
          <w:lang w:val="en-US"/>
        </w:rPr>
        <w:t>astacus</w:t>
      </w:r>
      <w:proofErr w:type="spellEnd"/>
      <w:r w:rsidRPr="00ED4D49">
        <w:rPr>
          <w:i/>
          <w:lang w:val="en-US"/>
        </w:rPr>
        <w:t xml:space="preserve"> L. (</w:t>
      </w:r>
      <w:proofErr w:type="spellStart"/>
      <w:r w:rsidRPr="00ED4D49">
        <w:rPr>
          <w:i/>
          <w:lang w:val="en-US"/>
        </w:rPr>
        <w:t>Astacidae</w:t>
      </w:r>
      <w:proofErr w:type="spellEnd"/>
      <w:r w:rsidRPr="00ED4D49">
        <w:rPr>
          <w:i/>
          <w:lang w:val="en-US"/>
        </w:rPr>
        <w:t xml:space="preserve">) from the </w:t>
      </w:r>
      <w:proofErr w:type="spellStart"/>
      <w:r w:rsidRPr="00ED4D49">
        <w:rPr>
          <w:i/>
          <w:lang w:val="en-US"/>
        </w:rPr>
        <w:t>Pra</w:t>
      </w:r>
      <w:r w:rsidR="00A7018E" w:rsidRPr="00ED4D49">
        <w:rPr>
          <w:i/>
          <w:lang w:val="en-US"/>
        </w:rPr>
        <w:t>c</w:t>
      </w:r>
      <w:r w:rsidRPr="00ED4D49">
        <w:rPr>
          <w:i/>
          <w:lang w:val="en-US"/>
        </w:rPr>
        <w:t>a</w:t>
      </w:r>
      <w:proofErr w:type="spellEnd"/>
      <w:r w:rsidRPr="00ED4D49">
        <w:rPr>
          <w:i/>
          <w:lang w:val="en-US"/>
        </w:rPr>
        <w:t xml:space="preserve"> River</w:t>
      </w:r>
      <w:r w:rsidR="00680411" w:rsidRPr="00ED4D49">
        <w:rPr>
          <w:i/>
          <w:lang w:val="en-US"/>
        </w:rPr>
        <w:t>”,</w:t>
      </w:r>
      <w:r w:rsidRPr="00ED4D49">
        <w:rPr>
          <w:lang w:val="en-US"/>
        </w:rPr>
        <w:t xml:space="preserve"> </w:t>
      </w:r>
      <w:r w:rsidRPr="00ED4D49">
        <w:rPr>
          <w:rFonts w:cs="Calibri"/>
          <w:szCs w:val="20"/>
          <w:shd w:val="clear" w:color="auto" w:fill="FFFFFF"/>
          <w:lang w:val="en-US"/>
        </w:rPr>
        <w:t>European crayfish</w:t>
      </w:r>
      <w:r w:rsidRPr="00ED4D49">
        <w:rPr>
          <w:rFonts w:cs="Calibri"/>
          <w:i/>
          <w:iCs/>
          <w:szCs w:val="20"/>
          <w:lang w:val="en-US" w:eastAsia="bs-Latn-BA"/>
        </w:rPr>
        <w:t xml:space="preserve"> (</w:t>
      </w:r>
      <w:proofErr w:type="spellStart"/>
      <w:r w:rsidRPr="00ED4D49">
        <w:rPr>
          <w:rFonts w:cs="Calibri"/>
          <w:i/>
          <w:iCs/>
          <w:szCs w:val="20"/>
          <w:lang w:val="en-US" w:eastAsia="bs-Latn-BA"/>
        </w:rPr>
        <w:t>Astacus</w:t>
      </w:r>
      <w:proofErr w:type="spellEnd"/>
      <w:r w:rsidRPr="00ED4D49">
        <w:rPr>
          <w:rFonts w:cs="Calibri"/>
          <w:i/>
          <w:iCs/>
          <w:szCs w:val="20"/>
          <w:lang w:val="en-US" w:eastAsia="bs-Latn-BA"/>
        </w:rPr>
        <w:t xml:space="preserve"> </w:t>
      </w:r>
      <w:proofErr w:type="spellStart"/>
      <w:r w:rsidRPr="00ED4D49">
        <w:rPr>
          <w:rFonts w:cs="Calibri"/>
          <w:i/>
          <w:iCs/>
          <w:szCs w:val="20"/>
          <w:lang w:val="en-US" w:eastAsia="bs-Latn-BA"/>
        </w:rPr>
        <w:t>astacus</w:t>
      </w:r>
      <w:proofErr w:type="spellEnd"/>
      <w:r w:rsidRPr="00ED4D49">
        <w:rPr>
          <w:rFonts w:cs="Calibri"/>
          <w:i/>
          <w:iCs/>
          <w:color w:val="1B1C20"/>
          <w:szCs w:val="20"/>
          <w:lang w:val="en-US" w:eastAsia="bs-Latn-BA"/>
        </w:rPr>
        <w:t xml:space="preserve">) </w:t>
      </w:r>
      <w:r w:rsidR="00680411" w:rsidRPr="00ED4D49">
        <w:rPr>
          <w:rFonts w:cs="Calibri"/>
          <w:color w:val="1B1C20"/>
          <w:szCs w:val="20"/>
          <w:lang w:val="en-US" w:eastAsia="bs-Latn-BA"/>
        </w:rPr>
        <w:t>was</w:t>
      </w:r>
      <w:r w:rsidRPr="00ED4D49">
        <w:rPr>
          <w:rFonts w:cs="Calibri"/>
          <w:color w:val="1B1C20"/>
          <w:szCs w:val="20"/>
          <w:lang w:val="en-US" w:eastAsia="bs-Latn-BA"/>
        </w:rPr>
        <w:t xml:space="preserve"> found in a dense population in </w:t>
      </w:r>
      <w:r w:rsidR="00680411" w:rsidRPr="00ED4D49">
        <w:rPr>
          <w:rFonts w:cs="Calibri"/>
          <w:color w:val="1B1C20"/>
          <w:szCs w:val="20"/>
          <w:lang w:val="en-US" w:eastAsia="bs-Latn-BA"/>
        </w:rPr>
        <w:t xml:space="preserve">the </w:t>
      </w:r>
      <w:r w:rsidRPr="00ED4D49">
        <w:rPr>
          <w:rFonts w:cs="Calibri"/>
          <w:color w:val="1B1C20"/>
          <w:szCs w:val="20"/>
          <w:lang w:val="en-US" w:eastAsia="bs-Latn-BA"/>
        </w:rPr>
        <w:t xml:space="preserve">waters of the </w:t>
      </w:r>
      <w:r w:rsidR="00680411" w:rsidRPr="00ED4D49">
        <w:rPr>
          <w:rFonts w:cs="Calibri"/>
          <w:color w:val="1B1C20"/>
          <w:szCs w:val="20"/>
          <w:lang w:val="en-US" w:eastAsia="bs-Latn-BA"/>
        </w:rPr>
        <w:t xml:space="preserve">DRB </w:t>
      </w:r>
      <w:r w:rsidRPr="00ED4D49">
        <w:rPr>
          <w:rFonts w:cs="Calibri"/>
          <w:color w:val="1B1C20"/>
          <w:szCs w:val="20"/>
          <w:lang w:val="en-US" w:eastAsia="bs-Latn-BA"/>
        </w:rPr>
        <w:t>(</w:t>
      </w:r>
      <w:r w:rsidR="00793996" w:rsidRPr="00ED4D49">
        <w:rPr>
          <w:rFonts w:cs="Calibri"/>
          <w:color w:val="1B1C20"/>
          <w:szCs w:val="20"/>
          <w:lang w:val="en-US" w:eastAsia="bs-Latn-BA"/>
        </w:rPr>
        <w:t xml:space="preserve">in </w:t>
      </w:r>
      <w:r w:rsidR="00680411" w:rsidRPr="00ED4D49">
        <w:rPr>
          <w:rFonts w:cs="Calibri"/>
          <w:color w:val="1B1C20"/>
          <w:szCs w:val="20"/>
          <w:lang w:val="en-US" w:eastAsia="bs-Latn-BA"/>
        </w:rPr>
        <w:t xml:space="preserve">the </w:t>
      </w:r>
      <w:r w:rsidR="00793996" w:rsidRPr="00ED4D49">
        <w:rPr>
          <w:rFonts w:cs="Calibri"/>
          <w:color w:val="1B1C20"/>
          <w:szCs w:val="20"/>
          <w:lang w:val="en-US" w:eastAsia="bs-Latn-BA"/>
        </w:rPr>
        <w:t>form of</w:t>
      </w:r>
      <w:r w:rsidRPr="00ED4D49">
        <w:rPr>
          <w:rFonts w:cs="Calibri"/>
          <w:color w:val="1B1C20"/>
          <w:szCs w:val="20"/>
          <w:lang w:val="en-US" w:eastAsia="bs-Latn-BA"/>
        </w:rPr>
        <w:t xml:space="preserve"> river and lake populations)</w:t>
      </w:r>
      <w:r w:rsidR="00680411" w:rsidRPr="00ED4D49">
        <w:rPr>
          <w:rFonts w:cs="Calibri"/>
          <w:color w:val="1B1C20"/>
          <w:szCs w:val="20"/>
          <w:lang w:val="en-US" w:eastAsia="bs-Latn-BA"/>
        </w:rPr>
        <w:t>. A</w:t>
      </w:r>
      <w:r w:rsidRPr="00ED4D49">
        <w:rPr>
          <w:rFonts w:cs="Calibri"/>
          <w:iCs/>
          <w:color w:val="1B1C20"/>
          <w:szCs w:val="20"/>
          <w:lang w:val="en-US" w:eastAsia="bs-Latn-BA"/>
        </w:rPr>
        <w:t xml:space="preserve">ccording to </w:t>
      </w:r>
      <w:r w:rsidR="00793996" w:rsidRPr="00ED4D49">
        <w:rPr>
          <w:rFonts w:cs="Calibri"/>
          <w:iCs/>
          <w:color w:val="1B1C20"/>
          <w:szCs w:val="20"/>
          <w:lang w:val="en-US" w:eastAsia="bs-Latn-BA"/>
        </w:rPr>
        <w:t xml:space="preserve">the </w:t>
      </w:r>
      <w:r w:rsidRPr="00ED4D49">
        <w:rPr>
          <w:rFonts w:cs="Calibri"/>
          <w:iCs/>
          <w:color w:val="1B1C20"/>
          <w:szCs w:val="20"/>
          <w:lang w:val="en-US" w:eastAsia="bs-Latn-BA"/>
        </w:rPr>
        <w:t xml:space="preserve">Red </w:t>
      </w:r>
      <w:r w:rsidR="00680411" w:rsidRPr="00ED4D49">
        <w:rPr>
          <w:rFonts w:cs="Calibri"/>
          <w:iCs/>
          <w:color w:val="1B1C20"/>
          <w:szCs w:val="20"/>
          <w:lang w:val="en-US" w:eastAsia="bs-Latn-BA"/>
        </w:rPr>
        <w:t>L</w:t>
      </w:r>
      <w:r w:rsidRPr="00ED4D49">
        <w:rPr>
          <w:rFonts w:cs="Calibri"/>
          <w:iCs/>
          <w:color w:val="1B1C20"/>
          <w:szCs w:val="20"/>
          <w:lang w:val="en-US" w:eastAsia="bs-Latn-BA"/>
        </w:rPr>
        <w:t>ist of Fauna of FBiH</w:t>
      </w:r>
      <w:r w:rsidR="00680411" w:rsidRPr="00ED4D49">
        <w:rPr>
          <w:rFonts w:cs="Calibri"/>
          <w:iCs/>
          <w:color w:val="1B1C20"/>
          <w:szCs w:val="20"/>
          <w:lang w:val="en-US" w:eastAsia="bs-Latn-BA"/>
        </w:rPr>
        <w:t>,</w:t>
      </w:r>
      <w:r w:rsidRPr="00ED4D49">
        <w:rPr>
          <w:rFonts w:cs="Calibri"/>
          <w:iCs/>
          <w:color w:val="1B1C20"/>
          <w:szCs w:val="20"/>
          <w:lang w:val="en-US" w:eastAsia="bs-Latn-BA"/>
        </w:rPr>
        <w:t xml:space="preserve"> it is under threat and has a vulnerable status.</w:t>
      </w:r>
    </w:p>
    <w:p w14:paraId="18E38CEC" w14:textId="48F6CFBE" w:rsidR="00A405B0" w:rsidRPr="00ED4D49" w:rsidRDefault="00680411" w:rsidP="00A405B0">
      <w:pPr>
        <w:jc w:val="both"/>
        <w:rPr>
          <w:rFonts w:cs="Calibri"/>
          <w:color w:val="1B1C20"/>
          <w:szCs w:val="20"/>
          <w:lang w:val="en-US" w:eastAsia="bs-Latn-BA"/>
        </w:rPr>
      </w:pPr>
      <w:r w:rsidRPr="00ED4D49">
        <w:rPr>
          <w:rFonts w:cs="Calibri"/>
          <w:color w:val="1B1C20"/>
          <w:szCs w:val="20"/>
          <w:lang w:val="en-US" w:eastAsia="bs-Latn-BA"/>
        </w:rPr>
        <w:t xml:space="preserve">There are at least 230 bird species in the </w:t>
      </w:r>
      <w:r w:rsidR="00A405B0" w:rsidRPr="00ED4D49">
        <w:rPr>
          <w:rFonts w:cs="Calibri"/>
          <w:color w:val="1B1C20"/>
          <w:szCs w:val="20"/>
          <w:lang w:val="en-US" w:eastAsia="bs-Latn-BA"/>
        </w:rPr>
        <w:t xml:space="preserve">DRB. </w:t>
      </w:r>
      <w:r w:rsidR="00A405B0" w:rsidRPr="00ED4D49">
        <w:rPr>
          <w:rFonts w:cs="Calibri"/>
          <w:szCs w:val="20"/>
          <w:lang w:val="en-US" w:eastAsia="bs-Latn-BA"/>
        </w:rPr>
        <w:t xml:space="preserve">According to </w:t>
      </w:r>
      <w:r w:rsidR="00793996" w:rsidRPr="00ED4D49">
        <w:rPr>
          <w:rFonts w:cs="Calibri"/>
          <w:szCs w:val="20"/>
          <w:lang w:val="en-US" w:eastAsia="bs-Latn-BA"/>
        </w:rPr>
        <w:t>information</w:t>
      </w:r>
      <w:r w:rsidR="00A405B0" w:rsidRPr="00ED4D49">
        <w:rPr>
          <w:rFonts w:cs="Calibri"/>
          <w:szCs w:val="20"/>
          <w:lang w:val="en-US" w:eastAsia="bs-Latn-BA"/>
        </w:rPr>
        <w:t xml:space="preserve"> presented in </w:t>
      </w:r>
      <w:r w:rsidR="00793996" w:rsidRPr="00ED4D49">
        <w:rPr>
          <w:rFonts w:cs="Calibri"/>
          <w:szCs w:val="20"/>
          <w:lang w:val="en-US" w:eastAsia="bs-Latn-BA"/>
        </w:rPr>
        <w:t xml:space="preserve">the </w:t>
      </w:r>
      <w:r w:rsidRPr="00ED4D49">
        <w:rPr>
          <w:rFonts w:cs="Calibri"/>
          <w:i/>
          <w:szCs w:val="20"/>
          <w:lang w:val="en-US" w:eastAsia="bs-Latn-BA"/>
        </w:rPr>
        <w:t>“</w:t>
      </w:r>
      <w:r w:rsidR="00A405B0" w:rsidRPr="00ED4D49">
        <w:rPr>
          <w:rFonts w:cs="Calibri"/>
          <w:i/>
          <w:szCs w:val="20"/>
          <w:lang w:val="en-US" w:eastAsia="bs-Latn-BA"/>
        </w:rPr>
        <w:t xml:space="preserve">Support to water </w:t>
      </w:r>
      <w:r w:rsidR="00793996" w:rsidRPr="00ED4D49">
        <w:rPr>
          <w:rFonts w:cs="Calibri"/>
          <w:i/>
          <w:szCs w:val="20"/>
          <w:lang w:val="en-US" w:eastAsia="bs-Latn-BA"/>
        </w:rPr>
        <w:t>resources</w:t>
      </w:r>
      <w:r w:rsidR="00A405B0" w:rsidRPr="00ED4D49">
        <w:rPr>
          <w:rFonts w:cs="Calibri"/>
          <w:i/>
          <w:szCs w:val="20"/>
          <w:lang w:val="en-US" w:eastAsia="bs-Latn-BA"/>
        </w:rPr>
        <w:t xml:space="preserve"> management in the </w:t>
      </w:r>
      <w:r w:rsidRPr="00ED4D49">
        <w:rPr>
          <w:rFonts w:cs="Calibri"/>
          <w:i/>
          <w:szCs w:val="20"/>
          <w:lang w:val="en-US" w:eastAsia="bs-Latn-BA"/>
        </w:rPr>
        <w:t>DRB</w:t>
      </w:r>
      <w:r w:rsidR="00A405B0" w:rsidRPr="00ED4D49">
        <w:rPr>
          <w:rFonts w:cs="Calibri"/>
          <w:i/>
          <w:szCs w:val="20"/>
          <w:lang w:val="en-US" w:eastAsia="bs-Latn-BA"/>
        </w:rPr>
        <w:t xml:space="preserve"> for </w:t>
      </w:r>
      <w:proofErr w:type="gramStart"/>
      <w:r w:rsidRPr="00ED4D49">
        <w:rPr>
          <w:rFonts w:cs="Calibri"/>
          <w:i/>
          <w:szCs w:val="20"/>
          <w:lang w:val="en-US" w:eastAsia="bs-Latn-BA"/>
        </w:rPr>
        <w:t>BiH</w:t>
      </w:r>
      <w:r w:rsidR="00A405B0" w:rsidRPr="00ED4D49">
        <w:rPr>
          <w:rFonts w:cs="Calibri"/>
          <w:i/>
          <w:szCs w:val="20"/>
          <w:lang w:val="en-US" w:eastAsia="bs-Latn-BA"/>
        </w:rPr>
        <w:t>“</w:t>
      </w:r>
      <w:r w:rsidR="00C6478C" w:rsidRPr="00ED4D49">
        <w:rPr>
          <w:rFonts w:cs="Calibri"/>
          <w:szCs w:val="20"/>
          <w:lang w:val="en-US" w:eastAsia="bs-Latn-BA"/>
        </w:rPr>
        <w:t xml:space="preserve"> </w:t>
      </w:r>
      <w:r w:rsidRPr="00ED4D49">
        <w:rPr>
          <w:rFonts w:cs="Calibri"/>
          <w:szCs w:val="20"/>
          <w:lang w:val="en-US" w:eastAsia="bs-Latn-BA"/>
        </w:rPr>
        <w:t>report</w:t>
      </w:r>
      <w:proofErr w:type="gramEnd"/>
      <w:r w:rsidRPr="00ED4D49">
        <w:rPr>
          <w:rFonts w:cs="Calibri"/>
          <w:szCs w:val="20"/>
          <w:lang w:val="en-US" w:eastAsia="bs-Latn-BA"/>
        </w:rPr>
        <w:t xml:space="preserve">, </w:t>
      </w:r>
      <w:r w:rsidR="00A405B0" w:rsidRPr="00ED4D49">
        <w:rPr>
          <w:rFonts w:cs="Calibri"/>
          <w:color w:val="1B1C20"/>
          <w:szCs w:val="20"/>
          <w:lang w:val="en-US" w:eastAsia="bs-Latn-BA"/>
        </w:rPr>
        <w:t>many charismatic birds are observed, such as the Golden eagle (</w:t>
      </w:r>
      <w:r w:rsidR="00A405B0" w:rsidRPr="00ED4D49">
        <w:rPr>
          <w:rFonts w:cs="Calibri"/>
          <w:i/>
          <w:color w:val="1B1C20"/>
          <w:szCs w:val="20"/>
          <w:lang w:val="en-US" w:eastAsia="bs-Latn-BA"/>
        </w:rPr>
        <w:t xml:space="preserve">Aquila </w:t>
      </w:r>
      <w:proofErr w:type="spellStart"/>
      <w:r w:rsidR="00A405B0" w:rsidRPr="00ED4D49">
        <w:rPr>
          <w:rFonts w:cs="Calibri"/>
          <w:i/>
          <w:color w:val="1B1C20"/>
          <w:szCs w:val="20"/>
          <w:lang w:val="en-US" w:eastAsia="bs-Latn-BA"/>
        </w:rPr>
        <w:t>chrysaetos</w:t>
      </w:r>
      <w:proofErr w:type="spellEnd"/>
      <w:r w:rsidR="00A405B0" w:rsidRPr="00ED4D49">
        <w:rPr>
          <w:rFonts w:cs="Calibri"/>
          <w:color w:val="1B1C20"/>
          <w:szCs w:val="20"/>
          <w:lang w:val="en-US" w:eastAsia="bs-Latn-BA"/>
        </w:rPr>
        <w:t>), the short-toed snake eagle (</w:t>
      </w:r>
      <w:proofErr w:type="spellStart"/>
      <w:r w:rsidR="00A405B0" w:rsidRPr="00ED4D49">
        <w:rPr>
          <w:rFonts w:cs="Calibri"/>
          <w:i/>
          <w:color w:val="1B1C20"/>
          <w:szCs w:val="20"/>
          <w:lang w:val="en-US" w:eastAsia="bs-Latn-BA"/>
        </w:rPr>
        <w:t>Circaetus</w:t>
      </w:r>
      <w:proofErr w:type="spellEnd"/>
      <w:r w:rsidR="00A405B0" w:rsidRPr="00ED4D49">
        <w:rPr>
          <w:rFonts w:cs="Calibri"/>
          <w:i/>
          <w:color w:val="1B1C20"/>
          <w:szCs w:val="20"/>
          <w:lang w:val="en-US" w:eastAsia="bs-Latn-BA"/>
        </w:rPr>
        <w:t xml:space="preserve"> </w:t>
      </w:r>
      <w:proofErr w:type="spellStart"/>
      <w:r w:rsidR="00A405B0" w:rsidRPr="00ED4D49">
        <w:rPr>
          <w:rFonts w:cs="Calibri"/>
          <w:i/>
          <w:color w:val="1B1C20"/>
          <w:szCs w:val="20"/>
          <w:lang w:val="en-US" w:eastAsia="bs-Latn-BA"/>
        </w:rPr>
        <w:t>gallicus</w:t>
      </w:r>
      <w:proofErr w:type="spellEnd"/>
      <w:r w:rsidR="00A405B0" w:rsidRPr="00ED4D49">
        <w:rPr>
          <w:rFonts w:cs="Calibri"/>
          <w:color w:val="1B1C20"/>
          <w:szCs w:val="20"/>
          <w:lang w:val="en-US" w:eastAsia="bs-Latn-BA"/>
        </w:rPr>
        <w:t>), the peregrine falcon (</w:t>
      </w:r>
      <w:r w:rsidR="00A405B0" w:rsidRPr="00ED4D49">
        <w:rPr>
          <w:rFonts w:cs="Calibri"/>
          <w:i/>
          <w:color w:val="1B1C20"/>
          <w:szCs w:val="20"/>
          <w:lang w:val="en-US" w:eastAsia="bs-Latn-BA"/>
        </w:rPr>
        <w:t>Falco peregrinus</w:t>
      </w:r>
      <w:r w:rsidR="00A405B0" w:rsidRPr="00ED4D49">
        <w:rPr>
          <w:rFonts w:cs="Calibri"/>
          <w:color w:val="1B1C20"/>
          <w:szCs w:val="20"/>
          <w:lang w:val="en-US" w:eastAsia="bs-Latn-BA"/>
        </w:rPr>
        <w:t>), the Black grouse (</w:t>
      </w:r>
      <w:r w:rsidR="00A405B0" w:rsidRPr="00ED4D49">
        <w:rPr>
          <w:rFonts w:cs="Calibri"/>
          <w:i/>
          <w:color w:val="1B1C20"/>
          <w:szCs w:val="20"/>
          <w:lang w:val="en-US" w:eastAsia="bs-Latn-BA"/>
        </w:rPr>
        <w:t>Tetrao urogallus</w:t>
      </w:r>
      <w:r w:rsidR="00A405B0" w:rsidRPr="00ED4D49">
        <w:rPr>
          <w:rFonts w:cs="Calibri"/>
          <w:color w:val="1B1C20"/>
          <w:szCs w:val="20"/>
          <w:lang w:val="en-US" w:eastAsia="bs-Latn-BA"/>
        </w:rPr>
        <w:t>), the Griffon vulture (</w:t>
      </w:r>
      <w:r w:rsidR="00A405B0" w:rsidRPr="00ED4D49">
        <w:rPr>
          <w:rFonts w:cs="Calibri"/>
          <w:i/>
          <w:color w:val="1B1C20"/>
          <w:szCs w:val="20"/>
          <w:lang w:val="en-US" w:eastAsia="bs-Latn-BA"/>
        </w:rPr>
        <w:t>Gyps fulvus</w:t>
      </w:r>
      <w:r w:rsidR="00A405B0" w:rsidRPr="00ED4D49">
        <w:rPr>
          <w:rFonts w:cs="Calibri"/>
          <w:color w:val="1B1C20"/>
          <w:szCs w:val="20"/>
          <w:lang w:val="en-US" w:eastAsia="bs-Latn-BA"/>
        </w:rPr>
        <w:t>), the Eurasian woodcock (</w:t>
      </w:r>
      <w:proofErr w:type="spellStart"/>
      <w:r w:rsidR="00A405B0" w:rsidRPr="00ED4D49">
        <w:rPr>
          <w:rFonts w:cs="Calibri"/>
          <w:i/>
          <w:color w:val="1B1C20"/>
          <w:szCs w:val="20"/>
          <w:lang w:val="en-US" w:eastAsia="bs-Latn-BA"/>
        </w:rPr>
        <w:t>Scolopax</w:t>
      </w:r>
      <w:proofErr w:type="spellEnd"/>
      <w:r w:rsidR="00A405B0" w:rsidRPr="00ED4D49">
        <w:rPr>
          <w:rFonts w:cs="Calibri"/>
          <w:i/>
          <w:color w:val="1B1C20"/>
          <w:szCs w:val="20"/>
          <w:lang w:val="en-US" w:eastAsia="bs-Latn-BA"/>
        </w:rPr>
        <w:t xml:space="preserve"> </w:t>
      </w:r>
      <w:proofErr w:type="spellStart"/>
      <w:r w:rsidR="00A405B0" w:rsidRPr="00ED4D49">
        <w:rPr>
          <w:rFonts w:cs="Calibri"/>
          <w:i/>
          <w:color w:val="1B1C20"/>
          <w:szCs w:val="20"/>
          <w:lang w:val="en-US" w:eastAsia="bs-Latn-BA"/>
        </w:rPr>
        <w:t>rusticola</w:t>
      </w:r>
      <w:proofErr w:type="spellEnd"/>
      <w:r w:rsidR="00A405B0" w:rsidRPr="00ED4D49">
        <w:rPr>
          <w:rFonts w:cs="Calibri"/>
          <w:color w:val="1B1C20"/>
          <w:szCs w:val="20"/>
          <w:lang w:val="en-US" w:eastAsia="bs-Latn-BA"/>
        </w:rPr>
        <w:t>). It is also important to mention the Rock partridge (</w:t>
      </w:r>
      <w:proofErr w:type="spellStart"/>
      <w:r w:rsidR="00A405B0" w:rsidRPr="00ED4D49">
        <w:rPr>
          <w:rFonts w:cs="Calibri"/>
          <w:i/>
          <w:color w:val="1B1C20"/>
          <w:szCs w:val="20"/>
          <w:lang w:val="en-US" w:eastAsia="bs-Latn-BA"/>
        </w:rPr>
        <w:t>Alectoris</w:t>
      </w:r>
      <w:proofErr w:type="spellEnd"/>
      <w:r w:rsidR="00A405B0" w:rsidRPr="00ED4D49">
        <w:rPr>
          <w:rFonts w:cs="Calibri"/>
          <w:i/>
          <w:color w:val="1B1C20"/>
          <w:szCs w:val="20"/>
          <w:lang w:val="en-US" w:eastAsia="bs-Latn-BA"/>
        </w:rPr>
        <w:t xml:space="preserve"> </w:t>
      </w:r>
      <w:proofErr w:type="spellStart"/>
      <w:r w:rsidR="00A405B0" w:rsidRPr="00ED4D49">
        <w:rPr>
          <w:rFonts w:cs="Calibri"/>
          <w:i/>
          <w:color w:val="1B1C20"/>
          <w:szCs w:val="20"/>
          <w:lang w:val="en-US" w:eastAsia="bs-Latn-BA"/>
        </w:rPr>
        <w:t>greaca</w:t>
      </w:r>
      <w:proofErr w:type="spellEnd"/>
      <w:r w:rsidR="00A405B0" w:rsidRPr="00ED4D49">
        <w:rPr>
          <w:rFonts w:cs="Calibri"/>
          <w:color w:val="1B1C20"/>
          <w:szCs w:val="20"/>
          <w:lang w:val="en-US" w:eastAsia="bs-Latn-BA"/>
        </w:rPr>
        <w:t>), the only Balkan endemic bird species which is declining throughout the region. However, knowledge of birds in DRB is not equal throughout the basin</w:t>
      </w:r>
      <w:r w:rsidR="00793996" w:rsidRPr="00ED4D49">
        <w:rPr>
          <w:rFonts w:cs="Calibri"/>
          <w:color w:val="1B1C20"/>
          <w:szCs w:val="20"/>
          <w:lang w:val="en-US" w:eastAsia="bs-Latn-BA"/>
        </w:rPr>
        <w:t xml:space="preserve"> </w:t>
      </w:r>
      <w:r w:rsidR="00A405B0" w:rsidRPr="00ED4D49">
        <w:rPr>
          <w:rFonts w:cs="Calibri"/>
          <w:color w:val="1B1C20"/>
          <w:szCs w:val="20"/>
          <w:lang w:val="en-US" w:eastAsia="bs-Latn-BA"/>
        </w:rPr>
        <w:t xml:space="preserve">and can be improved drastically in some parts of the area, especially in protected areas along country borders. There are no distinctive migratory corridors for birds in the </w:t>
      </w:r>
      <w:r w:rsidR="00D2743E" w:rsidRPr="00ED4D49">
        <w:rPr>
          <w:rFonts w:cs="Calibri"/>
          <w:color w:val="1B1C20"/>
          <w:szCs w:val="20"/>
          <w:lang w:val="en-US" w:eastAsia="bs-Latn-BA"/>
        </w:rPr>
        <w:t>entire</w:t>
      </w:r>
      <w:r w:rsidR="00A405B0" w:rsidRPr="00ED4D49">
        <w:rPr>
          <w:rFonts w:cs="Calibri"/>
          <w:color w:val="1B1C20"/>
          <w:szCs w:val="20"/>
          <w:lang w:val="en-US" w:eastAsia="bs-Latn-BA"/>
        </w:rPr>
        <w:t xml:space="preserve"> DRB. At times, raptors from the genera Circus can be observed in numbers of up to 100 individuals on a daily passage (observed in Lim canyon during the last decade) but such sightings are not regular and do not occur as a rule.</w:t>
      </w:r>
      <w:r w:rsidR="00C6478C" w:rsidRPr="00ED4D49">
        <w:rPr>
          <w:rFonts w:cs="Calibri"/>
          <w:color w:val="1B1C20"/>
          <w:szCs w:val="20"/>
          <w:lang w:val="en-US" w:eastAsia="bs-Latn-BA"/>
        </w:rPr>
        <w:t xml:space="preserve"> </w:t>
      </w:r>
      <w:r w:rsidR="00A405B0" w:rsidRPr="00ED4D49">
        <w:rPr>
          <w:rFonts w:cs="Calibri"/>
          <w:color w:val="000000"/>
          <w:szCs w:val="20"/>
          <w:lang w:val="en-US" w:eastAsia="bs-Latn-BA"/>
        </w:rPr>
        <w:t xml:space="preserve">In addition, important center of bird diversity </w:t>
      </w:r>
      <w:proofErr w:type="gramStart"/>
      <w:r w:rsidR="00A405B0" w:rsidRPr="00ED4D49">
        <w:rPr>
          <w:rFonts w:cs="Calibri"/>
          <w:color w:val="000000"/>
          <w:szCs w:val="20"/>
          <w:lang w:val="en-US" w:eastAsia="bs-Latn-BA"/>
        </w:rPr>
        <w:t>are</w:t>
      </w:r>
      <w:proofErr w:type="gramEnd"/>
      <w:r w:rsidR="00A405B0" w:rsidRPr="00ED4D49">
        <w:rPr>
          <w:rFonts w:cs="Calibri"/>
          <w:color w:val="000000"/>
          <w:szCs w:val="20"/>
          <w:lang w:val="en-US" w:eastAsia="bs-Latn-BA"/>
        </w:rPr>
        <w:t xml:space="preserve"> found on </w:t>
      </w:r>
      <w:r w:rsidR="00D2743E" w:rsidRPr="00ED4D49">
        <w:rPr>
          <w:rFonts w:cs="Calibri"/>
          <w:color w:val="000000"/>
          <w:szCs w:val="20"/>
          <w:lang w:val="en-US" w:eastAsia="bs-Latn-BA"/>
        </w:rPr>
        <w:t xml:space="preserve">the </w:t>
      </w:r>
      <w:r w:rsidR="00A405B0" w:rsidRPr="00ED4D49">
        <w:rPr>
          <w:rFonts w:cs="Calibri"/>
          <w:color w:val="000000"/>
          <w:szCs w:val="20"/>
          <w:lang w:val="en-US" w:eastAsia="bs-Latn-BA"/>
        </w:rPr>
        <w:t>lakes of</w:t>
      </w:r>
      <w:r w:rsidR="00D2743E" w:rsidRPr="00ED4D49">
        <w:rPr>
          <w:rFonts w:cs="Calibri"/>
          <w:color w:val="000000"/>
          <w:szCs w:val="20"/>
          <w:lang w:val="en-US" w:eastAsia="bs-Latn-BA"/>
        </w:rPr>
        <w:t xml:space="preserve"> the</w:t>
      </w:r>
      <w:r w:rsidR="00A405B0" w:rsidRPr="00ED4D49">
        <w:rPr>
          <w:rFonts w:cs="Calibri"/>
          <w:color w:val="000000"/>
          <w:szCs w:val="20"/>
          <w:lang w:val="en-US" w:eastAsia="bs-Latn-BA"/>
        </w:rPr>
        <w:t xml:space="preserve"> Drina </w:t>
      </w:r>
      <w:r w:rsidR="00D2743E" w:rsidRPr="00ED4D49">
        <w:rPr>
          <w:rFonts w:cs="Calibri"/>
          <w:color w:val="000000"/>
          <w:szCs w:val="20"/>
          <w:lang w:val="en-US" w:eastAsia="bs-Latn-BA"/>
        </w:rPr>
        <w:t>R</w:t>
      </w:r>
      <w:r w:rsidR="00A405B0" w:rsidRPr="00ED4D49">
        <w:rPr>
          <w:rFonts w:cs="Calibri"/>
          <w:color w:val="000000"/>
          <w:szCs w:val="20"/>
          <w:lang w:val="en-US" w:eastAsia="bs-Latn-BA"/>
        </w:rPr>
        <w:t>iver (</w:t>
      </w:r>
      <w:proofErr w:type="spellStart"/>
      <w:r w:rsidR="00A405B0" w:rsidRPr="00ED4D49">
        <w:rPr>
          <w:rFonts w:cs="Calibri"/>
          <w:color w:val="000000"/>
          <w:szCs w:val="20"/>
          <w:lang w:val="en-US" w:eastAsia="bs-Latn-BA"/>
        </w:rPr>
        <w:t>Peru</w:t>
      </w:r>
      <w:r w:rsidR="00C6478C" w:rsidRPr="00ED4D49">
        <w:rPr>
          <w:rFonts w:cs="Calibri"/>
          <w:color w:val="000000"/>
          <w:szCs w:val="20"/>
          <w:lang w:val="en-US" w:eastAsia="bs-Latn-BA"/>
        </w:rPr>
        <w:t>c</w:t>
      </w:r>
      <w:r w:rsidR="00A405B0" w:rsidRPr="00ED4D49">
        <w:rPr>
          <w:rFonts w:cs="Calibri"/>
          <w:color w:val="000000"/>
          <w:szCs w:val="20"/>
          <w:lang w:val="en-US" w:eastAsia="bs-Latn-BA"/>
        </w:rPr>
        <w:t>ac</w:t>
      </w:r>
      <w:proofErr w:type="spellEnd"/>
      <w:r w:rsidR="00A405B0" w:rsidRPr="00ED4D49">
        <w:rPr>
          <w:rFonts w:cs="Calibri"/>
          <w:color w:val="000000"/>
          <w:szCs w:val="20"/>
          <w:lang w:val="en-US" w:eastAsia="bs-Latn-BA"/>
        </w:rPr>
        <w:t>).</w:t>
      </w:r>
    </w:p>
    <w:p w14:paraId="6CA1E856" w14:textId="45883F1B" w:rsidR="00A405B0" w:rsidRPr="00ED4D49" w:rsidRDefault="00A405B0" w:rsidP="00A405B0">
      <w:pPr>
        <w:jc w:val="both"/>
        <w:rPr>
          <w:rFonts w:cs="Calibri"/>
          <w:szCs w:val="20"/>
          <w:lang w:val="en-US"/>
        </w:rPr>
      </w:pPr>
      <w:r w:rsidRPr="00ED4D49">
        <w:rPr>
          <w:rFonts w:cs="Calibri"/>
          <w:szCs w:val="20"/>
          <w:lang w:val="en-US"/>
        </w:rPr>
        <w:t xml:space="preserve">The Drina River has been confirmed as a corridor for the migration of bats. Especially important species are </w:t>
      </w:r>
      <w:proofErr w:type="spellStart"/>
      <w:r w:rsidRPr="00ED4D49">
        <w:rPr>
          <w:rFonts w:cs="Calibri"/>
          <w:i/>
          <w:szCs w:val="20"/>
          <w:lang w:val="en-US"/>
        </w:rPr>
        <w:t>Barbastella</w:t>
      </w:r>
      <w:proofErr w:type="spellEnd"/>
      <w:r w:rsidRPr="00ED4D49">
        <w:rPr>
          <w:rFonts w:cs="Calibri"/>
          <w:i/>
          <w:szCs w:val="20"/>
          <w:lang w:val="en-US"/>
        </w:rPr>
        <w:t xml:space="preserve"> </w:t>
      </w:r>
      <w:proofErr w:type="spellStart"/>
      <w:r w:rsidRPr="00ED4D49">
        <w:rPr>
          <w:rFonts w:cs="Calibri"/>
          <w:i/>
          <w:szCs w:val="20"/>
          <w:lang w:val="en-US"/>
        </w:rPr>
        <w:t>barbastellus</w:t>
      </w:r>
      <w:proofErr w:type="spellEnd"/>
      <w:r w:rsidRPr="00ED4D49">
        <w:rPr>
          <w:rFonts w:cs="Calibri"/>
          <w:szCs w:val="20"/>
          <w:lang w:val="en-US"/>
        </w:rPr>
        <w:t xml:space="preserve"> and </w:t>
      </w:r>
      <w:r w:rsidRPr="00ED4D49">
        <w:rPr>
          <w:rFonts w:cs="Calibri"/>
          <w:i/>
          <w:szCs w:val="20"/>
          <w:lang w:val="en-US"/>
        </w:rPr>
        <w:t xml:space="preserve">Myotis </w:t>
      </w:r>
      <w:proofErr w:type="spellStart"/>
      <w:r w:rsidRPr="00ED4D49">
        <w:rPr>
          <w:rFonts w:cs="Calibri"/>
          <w:i/>
          <w:szCs w:val="20"/>
          <w:lang w:val="en-US"/>
        </w:rPr>
        <w:t>bechsteinii</w:t>
      </w:r>
      <w:proofErr w:type="spellEnd"/>
      <w:r w:rsidRPr="00ED4D49">
        <w:rPr>
          <w:rFonts w:cs="Calibri"/>
          <w:szCs w:val="20"/>
          <w:lang w:val="en-US"/>
        </w:rPr>
        <w:t xml:space="preserve">, </w:t>
      </w:r>
      <w:r w:rsidR="00D2743E" w:rsidRPr="00ED4D49">
        <w:rPr>
          <w:rFonts w:cs="Calibri"/>
          <w:szCs w:val="20"/>
          <w:lang w:val="en-US"/>
        </w:rPr>
        <w:t>as</w:t>
      </w:r>
      <w:r w:rsidRPr="00ED4D49">
        <w:rPr>
          <w:rFonts w:cs="Calibri"/>
          <w:szCs w:val="20"/>
          <w:lang w:val="en-US"/>
        </w:rPr>
        <w:t xml:space="preserve"> they represent indicators for the quality of forest habitats and both are very abundant in the forests of </w:t>
      </w:r>
      <w:r w:rsidR="00793996" w:rsidRPr="00ED4D49">
        <w:rPr>
          <w:rFonts w:cs="Calibri"/>
          <w:szCs w:val="20"/>
          <w:lang w:val="en-US"/>
        </w:rPr>
        <w:t xml:space="preserve">the </w:t>
      </w:r>
      <w:r w:rsidRPr="00ED4D49">
        <w:rPr>
          <w:rFonts w:cs="Calibri"/>
          <w:szCs w:val="20"/>
          <w:lang w:val="en-US"/>
        </w:rPr>
        <w:t>DRB.</w:t>
      </w:r>
    </w:p>
    <w:p w14:paraId="1A5B2AB3" w14:textId="2A4D20E2" w:rsidR="00A405B0" w:rsidRPr="00ED4D49" w:rsidRDefault="00A405B0" w:rsidP="00A405B0">
      <w:pPr>
        <w:jc w:val="both"/>
        <w:rPr>
          <w:rFonts w:cs="Calibri"/>
          <w:szCs w:val="20"/>
          <w:lang w:val="en-US"/>
        </w:rPr>
      </w:pPr>
      <w:r w:rsidRPr="00ED4D49">
        <w:rPr>
          <w:rFonts w:cs="Calibri"/>
          <w:szCs w:val="20"/>
          <w:lang w:val="en-US"/>
        </w:rPr>
        <w:t>Forests of the upper catchment of the DRB in BiH are</w:t>
      </w:r>
      <w:r w:rsidR="00D2743E" w:rsidRPr="00ED4D49">
        <w:rPr>
          <w:rFonts w:cs="Calibri"/>
          <w:szCs w:val="20"/>
          <w:lang w:val="en-US"/>
        </w:rPr>
        <w:t xml:space="preserve"> a</w:t>
      </w:r>
      <w:r w:rsidRPr="00ED4D49">
        <w:rPr>
          <w:rFonts w:cs="Calibri"/>
          <w:szCs w:val="20"/>
          <w:lang w:val="en-US"/>
        </w:rPr>
        <w:t xml:space="preserve"> natural habitat for animal species, such as the Brown bear (</w:t>
      </w:r>
      <w:r w:rsidRPr="00ED4D49">
        <w:rPr>
          <w:rFonts w:cs="Calibri"/>
          <w:i/>
          <w:szCs w:val="20"/>
          <w:lang w:val="en-US"/>
        </w:rPr>
        <w:t>Ursus arctos</w:t>
      </w:r>
      <w:r w:rsidRPr="00ED4D49">
        <w:rPr>
          <w:rFonts w:cs="Calibri"/>
          <w:szCs w:val="20"/>
          <w:lang w:val="en-US"/>
        </w:rPr>
        <w:t>), the Eurasian wolf (</w:t>
      </w:r>
      <w:r w:rsidRPr="00ED4D49">
        <w:rPr>
          <w:rFonts w:cs="Calibri"/>
          <w:i/>
          <w:szCs w:val="20"/>
          <w:lang w:val="en-US"/>
        </w:rPr>
        <w:t>Canis lupus</w:t>
      </w:r>
      <w:r w:rsidRPr="00ED4D49">
        <w:rPr>
          <w:rFonts w:cs="Calibri"/>
          <w:szCs w:val="20"/>
          <w:lang w:val="en-US"/>
        </w:rPr>
        <w:t>), the chamois (</w:t>
      </w:r>
      <w:r w:rsidRPr="00ED4D49">
        <w:rPr>
          <w:rFonts w:cs="Calibri"/>
          <w:i/>
          <w:szCs w:val="20"/>
          <w:lang w:val="en-US"/>
        </w:rPr>
        <w:t>Rupicapra rupicapra</w:t>
      </w:r>
      <w:r w:rsidRPr="00ED4D49">
        <w:rPr>
          <w:rFonts w:cs="Calibri"/>
          <w:szCs w:val="20"/>
          <w:lang w:val="en-US"/>
        </w:rPr>
        <w:t>), the wild cat (</w:t>
      </w:r>
      <w:r w:rsidRPr="00ED4D49">
        <w:rPr>
          <w:rFonts w:cs="Calibri"/>
          <w:i/>
          <w:szCs w:val="20"/>
          <w:lang w:val="en-US"/>
        </w:rPr>
        <w:t xml:space="preserve">Felis </w:t>
      </w:r>
      <w:proofErr w:type="spellStart"/>
      <w:r w:rsidRPr="00ED4D49">
        <w:rPr>
          <w:rFonts w:cs="Calibri"/>
          <w:i/>
          <w:szCs w:val="20"/>
          <w:lang w:val="en-US"/>
        </w:rPr>
        <w:t>silvestris</w:t>
      </w:r>
      <w:proofErr w:type="spellEnd"/>
      <w:r w:rsidRPr="00ED4D49">
        <w:rPr>
          <w:rFonts w:cs="Calibri"/>
          <w:szCs w:val="20"/>
          <w:lang w:val="en-US"/>
        </w:rPr>
        <w:t>), and along the rivers of the region, the European otter (</w:t>
      </w:r>
      <w:proofErr w:type="spellStart"/>
      <w:r w:rsidRPr="00ED4D49">
        <w:rPr>
          <w:rFonts w:cs="Calibri"/>
          <w:i/>
          <w:szCs w:val="20"/>
          <w:lang w:val="en-US"/>
        </w:rPr>
        <w:t>Lutra</w:t>
      </w:r>
      <w:proofErr w:type="spellEnd"/>
      <w:r w:rsidRPr="00ED4D49">
        <w:rPr>
          <w:rFonts w:cs="Calibri"/>
          <w:i/>
          <w:szCs w:val="20"/>
          <w:lang w:val="en-US"/>
        </w:rPr>
        <w:t xml:space="preserve"> </w:t>
      </w:r>
      <w:proofErr w:type="spellStart"/>
      <w:r w:rsidRPr="00ED4D49">
        <w:rPr>
          <w:rFonts w:cs="Calibri"/>
          <w:i/>
          <w:szCs w:val="20"/>
          <w:lang w:val="en-US"/>
        </w:rPr>
        <w:t>lutra</w:t>
      </w:r>
      <w:proofErr w:type="spellEnd"/>
      <w:r w:rsidRPr="00ED4D49">
        <w:rPr>
          <w:rFonts w:cs="Calibri"/>
          <w:szCs w:val="20"/>
          <w:lang w:val="en-US"/>
        </w:rPr>
        <w:t xml:space="preserve">). These animal species have </w:t>
      </w:r>
      <w:r w:rsidR="00691857" w:rsidRPr="00ED4D49">
        <w:rPr>
          <w:rFonts w:cs="Calibri"/>
          <w:szCs w:val="20"/>
          <w:lang w:val="en-US"/>
        </w:rPr>
        <w:t xml:space="preserve">a </w:t>
      </w:r>
      <w:r w:rsidRPr="00ED4D49">
        <w:rPr>
          <w:rFonts w:cs="Calibri"/>
          <w:szCs w:val="20"/>
          <w:lang w:val="en-US"/>
        </w:rPr>
        <w:t>rare and endangered status</w:t>
      </w:r>
      <w:r w:rsidR="00793996" w:rsidRPr="00ED4D49">
        <w:rPr>
          <w:rFonts w:cs="Calibri"/>
          <w:szCs w:val="20"/>
          <w:lang w:val="en-US"/>
        </w:rPr>
        <w:t>. L</w:t>
      </w:r>
      <w:r w:rsidRPr="00ED4D49">
        <w:rPr>
          <w:rFonts w:cs="Calibri"/>
          <w:szCs w:val="20"/>
          <w:lang w:val="en-US"/>
        </w:rPr>
        <w:t xml:space="preserve">ack of continuous monitoring is </w:t>
      </w:r>
      <w:r w:rsidR="00793996" w:rsidRPr="00ED4D49">
        <w:rPr>
          <w:rFonts w:cs="Calibri"/>
          <w:szCs w:val="20"/>
          <w:lang w:val="en-US"/>
        </w:rPr>
        <w:t xml:space="preserve">an important </w:t>
      </w:r>
      <w:r w:rsidRPr="00ED4D49">
        <w:rPr>
          <w:rFonts w:cs="Calibri"/>
          <w:szCs w:val="20"/>
          <w:lang w:val="en-US"/>
        </w:rPr>
        <w:t xml:space="preserve">issue in terms of their conservation. In particular, </w:t>
      </w:r>
      <w:r w:rsidR="00793996" w:rsidRPr="00ED4D49">
        <w:rPr>
          <w:rFonts w:cs="Calibri"/>
          <w:szCs w:val="20"/>
          <w:lang w:val="en-US"/>
        </w:rPr>
        <w:t xml:space="preserve">the </w:t>
      </w:r>
      <w:r w:rsidRPr="00ED4D49">
        <w:rPr>
          <w:rFonts w:cs="Calibri"/>
          <w:szCs w:val="20"/>
          <w:lang w:val="en-US"/>
        </w:rPr>
        <w:t>Drina River canyon and its tributaries are permanent habitats of the Eurasian Brown bear, hibernating in the canyon caves. Canyon crags are the permanent habitats of the chamois. There are also more common species of mammals such as the fox, the marten, the badger, the wild boar, the deer, and the rabbit.</w:t>
      </w:r>
      <w:r w:rsidR="00C6478C" w:rsidRPr="00ED4D49">
        <w:rPr>
          <w:rFonts w:cs="Calibri"/>
          <w:szCs w:val="20"/>
          <w:lang w:val="en-US"/>
        </w:rPr>
        <w:t xml:space="preserve"> </w:t>
      </w:r>
    </w:p>
    <w:p w14:paraId="3681C774" w14:textId="343E48B3" w:rsidR="00A405B0" w:rsidRPr="00ED4D49" w:rsidRDefault="00A405B0" w:rsidP="00793996">
      <w:pPr>
        <w:spacing w:after="0"/>
        <w:jc w:val="both"/>
        <w:rPr>
          <w:rStyle w:val="tlid-translation"/>
          <w:color w:val="1F497D"/>
          <w:lang w:val="en-US"/>
        </w:rPr>
      </w:pPr>
      <w:r w:rsidRPr="00ED4D49">
        <w:rPr>
          <w:rStyle w:val="tlid-translation"/>
          <w:color w:val="1F497D"/>
          <w:lang w:val="en-US"/>
        </w:rPr>
        <w:t>Protected area</w:t>
      </w:r>
      <w:r w:rsidR="00691857" w:rsidRPr="00ED4D49">
        <w:rPr>
          <w:rStyle w:val="tlid-translation"/>
          <w:color w:val="1F497D"/>
          <w:lang w:val="en-US"/>
        </w:rPr>
        <w:t>s</w:t>
      </w:r>
    </w:p>
    <w:p w14:paraId="565575C5" w14:textId="3270BE0D" w:rsidR="00603E6E" w:rsidRPr="00ED4D49" w:rsidRDefault="00793996" w:rsidP="007E7168">
      <w:pPr>
        <w:autoSpaceDE w:val="0"/>
        <w:autoSpaceDN w:val="0"/>
        <w:adjustRightInd w:val="0"/>
        <w:spacing w:before="0" w:after="0"/>
        <w:jc w:val="both"/>
        <w:rPr>
          <w:rFonts w:cs="Calibri"/>
          <w:szCs w:val="20"/>
          <w:lang w:val="en-US"/>
        </w:rPr>
      </w:pPr>
      <w:r w:rsidRPr="00ED4D49">
        <w:rPr>
          <w:rFonts w:cs="Calibri"/>
          <w:szCs w:val="20"/>
          <w:lang w:val="en-US"/>
        </w:rPr>
        <w:t>The p</w:t>
      </w:r>
      <w:r w:rsidR="00A405B0" w:rsidRPr="00ED4D49">
        <w:rPr>
          <w:rFonts w:cs="Calibri"/>
          <w:szCs w:val="20"/>
          <w:lang w:val="en-US"/>
        </w:rPr>
        <w:t>rotected area</w:t>
      </w:r>
      <w:r w:rsidR="00691857" w:rsidRPr="00ED4D49">
        <w:rPr>
          <w:rFonts w:cs="Calibri"/>
          <w:szCs w:val="20"/>
          <w:lang w:val="en-US"/>
        </w:rPr>
        <w:t>s</w:t>
      </w:r>
      <w:r w:rsidR="00A405B0" w:rsidRPr="00ED4D49">
        <w:rPr>
          <w:rFonts w:cs="Calibri"/>
          <w:szCs w:val="20"/>
          <w:lang w:val="en-US"/>
        </w:rPr>
        <w:t xml:space="preserve"> </w:t>
      </w:r>
      <w:r w:rsidRPr="00ED4D49">
        <w:rPr>
          <w:rFonts w:cs="Calibri"/>
          <w:szCs w:val="20"/>
          <w:lang w:val="en-US"/>
        </w:rPr>
        <w:t xml:space="preserve">in </w:t>
      </w:r>
      <w:r w:rsidR="00A405B0" w:rsidRPr="00ED4D49">
        <w:rPr>
          <w:rFonts w:cs="Calibri"/>
          <w:szCs w:val="20"/>
          <w:lang w:val="en-US"/>
        </w:rPr>
        <w:t xml:space="preserve">BiH </w:t>
      </w:r>
      <w:r w:rsidRPr="00ED4D49">
        <w:rPr>
          <w:rFonts w:cs="Calibri"/>
          <w:szCs w:val="20"/>
          <w:lang w:val="en-US"/>
        </w:rPr>
        <w:t>cover</w:t>
      </w:r>
      <w:r w:rsidR="00691857" w:rsidRPr="00ED4D49">
        <w:rPr>
          <w:rFonts w:cs="Calibri"/>
          <w:szCs w:val="20"/>
          <w:lang w:val="en-US"/>
        </w:rPr>
        <w:t xml:space="preserve"> </w:t>
      </w:r>
      <w:r w:rsidRPr="00ED4D49">
        <w:rPr>
          <w:rFonts w:cs="Calibri"/>
          <w:szCs w:val="20"/>
          <w:lang w:val="en-US"/>
        </w:rPr>
        <w:t>less tha</w:t>
      </w:r>
      <w:r w:rsidR="00691857" w:rsidRPr="00ED4D49">
        <w:rPr>
          <w:rFonts w:cs="Calibri"/>
          <w:szCs w:val="20"/>
          <w:lang w:val="en-US"/>
        </w:rPr>
        <w:t>n</w:t>
      </w:r>
      <w:r w:rsidRPr="00ED4D49">
        <w:rPr>
          <w:rFonts w:cs="Calibri"/>
          <w:szCs w:val="20"/>
          <w:lang w:val="en-US"/>
        </w:rPr>
        <w:t xml:space="preserve"> </w:t>
      </w:r>
      <w:r w:rsidR="00A405B0" w:rsidRPr="00ED4D49">
        <w:rPr>
          <w:rFonts w:cs="Calibri"/>
          <w:szCs w:val="20"/>
          <w:lang w:val="en-US"/>
        </w:rPr>
        <w:t xml:space="preserve">3% </w:t>
      </w:r>
      <w:r w:rsidRPr="00ED4D49">
        <w:rPr>
          <w:rFonts w:cs="Calibri"/>
          <w:szCs w:val="20"/>
          <w:lang w:val="en-US"/>
        </w:rPr>
        <w:t xml:space="preserve">of the country’s territory, </w:t>
      </w:r>
      <w:r w:rsidR="00A405B0" w:rsidRPr="00ED4D49">
        <w:rPr>
          <w:rFonts w:cs="Calibri"/>
          <w:szCs w:val="20"/>
          <w:lang w:val="en-US"/>
        </w:rPr>
        <w:t xml:space="preserve">which is far </w:t>
      </w:r>
      <w:r w:rsidR="00691857" w:rsidRPr="00ED4D49">
        <w:rPr>
          <w:rFonts w:cs="Calibri"/>
          <w:szCs w:val="20"/>
          <w:lang w:val="en-US"/>
        </w:rPr>
        <w:t>below</w:t>
      </w:r>
      <w:r w:rsidR="00A405B0" w:rsidRPr="00ED4D49">
        <w:rPr>
          <w:rFonts w:cs="Calibri"/>
          <w:szCs w:val="20"/>
          <w:lang w:val="en-US"/>
        </w:rPr>
        <w:t xml:space="preserve"> the </w:t>
      </w:r>
      <w:r w:rsidRPr="00ED4D49">
        <w:rPr>
          <w:rFonts w:cs="Calibri"/>
          <w:szCs w:val="20"/>
          <w:lang w:val="en-US"/>
        </w:rPr>
        <w:t>European</w:t>
      </w:r>
      <w:r w:rsidR="00A405B0" w:rsidRPr="00ED4D49">
        <w:rPr>
          <w:rFonts w:cs="Calibri"/>
          <w:szCs w:val="20"/>
          <w:lang w:val="en-US"/>
        </w:rPr>
        <w:t xml:space="preserve"> average. </w:t>
      </w:r>
      <w:r w:rsidR="00691857" w:rsidRPr="00ED4D49">
        <w:rPr>
          <w:rFonts w:cs="Calibri"/>
          <w:szCs w:val="20"/>
          <w:lang w:val="en-US"/>
        </w:rPr>
        <w:t>Within the</w:t>
      </w:r>
      <w:r w:rsidR="00A405B0" w:rsidRPr="00ED4D49">
        <w:rPr>
          <w:rFonts w:cs="Calibri"/>
          <w:szCs w:val="20"/>
          <w:lang w:val="en-US"/>
        </w:rPr>
        <w:t xml:space="preserve"> DRB in BiH, there are four protected areas in RS and one in FBiH (</w:t>
      </w:r>
      <w:r w:rsidR="007E7168" w:rsidRPr="00ED4D49">
        <w:rPr>
          <w:rFonts w:cs="Calibri"/>
          <w:szCs w:val="20"/>
          <w:lang w:val="en-US"/>
        </w:rPr>
        <w:t>Table 2)</w:t>
      </w:r>
      <w:bookmarkStart w:id="50" w:name="_Ref20901628"/>
      <w:r w:rsidR="007E7168" w:rsidRPr="00ED4D49">
        <w:rPr>
          <w:rFonts w:cs="Calibri"/>
          <w:szCs w:val="20"/>
          <w:lang w:val="en-US"/>
        </w:rPr>
        <w:t>.</w:t>
      </w:r>
    </w:p>
    <w:p w14:paraId="03A37B12" w14:textId="77777777" w:rsidR="00603E6E" w:rsidRPr="00ED4D49" w:rsidRDefault="00603E6E" w:rsidP="00603E6E">
      <w:pPr>
        <w:autoSpaceDE w:val="0"/>
        <w:autoSpaceDN w:val="0"/>
        <w:adjustRightInd w:val="0"/>
        <w:spacing w:before="0" w:after="0"/>
        <w:jc w:val="both"/>
        <w:rPr>
          <w:bCs/>
          <w:i/>
          <w:color w:val="2F5496"/>
          <w:sz w:val="16"/>
          <w:szCs w:val="16"/>
          <w:lang w:val="en-US"/>
        </w:rPr>
      </w:pPr>
    </w:p>
    <w:p w14:paraId="2A37D51C" w14:textId="77777777" w:rsidR="007E7168" w:rsidRPr="00ED4D49" w:rsidRDefault="007E7168" w:rsidP="00A405B0">
      <w:pPr>
        <w:pStyle w:val="Caption"/>
        <w:jc w:val="both"/>
        <w:rPr>
          <w:b w:val="0"/>
          <w:i/>
          <w:color w:val="2F5496"/>
          <w:sz w:val="16"/>
          <w:szCs w:val="16"/>
        </w:rPr>
      </w:pPr>
      <w:bookmarkStart w:id="51" w:name="_Toc28188027"/>
    </w:p>
    <w:p w14:paraId="08276CB2" w14:textId="19C4C32E" w:rsidR="00A405B0" w:rsidRPr="00ED4D49" w:rsidRDefault="00A405B0" w:rsidP="00A405B0">
      <w:pPr>
        <w:pStyle w:val="Caption"/>
        <w:jc w:val="both"/>
        <w:rPr>
          <w:b w:val="0"/>
          <w:i/>
          <w:sz w:val="16"/>
          <w:szCs w:val="16"/>
        </w:rPr>
      </w:pPr>
      <w:r w:rsidRPr="00ED4D49">
        <w:rPr>
          <w:b w:val="0"/>
          <w:i/>
          <w:color w:val="2F5496"/>
          <w:sz w:val="16"/>
          <w:szCs w:val="16"/>
        </w:rPr>
        <w:lastRenderedPageBreak/>
        <w:t xml:space="preserve">Table </w:t>
      </w:r>
      <w:r w:rsidRPr="00ED4D49">
        <w:rPr>
          <w:b w:val="0"/>
          <w:i/>
          <w:color w:val="2F5496"/>
          <w:sz w:val="16"/>
          <w:szCs w:val="16"/>
        </w:rPr>
        <w:fldChar w:fldCharType="begin"/>
      </w:r>
      <w:r w:rsidRPr="00ED4D49">
        <w:rPr>
          <w:b w:val="0"/>
          <w:i/>
          <w:color w:val="2F5496"/>
          <w:sz w:val="16"/>
          <w:szCs w:val="16"/>
        </w:rPr>
        <w:instrText xml:space="preserve"> SEQ Table \* ARABIC </w:instrText>
      </w:r>
      <w:r w:rsidRPr="00ED4D49">
        <w:rPr>
          <w:b w:val="0"/>
          <w:i/>
          <w:color w:val="2F5496"/>
          <w:sz w:val="16"/>
          <w:szCs w:val="16"/>
        </w:rPr>
        <w:fldChar w:fldCharType="separate"/>
      </w:r>
      <w:r w:rsidR="00F60130" w:rsidRPr="00ED4D49">
        <w:rPr>
          <w:b w:val="0"/>
          <w:i/>
          <w:noProof/>
          <w:color w:val="2F5496"/>
          <w:sz w:val="16"/>
          <w:szCs w:val="16"/>
        </w:rPr>
        <w:t>2</w:t>
      </w:r>
      <w:r w:rsidRPr="00ED4D49">
        <w:rPr>
          <w:b w:val="0"/>
          <w:i/>
          <w:color w:val="2F5496"/>
          <w:sz w:val="16"/>
          <w:szCs w:val="16"/>
        </w:rPr>
        <w:fldChar w:fldCharType="end"/>
      </w:r>
      <w:bookmarkEnd w:id="50"/>
      <w:r w:rsidRPr="00ED4D49">
        <w:rPr>
          <w:b w:val="0"/>
          <w:i/>
          <w:color w:val="2F5496"/>
          <w:sz w:val="16"/>
          <w:szCs w:val="16"/>
        </w:rPr>
        <w:t>:</w:t>
      </w:r>
      <w:r w:rsidRPr="00ED4D49">
        <w:rPr>
          <w:b w:val="0"/>
          <w:i/>
          <w:sz w:val="16"/>
          <w:szCs w:val="16"/>
        </w:rPr>
        <w:t xml:space="preserve"> </w:t>
      </w:r>
      <w:r w:rsidRPr="00ED4D49">
        <w:rPr>
          <w:b w:val="0"/>
          <w:i/>
          <w:color w:val="auto"/>
          <w:sz w:val="16"/>
          <w:szCs w:val="16"/>
        </w:rPr>
        <w:t xml:space="preserve">Protected areas </w:t>
      </w:r>
      <w:r w:rsidR="00691857" w:rsidRPr="00ED4D49">
        <w:rPr>
          <w:b w:val="0"/>
          <w:i/>
          <w:color w:val="auto"/>
          <w:sz w:val="16"/>
          <w:szCs w:val="16"/>
        </w:rPr>
        <w:t>within</w:t>
      </w:r>
      <w:r w:rsidRPr="00ED4D49">
        <w:rPr>
          <w:b w:val="0"/>
          <w:i/>
          <w:color w:val="auto"/>
          <w:sz w:val="16"/>
          <w:szCs w:val="16"/>
        </w:rPr>
        <w:t xml:space="preserve"> DRB in BiH</w:t>
      </w:r>
      <w:bookmarkEnd w:id="51"/>
    </w:p>
    <w:tbl>
      <w:tblPr>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5434"/>
        <w:gridCol w:w="1888"/>
        <w:gridCol w:w="1688"/>
      </w:tblGrid>
      <w:tr w:rsidR="00A405B0" w:rsidRPr="00ED4D49" w14:paraId="2D4DCA8E" w14:textId="77777777" w:rsidTr="00A405B0">
        <w:trPr>
          <w:tblHeader/>
        </w:trPr>
        <w:tc>
          <w:tcPr>
            <w:tcW w:w="3015" w:type="pct"/>
            <w:shd w:val="clear" w:color="auto" w:fill="auto"/>
          </w:tcPr>
          <w:p w14:paraId="6B818B47" w14:textId="0DFB6CD4" w:rsidR="00A405B0" w:rsidRPr="00ED4D49" w:rsidRDefault="00A405B0" w:rsidP="00A405B0">
            <w:pPr>
              <w:spacing w:before="0" w:after="0"/>
              <w:ind w:right="144"/>
              <w:jc w:val="both"/>
              <w:rPr>
                <w:rFonts w:cs="Calibri"/>
                <w:color w:val="336699"/>
                <w:sz w:val="16"/>
                <w:szCs w:val="16"/>
                <w:lang w:val="en-US"/>
              </w:rPr>
            </w:pPr>
            <w:r w:rsidRPr="00ED4D49">
              <w:rPr>
                <w:rFonts w:cs="Calibri"/>
                <w:color w:val="336699"/>
                <w:sz w:val="16"/>
                <w:szCs w:val="16"/>
                <w:lang w:val="en-US"/>
              </w:rPr>
              <w:t xml:space="preserve">Name and type of </w:t>
            </w:r>
            <w:r w:rsidR="001A1227" w:rsidRPr="00ED4D49">
              <w:rPr>
                <w:rFonts w:cs="Calibri"/>
                <w:color w:val="336699"/>
                <w:sz w:val="16"/>
                <w:szCs w:val="16"/>
                <w:lang w:val="en-US"/>
              </w:rPr>
              <w:t>p</w:t>
            </w:r>
            <w:r w:rsidRPr="00ED4D49">
              <w:rPr>
                <w:rFonts w:cs="Calibri"/>
                <w:color w:val="336699"/>
                <w:sz w:val="16"/>
                <w:szCs w:val="16"/>
                <w:lang w:val="en-US"/>
              </w:rPr>
              <w:t xml:space="preserve">rotected </w:t>
            </w:r>
            <w:r w:rsidR="001A1227" w:rsidRPr="00ED4D49">
              <w:rPr>
                <w:rFonts w:cs="Calibri"/>
                <w:color w:val="336699"/>
                <w:sz w:val="16"/>
                <w:szCs w:val="16"/>
                <w:lang w:val="en-US"/>
              </w:rPr>
              <w:t>a</w:t>
            </w:r>
            <w:r w:rsidRPr="00ED4D49">
              <w:rPr>
                <w:rFonts w:cs="Calibri"/>
                <w:color w:val="336699"/>
                <w:sz w:val="16"/>
                <w:szCs w:val="16"/>
                <w:lang w:val="en-US"/>
              </w:rPr>
              <w:t>rea</w:t>
            </w:r>
          </w:p>
        </w:tc>
        <w:tc>
          <w:tcPr>
            <w:tcW w:w="1048" w:type="pct"/>
            <w:shd w:val="clear" w:color="auto" w:fill="auto"/>
          </w:tcPr>
          <w:p w14:paraId="63C91FD9" w14:textId="402723DC" w:rsidR="00A405B0" w:rsidRPr="00ED4D49" w:rsidRDefault="00A405B0" w:rsidP="00A405B0">
            <w:pPr>
              <w:spacing w:before="0" w:after="0"/>
              <w:ind w:left="144" w:right="144"/>
              <w:rPr>
                <w:rFonts w:cs="Calibri"/>
                <w:color w:val="336699"/>
                <w:sz w:val="16"/>
                <w:szCs w:val="16"/>
                <w:lang w:val="en-US"/>
              </w:rPr>
            </w:pPr>
            <w:r w:rsidRPr="00ED4D49">
              <w:rPr>
                <w:rFonts w:cs="Calibri"/>
                <w:color w:val="336699"/>
                <w:sz w:val="16"/>
                <w:szCs w:val="16"/>
                <w:lang w:val="en-US"/>
              </w:rPr>
              <w:t xml:space="preserve">IUCN </w:t>
            </w:r>
            <w:r w:rsidR="001A1227" w:rsidRPr="00ED4D49">
              <w:rPr>
                <w:rFonts w:cs="Calibri"/>
                <w:color w:val="336699"/>
                <w:sz w:val="16"/>
                <w:szCs w:val="16"/>
                <w:lang w:val="en-US"/>
              </w:rPr>
              <w:t>s</w:t>
            </w:r>
            <w:r w:rsidRPr="00ED4D49">
              <w:rPr>
                <w:rFonts w:cs="Calibri"/>
                <w:color w:val="336699"/>
                <w:sz w:val="16"/>
                <w:szCs w:val="16"/>
                <w:lang w:val="en-US"/>
              </w:rPr>
              <w:t>tatus</w:t>
            </w:r>
          </w:p>
        </w:tc>
        <w:tc>
          <w:tcPr>
            <w:tcW w:w="937" w:type="pct"/>
          </w:tcPr>
          <w:p w14:paraId="35D7A7D1" w14:textId="77777777" w:rsidR="00A405B0" w:rsidRPr="00ED4D49" w:rsidRDefault="00A405B0" w:rsidP="00A405B0">
            <w:pPr>
              <w:spacing w:before="0" w:after="0"/>
              <w:ind w:left="144" w:right="144"/>
              <w:rPr>
                <w:rFonts w:cs="Calibri"/>
                <w:color w:val="336699"/>
                <w:sz w:val="16"/>
                <w:szCs w:val="16"/>
                <w:lang w:val="en-US"/>
              </w:rPr>
            </w:pPr>
            <w:r w:rsidRPr="00ED4D49">
              <w:rPr>
                <w:rFonts w:cs="Calibri"/>
                <w:color w:val="336699"/>
                <w:sz w:val="16"/>
                <w:szCs w:val="16"/>
                <w:lang w:val="en-US"/>
              </w:rPr>
              <w:t>Size (km</w:t>
            </w:r>
            <w:r w:rsidRPr="00ED4D49">
              <w:rPr>
                <w:rFonts w:cs="Calibri"/>
                <w:color w:val="336699"/>
                <w:sz w:val="16"/>
                <w:szCs w:val="16"/>
                <w:vertAlign w:val="superscript"/>
                <w:lang w:val="en-US"/>
              </w:rPr>
              <w:t>2</w:t>
            </w:r>
            <w:r w:rsidRPr="00ED4D49">
              <w:rPr>
                <w:rFonts w:cs="Calibri"/>
                <w:color w:val="336699"/>
                <w:sz w:val="16"/>
                <w:szCs w:val="16"/>
                <w:lang w:val="en-US"/>
              </w:rPr>
              <w:t>)</w:t>
            </w:r>
          </w:p>
        </w:tc>
      </w:tr>
      <w:tr w:rsidR="00A405B0" w:rsidRPr="00ED4D49" w14:paraId="38E77496" w14:textId="77777777" w:rsidTr="00A405B0">
        <w:trPr>
          <w:tblHeader/>
        </w:trPr>
        <w:tc>
          <w:tcPr>
            <w:tcW w:w="5000" w:type="pct"/>
            <w:gridSpan w:val="3"/>
            <w:shd w:val="clear" w:color="auto" w:fill="auto"/>
          </w:tcPr>
          <w:p w14:paraId="1C6063F5" w14:textId="77777777" w:rsidR="00A405B0" w:rsidRPr="00ED4D49" w:rsidRDefault="00A405B0" w:rsidP="00A405B0">
            <w:pPr>
              <w:spacing w:before="0" w:after="0"/>
              <w:ind w:right="144"/>
              <w:rPr>
                <w:rFonts w:cs="Calibri"/>
                <w:color w:val="336699"/>
                <w:sz w:val="16"/>
                <w:szCs w:val="16"/>
                <w:lang w:val="en-US"/>
              </w:rPr>
            </w:pPr>
            <w:r w:rsidRPr="00ED4D49">
              <w:rPr>
                <w:rFonts w:cs="Calibri"/>
                <w:b/>
                <w:sz w:val="16"/>
                <w:szCs w:val="16"/>
                <w:lang w:val="en-US"/>
              </w:rPr>
              <w:t>FBiH</w:t>
            </w:r>
          </w:p>
        </w:tc>
      </w:tr>
      <w:tr w:rsidR="00A405B0" w:rsidRPr="00ED4D49" w14:paraId="3C89E836" w14:textId="77777777" w:rsidTr="00A405B0">
        <w:tc>
          <w:tcPr>
            <w:tcW w:w="3015" w:type="pct"/>
            <w:shd w:val="clear" w:color="auto" w:fill="auto"/>
          </w:tcPr>
          <w:p w14:paraId="22707C61" w14:textId="77777777" w:rsidR="00A405B0" w:rsidRPr="00ED4D49" w:rsidRDefault="00A405B0" w:rsidP="00A405B0">
            <w:pPr>
              <w:jc w:val="both"/>
              <w:rPr>
                <w:rFonts w:cs="Calibri"/>
                <w:sz w:val="16"/>
                <w:szCs w:val="16"/>
                <w:lang w:val="en-US"/>
              </w:rPr>
            </w:pPr>
            <w:r w:rsidRPr="00ED4D49">
              <w:rPr>
                <w:rFonts w:cs="Calibri"/>
                <w:sz w:val="16"/>
                <w:szCs w:val="16"/>
                <w:lang w:val="en-US"/>
              </w:rPr>
              <w:t xml:space="preserve">Protected Landscape </w:t>
            </w:r>
            <w:proofErr w:type="spellStart"/>
            <w:r w:rsidRPr="00ED4D49">
              <w:rPr>
                <w:rFonts w:cs="Calibri"/>
                <w:sz w:val="16"/>
                <w:szCs w:val="16"/>
                <w:lang w:val="en-US"/>
              </w:rPr>
              <w:t>Konjuh</w:t>
            </w:r>
            <w:proofErr w:type="spellEnd"/>
            <w:r w:rsidRPr="00ED4D49">
              <w:rPr>
                <w:rFonts w:cs="Calibri"/>
                <w:sz w:val="16"/>
                <w:szCs w:val="16"/>
                <w:lang w:val="en-US"/>
              </w:rPr>
              <w:t xml:space="preserve"> (partially in the DRB)</w:t>
            </w:r>
          </w:p>
        </w:tc>
        <w:tc>
          <w:tcPr>
            <w:tcW w:w="1048" w:type="pct"/>
            <w:shd w:val="clear" w:color="auto" w:fill="auto"/>
          </w:tcPr>
          <w:p w14:paraId="50605F91" w14:textId="77777777" w:rsidR="00A405B0" w:rsidRPr="00ED4D49" w:rsidRDefault="00A405B0" w:rsidP="00A405B0">
            <w:pPr>
              <w:jc w:val="both"/>
              <w:rPr>
                <w:rFonts w:cs="Calibri"/>
                <w:sz w:val="16"/>
                <w:szCs w:val="16"/>
                <w:lang w:val="en-US"/>
              </w:rPr>
            </w:pPr>
            <w:r w:rsidRPr="00ED4D49">
              <w:rPr>
                <w:rFonts w:cs="Calibri"/>
                <w:sz w:val="16"/>
                <w:szCs w:val="16"/>
                <w:lang w:val="en-US"/>
              </w:rPr>
              <w:t>V</w:t>
            </w:r>
          </w:p>
        </w:tc>
        <w:tc>
          <w:tcPr>
            <w:tcW w:w="937" w:type="pct"/>
          </w:tcPr>
          <w:p w14:paraId="1C3F1EB6" w14:textId="77777777" w:rsidR="00A405B0" w:rsidRPr="00ED4D49" w:rsidRDefault="00A405B0" w:rsidP="00A405B0">
            <w:pPr>
              <w:jc w:val="both"/>
              <w:rPr>
                <w:rFonts w:cs="Calibri"/>
                <w:sz w:val="16"/>
                <w:szCs w:val="16"/>
                <w:lang w:val="en-US"/>
              </w:rPr>
            </w:pPr>
            <w:r w:rsidRPr="00ED4D49">
              <w:rPr>
                <w:rFonts w:cs="Calibri"/>
                <w:sz w:val="16"/>
                <w:szCs w:val="16"/>
                <w:lang w:val="en-US"/>
              </w:rPr>
              <w:t>80.16</w:t>
            </w:r>
          </w:p>
        </w:tc>
      </w:tr>
      <w:tr w:rsidR="00A405B0" w:rsidRPr="00ED4D49" w14:paraId="7C31E4A4" w14:textId="77777777" w:rsidTr="00A405B0">
        <w:tc>
          <w:tcPr>
            <w:tcW w:w="5000" w:type="pct"/>
            <w:gridSpan w:val="3"/>
            <w:shd w:val="clear" w:color="auto" w:fill="auto"/>
          </w:tcPr>
          <w:p w14:paraId="119E2D05" w14:textId="77777777" w:rsidR="00A405B0" w:rsidRPr="00ED4D49" w:rsidRDefault="00A405B0" w:rsidP="00A405B0">
            <w:pPr>
              <w:jc w:val="both"/>
              <w:rPr>
                <w:rFonts w:cs="Calibri"/>
                <w:sz w:val="16"/>
                <w:szCs w:val="16"/>
                <w:lang w:val="en-US"/>
              </w:rPr>
            </w:pPr>
            <w:proofErr w:type="spellStart"/>
            <w:r w:rsidRPr="00ED4D49">
              <w:rPr>
                <w:rFonts w:cs="Calibri"/>
                <w:b/>
                <w:sz w:val="16"/>
                <w:szCs w:val="16"/>
                <w:lang w:val="en-US"/>
              </w:rPr>
              <w:t>Republika</w:t>
            </w:r>
            <w:proofErr w:type="spellEnd"/>
            <w:r w:rsidRPr="00ED4D49">
              <w:rPr>
                <w:rFonts w:cs="Calibri"/>
                <w:b/>
                <w:sz w:val="16"/>
                <w:szCs w:val="16"/>
                <w:lang w:val="en-US"/>
              </w:rPr>
              <w:t xml:space="preserve"> Srpska</w:t>
            </w:r>
          </w:p>
        </w:tc>
      </w:tr>
      <w:tr w:rsidR="00A405B0" w:rsidRPr="00ED4D49" w14:paraId="1D8619E5" w14:textId="77777777" w:rsidTr="00A405B0">
        <w:tc>
          <w:tcPr>
            <w:tcW w:w="3015" w:type="pct"/>
            <w:shd w:val="clear" w:color="auto" w:fill="auto"/>
          </w:tcPr>
          <w:p w14:paraId="211D60E4" w14:textId="77777777" w:rsidR="00A405B0" w:rsidRPr="00ED4D49" w:rsidRDefault="00A405B0" w:rsidP="00A405B0">
            <w:pPr>
              <w:jc w:val="both"/>
              <w:rPr>
                <w:rFonts w:cs="Calibri"/>
                <w:sz w:val="16"/>
                <w:szCs w:val="16"/>
                <w:lang w:val="en-US"/>
              </w:rPr>
            </w:pPr>
            <w:r w:rsidRPr="00ED4D49">
              <w:rPr>
                <w:rFonts w:cs="Calibri"/>
                <w:sz w:val="16"/>
                <w:szCs w:val="16"/>
                <w:lang w:val="en-US"/>
              </w:rPr>
              <w:t>National Park Drina</w:t>
            </w:r>
          </w:p>
        </w:tc>
        <w:tc>
          <w:tcPr>
            <w:tcW w:w="1048" w:type="pct"/>
            <w:shd w:val="clear" w:color="auto" w:fill="auto"/>
          </w:tcPr>
          <w:p w14:paraId="7F1AC14C" w14:textId="77777777" w:rsidR="00A405B0" w:rsidRPr="00ED4D49" w:rsidRDefault="00A405B0" w:rsidP="00A405B0">
            <w:pPr>
              <w:jc w:val="both"/>
              <w:rPr>
                <w:rFonts w:cs="Calibri"/>
                <w:sz w:val="16"/>
                <w:szCs w:val="16"/>
                <w:lang w:val="en-US"/>
              </w:rPr>
            </w:pPr>
            <w:r w:rsidRPr="00ED4D49">
              <w:rPr>
                <w:rFonts w:cs="Calibri"/>
                <w:sz w:val="16"/>
                <w:szCs w:val="16"/>
                <w:lang w:val="en-US"/>
              </w:rPr>
              <w:t>II</w:t>
            </w:r>
          </w:p>
        </w:tc>
        <w:tc>
          <w:tcPr>
            <w:tcW w:w="937" w:type="pct"/>
          </w:tcPr>
          <w:p w14:paraId="407682D6" w14:textId="77777777" w:rsidR="00A405B0" w:rsidRPr="00ED4D49" w:rsidRDefault="00A405B0" w:rsidP="00A405B0">
            <w:pPr>
              <w:jc w:val="both"/>
              <w:rPr>
                <w:rFonts w:cs="Calibri"/>
                <w:sz w:val="16"/>
                <w:szCs w:val="16"/>
                <w:lang w:val="en-US"/>
              </w:rPr>
            </w:pPr>
            <w:r w:rsidRPr="00ED4D49">
              <w:rPr>
                <w:rFonts w:cs="Calibri"/>
                <w:sz w:val="16"/>
                <w:szCs w:val="16"/>
                <w:lang w:val="en-US"/>
              </w:rPr>
              <w:t>63</w:t>
            </w:r>
          </w:p>
        </w:tc>
      </w:tr>
      <w:tr w:rsidR="00A405B0" w:rsidRPr="00ED4D49" w14:paraId="1F14B2C8" w14:textId="77777777" w:rsidTr="00A405B0">
        <w:tc>
          <w:tcPr>
            <w:tcW w:w="3015" w:type="pct"/>
            <w:shd w:val="clear" w:color="auto" w:fill="auto"/>
          </w:tcPr>
          <w:p w14:paraId="3C9C2AFA" w14:textId="2A6A1D21" w:rsidR="00A405B0" w:rsidRPr="00ED4D49" w:rsidRDefault="00A405B0" w:rsidP="00A405B0">
            <w:pPr>
              <w:jc w:val="both"/>
              <w:rPr>
                <w:rFonts w:cs="Calibri"/>
                <w:sz w:val="16"/>
                <w:szCs w:val="16"/>
                <w:lang w:val="en-US"/>
              </w:rPr>
            </w:pPr>
            <w:r w:rsidRPr="00ED4D49">
              <w:rPr>
                <w:rFonts w:cs="Calibri"/>
                <w:sz w:val="16"/>
                <w:szCs w:val="16"/>
                <w:lang w:val="en-US"/>
              </w:rPr>
              <w:t xml:space="preserve">Special Nature Reserve </w:t>
            </w:r>
            <w:proofErr w:type="spellStart"/>
            <w:r w:rsidRPr="00ED4D49">
              <w:rPr>
                <w:rFonts w:cs="Calibri"/>
                <w:sz w:val="16"/>
                <w:szCs w:val="16"/>
                <w:lang w:val="en-US"/>
              </w:rPr>
              <w:t>Gromi</w:t>
            </w:r>
            <w:r w:rsidR="00C6478C" w:rsidRPr="00ED4D49">
              <w:rPr>
                <w:rFonts w:cs="Calibri"/>
                <w:sz w:val="16"/>
                <w:szCs w:val="16"/>
                <w:lang w:val="en-US"/>
              </w:rPr>
              <w:t>z</w:t>
            </w:r>
            <w:r w:rsidRPr="00ED4D49">
              <w:rPr>
                <w:rFonts w:cs="Calibri"/>
                <w:sz w:val="16"/>
                <w:szCs w:val="16"/>
                <w:lang w:val="en-US"/>
              </w:rPr>
              <w:t>elj</w:t>
            </w:r>
            <w:proofErr w:type="spellEnd"/>
          </w:p>
        </w:tc>
        <w:tc>
          <w:tcPr>
            <w:tcW w:w="1048" w:type="pct"/>
            <w:shd w:val="clear" w:color="auto" w:fill="auto"/>
          </w:tcPr>
          <w:p w14:paraId="4E2988EB" w14:textId="4A29B43B" w:rsidR="00A405B0" w:rsidRPr="00ED4D49" w:rsidRDefault="002127E8" w:rsidP="00A405B0">
            <w:pPr>
              <w:jc w:val="both"/>
              <w:rPr>
                <w:rFonts w:cs="Calibri"/>
                <w:sz w:val="16"/>
                <w:szCs w:val="16"/>
                <w:lang w:val="en-US"/>
              </w:rPr>
            </w:pPr>
            <w:r w:rsidRPr="00ED4D49">
              <w:rPr>
                <w:rFonts w:cs="Calibri"/>
                <w:sz w:val="16"/>
                <w:szCs w:val="16"/>
                <w:lang w:val="en-US"/>
              </w:rPr>
              <w:t>IV</w:t>
            </w:r>
          </w:p>
        </w:tc>
        <w:tc>
          <w:tcPr>
            <w:tcW w:w="937" w:type="pct"/>
          </w:tcPr>
          <w:p w14:paraId="2A767FE1" w14:textId="77777777" w:rsidR="00A405B0" w:rsidRPr="00ED4D49" w:rsidRDefault="00A405B0" w:rsidP="00A405B0">
            <w:pPr>
              <w:jc w:val="both"/>
              <w:rPr>
                <w:rFonts w:cs="Calibri"/>
                <w:sz w:val="16"/>
                <w:szCs w:val="16"/>
                <w:lang w:val="en-US"/>
              </w:rPr>
            </w:pPr>
            <w:r w:rsidRPr="00ED4D49">
              <w:rPr>
                <w:rFonts w:cs="Calibri"/>
                <w:sz w:val="16"/>
                <w:szCs w:val="16"/>
                <w:lang w:val="en-US"/>
              </w:rPr>
              <w:t>8.33</w:t>
            </w:r>
          </w:p>
        </w:tc>
      </w:tr>
      <w:tr w:rsidR="00A405B0" w:rsidRPr="00ED4D49" w14:paraId="7251F68A" w14:textId="77777777" w:rsidTr="00A405B0">
        <w:tc>
          <w:tcPr>
            <w:tcW w:w="3015" w:type="pct"/>
            <w:shd w:val="clear" w:color="auto" w:fill="auto"/>
          </w:tcPr>
          <w:p w14:paraId="781B668A" w14:textId="77777777" w:rsidR="00A405B0" w:rsidRPr="00ED4D49" w:rsidRDefault="00A405B0" w:rsidP="00A405B0">
            <w:pPr>
              <w:jc w:val="both"/>
              <w:rPr>
                <w:rFonts w:cs="Calibri"/>
                <w:sz w:val="16"/>
                <w:szCs w:val="16"/>
                <w:lang w:val="en-US"/>
              </w:rPr>
            </w:pPr>
            <w:r w:rsidRPr="00ED4D49">
              <w:rPr>
                <w:rFonts w:cs="Calibri"/>
                <w:sz w:val="16"/>
                <w:szCs w:val="16"/>
                <w:lang w:val="en-US"/>
              </w:rPr>
              <w:t xml:space="preserve">National Park </w:t>
            </w:r>
            <w:proofErr w:type="spellStart"/>
            <w:r w:rsidRPr="00ED4D49">
              <w:rPr>
                <w:rFonts w:cs="Calibri"/>
                <w:sz w:val="16"/>
                <w:szCs w:val="16"/>
                <w:lang w:val="en-US"/>
              </w:rPr>
              <w:t>Sutjeska</w:t>
            </w:r>
            <w:proofErr w:type="spellEnd"/>
          </w:p>
        </w:tc>
        <w:tc>
          <w:tcPr>
            <w:tcW w:w="1048" w:type="pct"/>
            <w:shd w:val="clear" w:color="auto" w:fill="auto"/>
          </w:tcPr>
          <w:p w14:paraId="4E39ABB3" w14:textId="77777777" w:rsidR="00A405B0" w:rsidRPr="00ED4D49" w:rsidRDefault="00A405B0" w:rsidP="00A405B0">
            <w:pPr>
              <w:jc w:val="both"/>
              <w:rPr>
                <w:rFonts w:cs="Calibri"/>
                <w:sz w:val="16"/>
                <w:szCs w:val="16"/>
                <w:lang w:val="en-US"/>
              </w:rPr>
            </w:pPr>
            <w:r w:rsidRPr="00ED4D49">
              <w:rPr>
                <w:rFonts w:cs="Calibri"/>
                <w:sz w:val="16"/>
                <w:szCs w:val="16"/>
                <w:lang w:val="en-US"/>
              </w:rPr>
              <w:t>II</w:t>
            </w:r>
          </w:p>
        </w:tc>
        <w:tc>
          <w:tcPr>
            <w:tcW w:w="937" w:type="pct"/>
          </w:tcPr>
          <w:p w14:paraId="157CDDB4" w14:textId="77777777" w:rsidR="00A405B0" w:rsidRPr="00ED4D49" w:rsidRDefault="00A405B0" w:rsidP="00A405B0">
            <w:pPr>
              <w:jc w:val="both"/>
              <w:rPr>
                <w:rFonts w:cs="Calibri"/>
                <w:sz w:val="16"/>
                <w:szCs w:val="16"/>
                <w:lang w:val="en-US"/>
              </w:rPr>
            </w:pPr>
            <w:r w:rsidRPr="00ED4D49">
              <w:rPr>
                <w:rFonts w:cs="Calibri"/>
                <w:sz w:val="16"/>
                <w:szCs w:val="16"/>
                <w:lang w:val="en-US"/>
              </w:rPr>
              <w:t>160.52</w:t>
            </w:r>
          </w:p>
        </w:tc>
      </w:tr>
      <w:tr w:rsidR="00A405B0" w:rsidRPr="00ED4D49" w14:paraId="13D85728" w14:textId="77777777" w:rsidTr="00A405B0">
        <w:tc>
          <w:tcPr>
            <w:tcW w:w="3015" w:type="pct"/>
            <w:shd w:val="clear" w:color="auto" w:fill="auto"/>
          </w:tcPr>
          <w:p w14:paraId="4D6BF628" w14:textId="231B19BC" w:rsidR="00A405B0" w:rsidRPr="00ED4D49" w:rsidRDefault="00A405B0" w:rsidP="00A405B0">
            <w:pPr>
              <w:jc w:val="both"/>
              <w:rPr>
                <w:rFonts w:cs="Calibri"/>
                <w:sz w:val="16"/>
                <w:szCs w:val="16"/>
                <w:lang w:val="en-US"/>
              </w:rPr>
            </w:pPr>
            <w:r w:rsidRPr="00ED4D49">
              <w:rPr>
                <w:rFonts w:cs="Calibri"/>
                <w:sz w:val="16"/>
                <w:szCs w:val="16"/>
                <w:lang w:val="en-US"/>
              </w:rPr>
              <w:t xml:space="preserve">Special Nature Reserve </w:t>
            </w:r>
            <w:proofErr w:type="spellStart"/>
            <w:r w:rsidRPr="00ED4D49">
              <w:rPr>
                <w:rFonts w:cs="Calibri"/>
                <w:sz w:val="16"/>
                <w:szCs w:val="16"/>
                <w:lang w:val="en-US"/>
              </w:rPr>
              <w:t>Peru</w:t>
            </w:r>
            <w:r w:rsidR="00C6478C" w:rsidRPr="00ED4D49">
              <w:rPr>
                <w:rFonts w:cs="Calibri"/>
                <w:sz w:val="16"/>
                <w:szCs w:val="16"/>
                <w:lang w:val="en-US"/>
              </w:rPr>
              <w:t>c</w:t>
            </w:r>
            <w:r w:rsidRPr="00ED4D49">
              <w:rPr>
                <w:rFonts w:cs="Calibri"/>
                <w:sz w:val="16"/>
                <w:szCs w:val="16"/>
                <w:lang w:val="en-US"/>
              </w:rPr>
              <w:t>ica</w:t>
            </w:r>
            <w:proofErr w:type="spellEnd"/>
            <w:r w:rsidRPr="00ED4D49">
              <w:rPr>
                <w:rFonts w:cs="Calibri"/>
                <w:sz w:val="16"/>
                <w:szCs w:val="16"/>
                <w:lang w:val="en-US"/>
              </w:rPr>
              <w:t xml:space="preserve"> (part of NP </w:t>
            </w:r>
            <w:proofErr w:type="spellStart"/>
            <w:r w:rsidRPr="00ED4D49">
              <w:rPr>
                <w:rFonts w:cs="Calibri"/>
                <w:sz w:val="16"/>
                <w:szCs w:val="16"/>
                <w:lang w:val="en-US"/>
              </w:rPr>
              <w:t>Sutjeska</w:t>
            </w:r>
            <w:proofErr w:type="spellEnd"/>
            <w:r w:rsidRPr="00ED4D49">
              <w:rPr>
                <w:rFonts w:cs="Calibri"/>
                <w:sz w:val="16"/>
                <w:szCs w:val="16"/>
                <w:lang w:val="en-US"/>
              </w:rPr>
              <w:t>)</w:t>
            </w:r>
          </w:p>
        </w:tc>
        <w:tc>
          <w:tcPr>
            <w:tcW w:w="1048" w:type="pct"/>
            <w:shd w:val="clear" w:color="auto" w:fill="auto"/>
          </w:tcPr>
          <w:p w14:paraId="41CF3745" w14:textId="77777777" w:rsidR="00A405B0" w:rsidRPr="00ED4D49" w:rsidRDefault="00A405B0" w:rsidP="00A405B0">
            <w:pPr>
              <w:jc w:val="both"/>
              <w:rPr>
                <w:rFonts w:cs="Calibri"/>
                <w:sz w:val="16"/>
                <w:szCs w:val="16"/>
                <w:lang w:val="en-US"/>
              </w:rPr>
            </w:pPr>
            <w:proofErr w:type="spellStart"/>
            <w:r w:rsidRPr="00ED4D49">
              <w:rPr>
                <w:rFonts w:cs="Calibri"/>
                <w:sz w:val="16"/>
                <w:szCs w:val="16"/>
                <w:lang w:val="en-US"/>
              </w:rPr>
              <w:t>Ia</w:t>
            </w:r>
            <w:proofErr w:type="spellEnd"/>
          </w:p>
        </w:tc>
        <w:tc>
          <w:tcPr>
            <w:tcW w:w="937" w:type="pct"/>
          </w:tcPr>
          <w:p w14:paraId="45882AA2" w14:textId="77777777" w:rsidR="00A405B0" w:rsidRPr="00ED4D49" w:rsidRDefault="00A405B0" w:rsidP="00A405B0">
            <w:pPr>
              <w:jc w:val="both"/>
              <w:rPr>
                <w:rFonts w:cs="Calibri"/>
                <w:sz w:val="16"/>
                <w:szCs w:val="16"/>
                <w:lang w:val="en-US"/>
              </w:rPr>
            </w:pPr>
            <w:r w:rsidRPr="00ED4D49">
              <w:rPr>
                <w:rFonts w:cs="Calibri"/>
                <w:sz w:val="16"/>
                <w:szCs w:val="16"/>
                <w:lang w:val="en-US"/>
              </w:rPr>
              <w:t>14.34</w:t>
            </w:r>
          </w:p>
        </w:tc>
      </w:tr>
    </w:tbl>
    <w:p w14:paraId="2178A379" w14:textId="77777777" w:rsidR="00A75A70" w:rsidRPr="00ED4D49" w:rsidRDefault="00A405B0" w:rsidP="00A405B0">
      <w:pPr>
        <w:jc w:val="both"/>
        <w:rPr>
          <w:rFonts w:cs="Calibri"/>
          <w:szCs w:val="20"/>
          <w:lang w:val="en-US" w:eastAsia="bs-Latn-BA"/>
        </w:rPr>
      </w:pPr>
      <w:r w:rsidRPr="00ED4D49">
        <w:rPr>
          <w:rFonts w:cs="Calibri"/>
          <w:szCs w:val="20"/>
          <w:lang w:val="en-US"/>
        </w:rPr>
        <w:t xml:space="preserve">The DRB is not sufficiently protected </w:t>
      </w:r>
      <w:r w:rsidR="001A1227" w:rsidRPr="00ED4D49">
        <w:rPr>
          <w:rFonts w:cs="Calibri"/>
          <w:szCs w:val="20"/>
          <w:lang w:val="en-US"/>
        </w:rPr>
        <w:t>considering</w:t>
      </w:r>
      <w:r w:rsidRPr="00ED4D49">
        <w:rPr>
          <w:rFonts w:cs="Calibri"/>
          <w:szCs w:val="20"/>
          <w:lang w:val="en-US"/>
        </w:rPr>
        <w:t xml:space="preserve"> the fact that it </w:t>
      </w:r>
      <w:r w:rsidR="001A1227" w:rsidRPr="00ED4D49">
        <w:rPr>
          <w:rFonts w:cs="Calibri"/>
          <w:szCs w:val="20"/>
          <w:lang w:val="en-US"/>
        </w:rPr>
        <w:t>has an</w:t>
      </w:r>
      <w:r w:rsidRPr="00ED4D49">
        <w:rPr>
          <w:rFonts w:cs="Calibri"/>
          <w:szCs w:val="20"/>
          <w:lang w:val="en-US"/>
        </w:rPr>
        <w:t xml:space="preserve"> above average </w:t>
      </w:r>
      <w:r w:rsidR="001A1227" w:rsidRPr="00ED4D49">
        <w:rPr>
          <w:rFonts w:cs="Calibri"/>
          <w:szCs w:val="20"/>
          <w:lang w:val="en-US"/>
        </w:rPr>
        <w:t>level of</w:t>
      </w:r>
      <w:r w:rsidRPr="00ED4D49">
        <w:rPr>
          <w:rFonts w:cs="Calibri"/>
          <w:szCs w:val="20"/>
          <w:lang w:val="en-US"/>
        </w:rPr>
        <w:t xml:space="preserve"> biodiversity and diversity of habitats. There are some areas</w:t>
      </w:r>
      <w:r w:rsidR="00793996" w:rsidRPr="00ED4D49">
        <w:rPr>
          <w:rFonts w:cs="Calibri"/>
          <w:szCs w:val="20"/>
          <w:lang w:val="en-US"/>
        </w:rPr>
        <w:t xml:space="preserve"> in the </w:t>
      </w:r>
      <w:r w:rsidRPr="00ED4D49">
        <w:rPr>
          <w:rFonts w:cs="Calibri"/>
          <w:szCs w:val="20"/>
          <w:lang w:val="en-US"/>
        </w:rPr>
        <w:t>DRB</w:t>
      </w:r>
      <w:r w:rsidR="00793996" w:rsidRPr="00ED4D49">
        <w:rPr>
          <w:rFonts w:cs="Calibri"/>
          <w:szCs w:val="20"/>
          <w:lang w:val="en-US"/>
        </w:rPr>
        <w:t xml:space="preserve"> that are planned</w:t>
      </w:r>
      <w:r w:rsidRPr="00ED4D49">
        <w:rPr>
          <w:rFonts w:cs="Calibri"/>
          <w:szCs w:val="20"/>
          <w:lang w:val="en-US"/>
        </w:rPr>
        <w:t xml:space="preserve"> to be protected</w:t>
      </w:r>
      <w:r w:rsidR="00793996" w:rsidRPr="00ED4D49">
        <w:rPr>
          <w:rFonts w:cs="Calibri"/>
          <w:szCs w:val="20"/>
          <w:lang w:val="en-US"/>
        </w:rPr>
        <w:t xml:space="preserve"> </w:t>
      </w:r>
      <w:r w:rsidRPr="00ED4D49">
        <w:rPr>
          <w:rFonts w:cs="Calibri"/>
          <w:szCs w:val="20"/>
          <w:lang w:val="en-US"/>
        </w:rPr>
        <w:t xml:space="preserve">in </w:t>
      </w:r>
      <w:proofErr w:type="spellStart"/>
      <w:r w:rsidR="007F405B" w:rsidRPr="00ED4D49">
        <w:rPr>
          <w:rFonts w:cs="Calibri"/>
          <w:szCs w:val="20"/>
          <w:lang w:val="en-US"/>
        </w:rPr>
        <w:t>Republika</w:t>
      </w:r>
      <w:proofErr w:type="spellEnd"/>
      <w:r w:rsidRPr="00ED4D49">
        <w:rPr>
          <w:rFonts w:cs="Calibri"/>
          <w:szCs w:val="20"/>
          <w:lang w:val="en-US"/>
        </w:rPr>
        <w:t xml:space="preserve"> Srpska, which could </w:t>
      </w:r>
      <w:r w:rsidR="001A1227" w:rsidRPr="00ED4D49">
        <w:rPr>
          <w:rFonts w:cs="Calibri"/>
          <w:szCs w:val="20"/>
          <w:lang w:val="en-US"/>
        </w:rPr>
        <w:t>ensure</w:t>
      </w:r>
      <w:r w:rsidRPr="00ED4D49">
        <w:rPr>
          <w:rFonts w:cs="Calibri"/>
          <w:szCs w:val="20"/>
          <w:lang w:val="en-US"/>
        </w:rPr>
        <w:t xml:space="preserve"> better protection regarding terrestrial habitats</w:t>
      </w:r>
      <w:r w:rsidR="001A1227" w:rsidRPr="00ED4D49">
        <w:rPr>
          <w:rFonts w:cs="Calibri"/>
          <w:szCs w:val="20"/>
          <w:lang w:val="en-US"/>
        </w:rPr>
        <w:t>,</w:t>
      </w:r>
      <w:r w:rsidRPr="00ED4D49">
        <w:rPr>
          <w:rFonts w:cs="Calibri"/>
          <w:szCs w:val="20"/>
          <w:lang w:val="en-US"/>
        </w:rPr>
        <w:t xml:space="preserve"> but the benefit</w:t>
      </w:r>
      <w:r w:rsidR="001A1227" w:rsidRPr="00ED4D49">
        <w:rPr>
          <w:rFonts w:cs="Calibri"/>
          <w:szCs w:val="20"/>
          <w:lang w:val="en-US"/>
        </w:rPr>
        <w:t>s</w:t>
      </w:r>
      <w:r w:rsidRPr="00ED4D49">
        <w:rPr>
          <w:rFonts w:cs="Calibri"/>
          <w:szCs w:val="20"/>
          <w:lang w:val="en-US"/>
        </w:rPr>
        <w:t xml:space="preserve"> </w:t>
      </w:r>
      <w:r w:rsidR="001A1227" w:rsidRPr="00ED4D49">
        <w:rPr>
          <w:rFonts w:cs="Calibri"/>
          <w:szCs w:val="20"/>
          <w:lang w:val="en-US"/>
        </w:rPr>
        <w:t>of</w:t>
      </w:r>
      <w:r w:rsidRPr="00ED4D49">
        <w:rPr>
          <w:rFonts w:cs="Calibri"/>
          <w:szCs w:val="20"/>
          <w:lang w:val="en-US"/>
        </w:rPr>
        <w:t xml:space="preserve"> preservation of aquatic biodiversity </w:t>
      </w:r>
      <w:r w:rsidR="001A1227" w:rsidRPr="00ED4D49">
        <w:rPr>
          <w:rFonts w:cs="Calibri"/>
          <w:szCs w:val="20"/>
          <w:lang w:val="en-US"/>
        </w:rPr>
        <w:t>are</w:t>
      </w:r>
      <w:r w:rsidRPr="00ED4D49">
        <w:rPr>
          <w:rFonts w:cs="Calibri"/>
          <w:szCs w:val="20"/>
          <w:lang w:val="en-US"/>
        </w:rPr>
        <w:t xml:space="preserve"> rarely considered in the plans for protection. </w:t>
      </w:r>
      <w:r w:rsidRPr="00ED4D49">
        <w:rPr>
          <w:rFonts w:cs="Calibri"/>
          <w:szCs w:val="20"/>
          <w:lang w:val="en-US" w:eastAsia="bs-Latn-BA"/>
        </w:rPr>
        <w:t xml:space="preserve">However, </w:t>
      </w:r>
      <w:r w:rsidR="001A1227" w:rsidRPr="00ED4D49">
        <w:rPr>
          <w:rFonts w:cs="Calibri"/>
          <w:szCs w:val="20"/>
          <w:lang w:val="en-US" w:eastAsia="bs-Latn-BA"/>
        </w:rPr>
        <w:t xml:space="preserve">an </w:t>
      </w:r>
      <w:r w:rsidRPr="00ED4D49">
        <w:rPr>
          <w:rFonts w:cs="Calibri"/>
          <w:szCs w:val="20"/>
          <w:lang w:val="en-US" w:eastAsia="bs-Latn-BA"/>
        </w:rPr>
        <w:t>important step towards nature conservation has been made by establishing</w:t>
      </w:r>
      <w:r w:rsidR="00A75A70" w:rsidRPr="00ED4D49">
        <w:rPr>
          <w:rFonts w:cs="Calibri"/>
          <w:szCs w:val="20"/>
          <w:lang w:val="en-US" w:eastAsia="bs-Latn-BA"/>
        </w:rPr>
        <w:t xml:space="preserve"> the</w:t>
      </w:r>
      <w:r w:rsidRPr="00ED4D49">
        <w:rPr>
          <w:rFonts w:cs="Calibri"/>
          <w:szCs w:val="20"/>
          <w:lang w:val="en-US" w:eastAsia="bs-Latn-BA"/>
        </w:rPr>
        <w:t xml:space="preserve"> National Park Drina in 2017. </w:t>
      </w:r>
    </w:p>
    <w:p w14:paraId="6C4A03AF" w14:textId="68488C64" w:rsidR="00A405B0" w:rsidRPr="00ED4D49" w:rsidRDefault="00793996" w:rsidP="00A405B0">
      <w:pPr>
        <w:jc w:val="both"/>
        <w:rPr>
          <w:lang w:val="en-US"/>
        </w:rPr>
      </w:pPr>
      <w:r w:rsidRPr="00ED4D49">
        <w:rPr>
          <w:rFonts w:cs="Calibri"/>
          <w:szCs w:val="20"/>
          <w:lang w:val="en-US" w:eastAsia="hr-HR"/>
        </w:rPr>
        <w:t>The p</w:t>
      </w:r>
      <w:r w:rsidR="00A405B0" w:rsidRPr="00ED4D49">
        <w:rPr>
          <w:rFonts w:cs="Calibri"/>
          <w:szCs w:val="20"/>
          <w:lang w:val="en-US" w:eastAsia="hr-HR"/>
        </w:rPr>
        <w:t xml:space="preserve">rotected areas located within the DRB in BiH are </w:t>
      </w:r>
      <w:r w:rsidR="00A405B0" w:rsidRPr="00ED4D49">
        <w:rPr>
          <w:rFonts w:cs="Calibri"/>
          <w:szCs w:val="20"/>
          <w:lang w:val="en-US" w:eastAsia="bs-Latn-BA"/>
        </w:rPr>
        <w:t xml:space="preserve">shown in </w:t>
      </w:r>
      <w:r w:rsidR="00A405B0" w:rsidRPr="00ED4D49">
        <w:rPr>
          <w:rFonts w:cs="Calibri"/>
          <w:szCs w:val="20"/>
          <w:lang w:val="en-US" w:eastAsia="bs-Latn-BA"/>
        </w:rPr>
        <w:fldChar w:fldCharType="begin"/>
      </w:r>
      <w:r w:rsidR="00A405B0" w:rsidRPr="00ED4D49">
        <w:rPr>
          <w:rFonts w:cs="Calibri"/>
          <w:szCs w:val="20"/>
          <w:lang w:val="en-US" w:eastAsia="bs-Latn-BA"/>
        </w:rPr>
        <w:instrText xml:space="preserve"> REF _Ref20913780 \h  \* MERGEFORMAT </w:instrText>
      </w:r>
      <w:r w:rsidR="00A405B0" w:rsidRPr="00ED4D49">
        <w:rPr>
          <w:rFonts w:cs="Calibri"/>
          <w:szCs w:val="20"/>
          <w:lang w:val="en-US" w:eastAsia="bs-Latn-BA"/>
        </w:rPr>
      </w:r>
      <w:r w:rsidR="00A405B0" w:rsidRPr="00ED4D49">
        <w:rPr>
          <w:rFonts w:cs="Calibri"/>
          <w:szCs w:val="20"/>
          <w:lang w:val="en-US" w:eastAsia="bs-Latn-BA"/>
        </w:rPr>
        <w:fldChar w:fldCharType="separate"/>
      </w:r>
      <w:r w:rsidR="00F60130" w:rsidRPr="00ED4D49">
        <w:rPr>
          <w:rFonts w:cs="Calibri"/>
          <w:szCs w:val="20"/>
          <w:lang w:val="en-US" w:eastAsia="bs-Latn-BA"/>
        </w:rPr>
        <w:t>Figure 5</w:t>
      </w:r>
      <w:r w:rsidR="00A405B0" w:rsidRPr="00ED4D49">
        <w:rPr>
          <w:rFonts w:cs="Calibri"/>
          <w:szCs w:val="20"/>
          <w:lang w:val="en-US" w:eastAsia="bs-Latn-BA"/>
        </w:rPr>
        <w:fldChar w:fldCharType="end"/>
      </w:r>
      <w:r w:rsidR="00A405B0" w:rsidRPr="00ED4D49">
        <w:rPr>
          <w:rFonts w:cs="Calibri"/>
          <w:szCs w:val="20"/>
          <w:lang w:val="en-US" w:eastAsia="bs-Latn-BA"/>
        </w:rPr>
        <w:t>.</w:t>
      </w:r>
      <w:r w:rsidR="00A405B0" w:rsidRPr="00ED4D49">
        <w:rPr>
          <w:lang w:val="en-US"/>
        </w:rPr>
        <w:t xml:space="preserve"> </w:t>
      </w:r>
    </w:p>
    <w:p w14:paraId="11B368A9" w14:textId="77777777" w:rsidR="0063606C" w:rsidRPr="00ED4D49" w:rsidRDefault="0063606C" w:rsidP="00A405B0">
      <w:pPr>
        <w:jc w:val="both"/>
        <w:rPr>
          <w:rFonts w:cs="Calibri"/>
          <w:szCs w:val="20"/>
          <w:lang w:val="en-US" w:eastAsia="bs-Latn-BA"/>
        </w:rPr>
      </w:pPr>
    </w:p>
    <w:p w14:paraId="6E7C31E7" w14:textId="1157F680" w:rsidR="00A405B0" w:rsidRPr="00ED4D49" w:rsidRDefault="003162D3" w:rsidP="00A405B0">
      <w:pPr>
        <w:jc w:val="both"/>
        <w:rPr>
          <w:rFonts w:cs="Calibri"/>
          <w:szCs w:val="20"/>
          <w:lang w:val="en-US"/>
        </w:rPr>
      </w:pPr>
      <w:r w:rsidRPr="00ED4D49">
        <w:rPr>
          <w:rFonts w:cs="Calibri"/>
          <w:noProof/>
          <w:szCs w:val="20"/>
          <w:lang w:val="bs-Latn-BA" w:eastAsia="bs-Latn-BA"/>
        </w:rPr>
        <w:drawing>
          <wp:inline distT="0" distB="0" distL="0" distR="0" wp14:anchorId="76984046" wp14:editId="17AE510F">
            <wp:extent cx="5727700" cy="404749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Zasticena podrucja.jpg"/>
                    <pic:cNvPicPr/>
                  </pic:nvPicPr>
                  <pic:blipFill>
                    <a:blip r:embed="rId23" cstate="screen">
                      <a:extLst>
                        <a:ext uri="{28A0092B-C50C-407E-A947-70E740481C1C}">
                          <a14:useLocalDpi xmlns:a14="http://schemas.microsoft.com/office/drawing/2010/main"/>
                        </a:ext>
                      </a:extLst>
                    </a:blip>
                    <a:stretch>
                      <a:fillRect/>
                    </a:stretch>
                  </pic:blipFill>
                  <pic:spPr>
                    <a:xfrm>
                      <a:off x="0" y="0"/>
                      <a:ext cx="5727700" cy="4047490"/>
                    </a:xfrm>
                    <a:prstGeom prst="rect">
                      <a:avLst/>
                    </a:prstGeom>
                  </pic:spPr>
                </pic:pic>
              </a:graphicData>
            </a:graphic>
          </wp:inline>
        </w:drawing>
      </w:r>
    </w:p>
    <w:p w14:paraId="28C51214" w14:textId="5A52BEFD" w:rsidR="00A76BEC" w:rsidRPr="00ED4D49" w:rsidRDefault="00A76BEC" w:rsidP="00A76BEC">
      <w:pPr>
        <w:pStyle w:val="Caption"/>
        <w:rPr>
          <w:b w:val="0"/>
          <w:bCs w:val="0"/>
          <w:i/>
          <w:iCs/>
          <w:color w:val="auto"/>
          <w:sz w:val="16"/>
          <w:szCs w:val="16"/>
        </w:rPr>
      </w:pPr>
      <w:bookmarkStart w:id="52" w:name="_Ref20913780"/>
      <w:bookmarkStart w:id="53" w:name="_Toc25582651"/>
      <w:r w:rsidRPr="00ED4D49">
        <w:rPr>
          <w:b w:val="0"/>
          <w:bCs w:val="0"/>
          <w:i/>
          <w:iCs/>
          <w:color w:val="1F3864"/>
          <w:sz w:val="16"/>
          <w:szCs w:val="16"/>
        </w:rPr>
        <w:t xml:space="preserve">Figure </w:t>
      </w:r>
      <w:r w:rsidRPr="00ED4D49">
        <w:rPr>
          <w:b w:val="0"/>
          <w:bCs w:val="0"/>
          <w:i/>
          <w:iCs/>
          <w:color w:val="1F3864"/>
          <w:sz w:val="16"/>
          <w:szCs w:val="16"/>
        </w:rPr>
        <w:fldChar w:fldCharType="begin"/>
      </w:r>
      <w:r w:rsidRPr="00ED4D49">
        <w:rPr>
          <w:b w:val="0"/>
          <w:bCs w:val="0"/>
          <w:i/>
          <w:iCs/>
          <w:color w:val="1F3864"/>
          <w:sz w:val="16"/>
          <w:szCs w:val="16"/>
        </w:rPr>
        <w:instrText xml:space="preserve"> SEQ Figure \* ARABIC </w:instrText>
      </w:r>
      <w:r w:rsidRPr="00ED4D49">
        <w:rPr>
          <w:b w:val="0"/>
          <w:bCs w:val="0"/>
          <w:i/>
          <w:iCs/>
          <w:color w:val="1F3864"/>
          <w:sz w:val="16"/>
          <w:szCs w:val="16"/>
        </w:rPr>
        <w:fldChar w:fldCharType="separate"/>
      </w:r>
      <w:r w:rsidR="00F60130" w:rsidRPr="00ED4D49">
        <w:rPr>
          <w:b w:val="0"/>
          <w:bCs w:val="0"/>
          <w:i/>
          <w:iCs/>
          <w:noProof/>
          <w:color w:val="1F3864"/>
          <w:sz w:val="16"/>
          <w:szCs w:val="16"/>
        </w:rPr>
        <w:t>5</w:t>
      </w:r>
      <w:r w:rsidRPr="00ED4D49">
        <w:rPr>
          <w:b w:val="0"/>
          <w:bCs w:val="0"/>
          <w:i/>
          <w:iCs/>
          <w:color w:val="1F3864"/>
          <w:sz w:val="16"/>
          <w:szCs w:val="16"/>
        </w:rPr>
        <w:fldChar w:fldCharType="end"/>
      </w:r>
      <w:bookmarkEnd w:id="52"/>
      <w:r w:rsidRPr="00ED4D49">
        <w:rPr>
          <w:b w:val="0"/>
          <w:bCs w:val="0"/>
          <w:i/>
          <w:iCs/>
          <w:color w:val="1F3864"/>
          <w:sz w:val="16"/>
          <w:szCs w:val="16"/>
        </w:rPr>
        <w:t>:</w:t>
      </w:r>
      <w:r w:rsidRPr="00ED4D49">
        <w:t xml:space="preserve"> </w:t>
      </w:r>
      <w:r w:rsidRPr="00ED4D49">
        <w:rPr>
          <w:b w:val="0"/>
          <w:bCs w:val="0"/>
          <w:i/>
          <w:iCs/>
          <w:color w:val="auto"/>
          <w:sz w:val="16"/>
          <w:szCs w:val="16"/>
        </w:rPr>
        <w:t xml:space="preserve">Protected areas in </w:t>
      </w:r>
      <w:r w:rsidR="00827A60" w:rsidRPr="00ED4D49">
        <w:rPr>
          <w:b w:val="0"/>
          <w:bCs w:val="0"/>
          <w:i/>
          <w:iCs/>
          <w:color w:val="auto"/>
          <w:sz w:val="16"/>
          <w:szCs w:val="16"/>
        </w:rPr>
        <w:t xml:space="preserve">the </w:t>
      </w:r>
      <w:r w:rsidRPr="00ED4D49">
        <w:rPr>
          <w:b w:val="0"/>
          <w:bCs w:val="0"/>
          <w:i/>
          <w:iCs/>
          <w:color w:val="auto"/>
          <w:sz w:val="16"/>
          <w:szCs w:val="16"/>
        </w:rPr>
        <w:t xml:space="preserve">Drina </w:t>
      </w:r>
      <w:r w:rsidR="00827A60" w:rsidRPr="00ED4D49">
        <w:rPr>
          <w:b w:val="0"/>
          <w:bCs w:val="0"/>
          <w:i/>
          <w:iCs/>
          <w:color w:val="auto"/>
          <w:sz w:val="16"/>
          <w:szCs w:val="16"/>
        </w:rPr>
        <w:t>R</w:t>
      </w:r>
      <w:r w:rsidRPr="00ED4D49">
        <w:rPr>
          <w:b w:val="0"/>
          <w:bCs w:val="0"/>
          <w:i/>
          <w:iCs/>
          <w:color w:val="auto"/>
          <w:sz w:val="16"/>
          <w:szCs w:val="16"/>
        </w:rPr>
        <w:t xml:space="preserve">iver </w:t>
      </w:r>
      <w:r w:rsidR="00827A60" w:rsidRPr="00ED4D49">
        <w:rPr>
          <w:b w:val="0"/>
          <w:bCs w:val="0"/>
          <w:i/>
          <w:iCs/>
          <w:color w:val="auto"/>
          <w:sz w:val="16"/>
          <w:szCs w:val="16"/>
        </w:rPr>
        <w:t>B</w:t>
      </w:r>
      <w:r w:rsidRPr="00ED4D49">
        <w:rPr>
          <w:b w:val="0"/>
          <w:bCs w:val="0"/>
          <w:i/>
          <w:iCs/>
          <w:color w:val="auto"/>
          <w:sz w:val="16"/>
          <w:szCs w:val="16"/>
        </w:rPr>
        <w:t>asin in BiH</w:t>
      </w:r>
      <w:bookmarkEnd w:id="53"/>
      <w:r w:rsidRPr="00ED4D49">
        <w:rPr>
          <w:b w:val="0"/>
          <w:bCs w:val="0"/>
          <w:i/>
          <w:iCs/>
          <w:color w:val="auto"/>
          <w:sz w:val="16"/>
          <w:szCs w:val="16"/>
        </w:rPr>
        <w:t xml:space="preserve"> </w:t>
      </w:r>
    </w:p>
    <w:p w14:paraId="3999BFE7" w14:textId="27C76D9E" w:rsidR="00A76BEC" w:rsidRPr="00ED4D49" w:rsidRDefault="00A76BEC" w:rsidP="00A76BEC">
      <w:pPr>
        <w:pStyle w:val="Caption"/>
        <w:rPr>
          <w:lang w:eastAsia="x-none"/>
        </w:rPr>
      </w:pPr>
      <w:r w:rsidRPr="00ED4D49">
        <w:rPr>
          <w:b w:val="0"/>
          <w:bCs w:val="0"/>
          <w:i/>
          <w:iCs/>
          <w:color w:val="auto"/>
          <w:sz w:val="16"/>
          <w:szCs w:val="16"/>
        </w:rPr>
        <w:t>(Source: Consultant)</w:t>
      </w:r>
    </w:p>
    <w:p w14:paraId="7FAC985B" w14:textId="2AC2CA3A" w:rsidR="00A76BEC" w:rsidRPr="00ED4D49" w:rsidRDefault="00A76BEC" w:rsidP="00035488">
      <w:pPr>
        <w:rPr>
          <w:lang w:val="en-US" w:eastAsia="x-none"/>
        </w:rPr>
      </w:pPr>
    </w:p>
    <w:p w14:paraId="06FA1FE8" w14:textId="4801CF2F" w:rsidR="00793996" w:rsidRPr="00ED4D49" w:rsidRDefault="00793996" w:rsidP="00793996">
      <w:pPr>
        <w:spacing w:after="0"/>
        <w:jc w:val="both"/>
        <w:rPr>
          <w:rStyle w:val="tlid-translation"/>
          <w:color w:val="1F497D"/>
          <w:lang w:val="en-US"/>
        </w:rPr>
      </w:pPr>
      <w:r w:rsidRPr="00ED4D49">
        <w:rPr>
          <w:rStyle w:val="tlid-translation"/>
          <w:color w:val="1F497D"/>
          <w:lang w:val="en-US"/>
        </w:rPr>
        <w:lastRenderedPageBreak/>
        <w:t>Potential Natura 2000 sites</w:t>
      </w:r>
    </w:p>
    <w:p w14:paraId="44A6BCD1" w14:textId="2C9826F0" w:rsidR="00793996" w:rsidRPr="00ED4D49" w:rsidRDefault="00793996" w:rsidP="00793996">
      <w:pPr>
        <w:jc w:val="both"/>
        <w:rPr>
          <w:rFonts w:cs="Calibri"/>
          <w:szCs w:val="20"/>
          <w:lang w:val="en-US" w:eastAsia="bs-Latn-BA"/>
        </w:rPr>
      </w:pPr>
      <w:r w:rsidRPr="00ED4D49">
        <w:rPr>
          <w:rFonts w:cs="Calibri"/>
          <w:szCs w:val="20"/>
          <w:lang w:val="en-US" w:eastAsia="bs-Latn-BA"/>
        </w:rPr>
        <w:t xml:space="preserve">Taking into consideration that BiH is aiming to become </w:t>
      </w:r>
      <w:r w:rsidR="00A75A70" w:rsidRPr="00ED4D49">
        <w:rPr>
          <w:rFonts w:cs="Calibri"/>
          <w:szCs w:val="20"/>
          <w:lang w:val="en-US" w:eastAsia="bs-Latn-BA"/>
        </w:rPr>
        <w:t xml:space="preserve">a </w:t>
      </w:r>
      <w:r w:rsidRPr="00ED4D49">
        <w:rPr>
          <w:rFonts w:cs="Calibri"/>
          <w:szCs w:val="20"/>
          <w:lang w:val="en-US" w:eastAsia="bs-Latn-BA"/>
        </w:rPr>
        <w:t xml:space="preserve">part of EU, the country has to implement the Natura 2000 network according to the Habitat Directive (92/43/EEC) and to the Bird Directive (79/409/EEC). The </w:t>
      </w:r>
      <w:r w:rsidR="00A75A70" w:rsidRPr="00ED4D49">
        <w:rPr>
          <w:rFonts w:cs="Calibri"/>
          <w:szCs w:val="20"/>
          <w:lang w:val="en-US" w:eastAsia="bs-Latn-BA"/>
        </w:rPr>
        <w:t>only data</w:t>
      </w:r>
      <w:r w:rsidRPr="00ED4D49">
        <w:rPr>
          <w:rFonts w:cs="Calibri"/>
          <w:szCs w:val="20"/>
          <w:lang w:val="en-US" w:eastAsia="bs-Latn-BA"/>
        </w:rPr>
        <w:t xml:space="preserve"> on species and habitats existing in BiH from Annex I and II of the EU Habitat Directive </w:t>
      </w:r>
      <w:r w:rsidR="00A75A70" w:rsidRPr="00ED4D49">
        <w:rPr>
          <w:rFonts w:cs="Calibri"/>
          <w:szCs w:val="20"/>
          <w:lang w:val="en-US" w:eastAsia="bs-Latn-BA"/>
        </w:rPr>
        <w:t>were</w:t>
      </w:r>
      <w:r w:rsidRPr="00ED4D49">
        <w:rPr>
          <w:rFonts w:cs="Calibri"/>
          <w:szCs w:val="20"/>
          <w:lang w:val="en-US" w:eastAsia="bs-Latn-BA"/>
        </w:rPr>
        <w:t xml:space="preserve"> published in 2011 (Natura 2000 </w:t>
      </w:r>
      <w:r w:rsidR="00A75A70" w:rsidRPr="00ED4D49">
        <w:rPr>
          <w:rFonts w:cs="Calibri"/>
          <w:szCs w:val="20"/>
          <w:lang w:val="en-US" w:eastAsia="bs-Latn-BA"/>
        </w:rPr>
        <w:t xml:space="preserve">project </w:t>
      </w:r>
      <w:r w:rsidRPr="00ED4D49">
        <w:rPr>
          <w:rFonts w:cs="Calibri"/>
          <w:szCs w:val="20"/>
          <w:lang w:val="en-US" w:eastAsia="bs-Latn-BA"/>
        </w:rPr>
        <w:t>in BiH, 2011). Even though distribution maps for all species of interest have been produced, the borders of future Natura 2000 sites have not yet been proposed in BiH.</w:t>
      </w:r>
      <w:r w:rsidR="00A75A70" w:rsidRPr="00ED4D49">
        <w:rPr>
          <w:rFonts w:cs="Calibri"/>
          <w:szCs w:val="20"/>
          <w:lang w:val="en-US" w:eastAsia="bs-Latn-BA"/>
        </w:rPr>
        <w:t xml:space="preserve"> </w:t>
      </w:r>
    </w:p>
    <w:p w14:paraId="4BA68297" w14:textId="03038AB5" w:rsidR="00793996" w:rsidRPr="00ED4D49" w:rsidRDefault="00793996" w:rsidP="00793996">
      <w:pPr>
        <w:jc w:val="both"/>
        <w:rPr>
          <w:rFonts w:cs="Calibri"/>
          <w:szCs w:val="20"/>
          <w:lang w:val="en-US"/>
        </w:rPr>
      </w:pPr>
      <w:r w:rsidRPr="00ED4D49">
        <w:rPr>
          <w:rFonts w:cs="Calibri"/>
          <w:szCs w:val="20"/>
          <w:lang w:val="en-US"/>
        </w:rPr>
        <w:t>The table below shows the types of habitats of European importance that are identified as potential Natura 2000 sites along the Drina River.</w:t>
      </w:r>
    </w:p>
    <w:p w14:paraId="4DECC926" w14:textId="10C90E89" w:rsidR="00793996" w:rsidRPr="00ED4D49" w:rsidRDefault="00793996" w:rsidP="00793996">
      <w:pPr>
        <w:pStyle w:val="Caption"/>
        <w:rPr>
          <w:b w:val="0"/>
          <w:i/>
          <w:sz w:val="16"/>
          <w:szCs w:val="16"/>
        </w:rPr>
      </w:pPr>
      <w:bookmarkStart w:id="54" w:name="_Toc28188028"/>
      <w:r w:rsidRPr="00ED4D49">
        <w:rPr>
          <w:b w:val="0"/>
          <w:i/>
          <w:color w:val="2F5496"/>
          <w:sz w:val="16"/>
          <w:szCs w:val="16"/>
        </w:rPr>
        <w:t xml:space="preserve">Table </w:t>
      </w:r>
      <w:r w:rsidRPr="00ED4D49">
        <w:rPr>
          <w:b w:val="0"/>
          <w:i/>
          <w:color w:val="2F5496"/>
          <w:sz w:val="16"/>
          <w:szCs w:val="16"/>
        </w:rPr>
        <w:fldChar w:fldCharType="begin"/>
      </w:r>
      <w:r w:rsidRPr="00ED4D49">
        <w:rPr>
          <w:b w:val="0"/>
          <w:i/>
          <w:color w:val="2F5496"/>
          <w:sz w:val="16"/>
          <w:szCs w:val="16"/>
        </w:rPr>
        <w:instrText xml:space="preserve"> SEQ Table \* ARABIC </w:instrText>
      </w:r>
      <w:r w:rsidRPr="00ED4D49">
        <w:rPr>
          <w:b w:val="0"/>
          <w:i/>
          <w:color w:val="2F5496"/>
          <w:sz w:val="16"/>
          <w:szCs w:val="16"/>
        </w:rPr>
        <w:fldChar w:fldCharType="separate"/>
      </w:r>
      <w:r w:rsidR="00F60130" w:rsidRPr="00ED4D49">
        <w:rPr>
          <w:b w:val="0"/>
          <w:i/>
          <w:noProof/>
          <w:color w:val="2F5496"/>
          <w:sz w:val="16"/>
          <w:szCs w:val="16"/>
        </w:rPr>
        <w:t>3</w:t>
      </w:r>
      <w:r w:rsidRPr="00ED4D49">
        <w:rPr>
          <w:b w:val="0"/>
          <w:i/>
          <w:color w:val="2F5496"/>
          <w:sz w:val="16"/>
          <w:szCs w:val="16"/>
        </w:rPr>
        <w:fldChar w:fldCharType="end"/>
      </w:r>
      <w:r w:rsidRPr="00ED4D49">
        <w:rPr>
          <w:b w:val="0"/>
          <w:i/>
          <w:color w:val="2F5496"/>
          <w:sz w:val="16"/>
          <w:szCs w:val="16"/>
        </w:rPr>
        <w:t>:</w:t>
      </w:r>
      <w:r w:rsidRPr="00ED4D49">
        <w:rPr>
          <w:b w:val="0"/>
          <w:i/>
          <w:sz w:val="16"/>
          <w:szCs w:val="16"/>
        </w:rPr>
        <w:t xml:space="preserve"> </w:t>
      </w:r>
      <w:r w:rsidRPr="00ED4D49">
        <w:rPr>
          <w:b w:val="0"/>
          <w:i/>
          <w:color w:val="auto"/>
          <w:sz w:val="16"/>
          <w:szCs w:val="16"/>
        </w:rPr>
        <w:t>Potential Natura 2000 sites in the DRB</w:t>
      </w:r>
      <w:r w:rsidRPr="00ED4D49">
        <w:rPr>
          <w:b w:val="0"/>
          <w:i/>
          <w:sz w:val="16"/>
          <w:szCs w:val="16"/>
        </w:rPr>
        <w:t xml:space="preserve"> </w:t>
      </w:r>
      <w:r w:rsidRPr="00ED4D49">
        <w:rPr>
          <w:b w:val="0"/>
          <w:i/>
          <w:color w:val="auto"/>
          <w:sz w:val="16"/>
          <w:szCs w:val="16"/>
        </w:rPr>
        <w:t>in BiH</w:t>
      </w:r>
      <w:bookmarkEnd w:id="54"/>
      <w:r w:rsidRPr="00ED4D49">
        <w:rPr>
          <w:b w:val="0"/>
          <w:i/>
          <w:sz w:val="16"/>
          <w:szCs w:val="16"/>
        </w:rPr>
        <w:t xml:space="preserve"> </w:t>
      </w: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838"/>
        <w:gridCol w:w="8172"/>
      </w:tblGrid>
      <w:tr w:rsidR="00793996" w:rsidRPr="00ED4D49" w14:paraId="140F5A6F" w14:textId="77777777" w:rsidTr="003162D3">
        <w:trPr>
          <w:tblHeader/>
        </w:trPr>
        <w:tc>
          <w:tcPr>
            <w:tcW w:w="704" w:type="dxa"/>
            <w:shd w:val="clear" w:color="auto" w:fill="auto"/>
          </w:tcPr>
          <w:p w14:paraId="0FED9F08" w14:textId="77777777" w:rsidR="00793996" w:rsidRPr="00ED4D49" w:rsidRDefault="00793996" w:rsidP="007500D0">
            <w:pPr>
              <w:spacing w:before="0" w:after="0"/>
              <w:ind w:left="144" w:right="144"/>
              <w:jc w:val="both"/>
              <w:rPr>
                <w:rFonts w:cs="Calibri"/>
                <w:color w:val="336699"/>
                <w:sz w:val="16"/>
                <w:szCs w:val="16"/>
                <w:lang w:val="en-US"/>
              </w:rPr>
            </w:pPr>
            <w:r w:rsidRPr="00ED4D49">
              <w:rPr>
                <w:rFonts w:cs="Calibri"/>
                <w:color w:val="336699"/>
                <w:sz w:val="16"/>
                <w:szCs w:val="16"/>
                <w:lang w:val="en-US"/>
              </w:rPr>
              <w:t xml:space="preserve">Code </w:t>
            </w:r>
          </w:p>
        </w:tc>
        <w:tc>
          <w:tcPr>
            <w:tcW w:w="8306" w:type="dxa"/>
            <w:shd w:val="clear" w:color="auto" w:fill="auto"/>
          </w:tcPr>
          <w:p w14:paraId="29FAC2C9" w14:textId="77777777" w:rsidR="00793996" w:rsidRPr="00ED4D49" w:rsidRDefault="00793996" w:rsidP="007500D0">
            <w:pPr>
              <w:spacing w:before="0" w:after="0"/>
              <w:ind w:left="144" w:right="144"/>
              <w:rPr>
                <w:rFonts w:cs="Calibri"/>
                <w:color w:val="336699"/>
                <w:sz w:val="16"/>
                <w:szCs w:val="16"/>
                <w:lang w:val="en-US"/>
              </w:rPr>
            </w:pPr>
            <w:r w:rsidRPr="00ED4D49">
              <w:rPr>
                <w:rFonts w:cs="Calibri"/>
                <w:color w:val="336699"/>
                <w:sz w:val="16"/>
                <w:szCs w:val="16"/>
                <w:lang w:val="en-US"/>
              </w:rPr>
              <w:t xml:space="preserve">Name </w:t>
            </w:r>
          </w:p>
        </w:tc>
      </w:tr>
      <w:tr w:rsidR="00793996" w:rsidRPr="00ED4D49" w14:paraId="145C37CC" w14:textId="77777777" w:rsidTr="003162D3">
        <w:tc>
          <w:tcPr>
            <w:tcW w:w="704" w:type="dxa"/>
            <w:shd w:val="clear" w:color="auto" w:fill="auto"/>
            <w:vAlign w:val="center"/>
          </w:tcPr>
          <w:p w14:paraId="2C0D1DC1" w14:textId="77777777" w:rsidR="00793996" w:rsidRPr="00ED4D49" w:rsidRDefault="00793996" w:rsidP="007500D0">
            <w:pPr>
              <w:jc w:val="center"/>
              <w:rPr>
                <w:rFonts w:cs="Calibri"/>
                <w:color w:val="000000"/>
                <w:sz w:val="16"/>
                <w:szCs w:val="16"/>
                <w:lang w:val="en-US" w:eastAsia="bs-Latn-BA"/>
              </w:rPr>
            </w:pPr>
            <w:r w:rsidRPr="00ED4D49">
              <w:rPr>
                <w:rFonts w:cs="Calibri"/>
                <w:sz w:val="16"/>
                <w:szCs w:val="16"/>
                <w:lang w:val="en-US"/>
              </w:rPr>
              <w:t>3240</w:t>
            </w:r>
          </w:p>
        </w:tc>
        <w:tc>
          <w:tcPr>
            <w:tcW w:w="8306" w:type="dxa"/>
            <w:shd w:val="clear" w:color="auto" w:fill="auto"/>
            <w:vAlign w:val="center"/>
          </w:tcPr>
          <w:p w14:paraId="0E3B4F41" w14:textId="77777777" w:rsidR="00793996" w:rsidRPr="00ED4D49" w:rsidRDefault="00793996" w:rsidP="007500D0">
            <w:pPr>
              <w:spacing w:before="0" w:after="0"/>
              <w:ind w:right="144"/>
              <w:rPr>
                <w:rFonts w:cs="Calibri"/>
                <w:sz w:val="16"/>
                <w:szCs w:val="16"/>
                <w:lang w:val="en-US"/>
              </w:rPr>
            </w:pPr>
            <w:r w:rsidRPr="00ED4D49">
              <w:rPr>
                <w:rFonts w:cs="Calibri"/>
                <w:sz w:val="16"/>
                <w:szCs w:val="16"/>
                <w:lang w:val="en-US"/>
              </w:rPr>
              <w:t xml:space="preserve">Alpine rivers and their ligneous vegetation with </w:t>
            </w:r>
            <w:r w:rsidRPr="00ED4D49">
              <w:rPr>
                <w:rFonts w:cs="Calibri"/>
                <w:i/>
                <w:sz w:val="16"/>
                <w:szCs w:val="16"/>
                <w:lang w:val="en-US"/>
              </w:rPr>
              <w:t xml:space="preserve">Salix </w:t>
            </w:r>
            <w:proofErr w:type="spellStart"/>
            <w:r w:rsidRPr="00ED4D49">
              <w:rPr>
                <w:rFonts w:cs="Calibri"/>
                <w:i/>
                <w:sz w:val="16"/>
                <w:szCs w:val="16"/>
                <w:lang w:val="en-US"/>
              </w:rPr>
              <w:t>eleagnos</w:t>
            </w:r>
            <w:proofErr w:type="spellEnd"/>
          </w:p>
        </w:tc>
      </w:tr>
      <w:tr w:rsidR="00793996" w:rsidRPr="00ED4D49" w14:paraId="6E874D60" w14:textId="77777777" w:rsidTr="003162D3">
        <w:tc>
          <w:tcPr>
            <w:tcW w:w="704" w:type="dxa"/>
            <w:shd w:val="clear" w:color="auto" w:fill="auto"/>
            <w:vAlign w:val="center"/>
          </w:tcPr>
          <w:p w14:paraId="30D55604" w14:textId="77777777" w:rsidR="00793996" w:rsidRPr="00ED4D49" w:rsidRDefault="00793996" w:rsidP="007500D0">
            <w:pPr>
              <w:jc w:val="center"/>
              <w:rPr>
                <w:rFonts w:cs="Calibri"/>
                <w:color w:val="000000"/>
                <w:sz w:val="16"/>
                <w:szCs w:val="16"/>
                <w:lang w:val="en-US" w:eastAsia="bs-Latn-BA"/>
              </w:rPr>
            </w:pPr>
            <w:r w:rsidRPr="00ED4D49">
              <w:rPr>
                <w:rFonts w:cs="Calibri"/>
                <w:sz w:val="16"/>
                <w:szCs w:val="16"/>
                <w:lang w:val="en-US"/>
              </w:rPr>
              <w:t>3270</w:t>
            </w:r>
          </w:p>
        </w:tc>
        <w:tc>
          <w:tcPr>
            <w:tcW w:w="8306" w:type="dxa"/>
            <w:shd w:val="clear" w:color="auto" w:fill="auto"/>
            <w:vAlign w:val="center"/>
          </w:tcPr>
          <w:p w14:paraId="0351A72E" w14:textId="77777777" w:rsidR="00793996" w:rsidRPr="00ED4D49" w:rsidRDefault="00793996" w:rsidP="007500D0">
            <w:pPr>
              <w:rPr>
                <w:rFonts w:cs="Calibri"/>
                <w:sz w:val="16"/>
                <w:szCs w:val="16"/>
                <w:lang w:val="en-US"/>
              </w:rPr>
            </w:pPr>
            <w:r w:rsidRPr="00ED4D49">
              <w:rPr>
                <w:rFonts w:cs="Calibri"/>
                <w:sz w:val="16"/>
                <w:szCs w:val="16"/>
                <w:lang w:val="en-US"/>
              </w:rPr>
              <w:t xml:space="preserve">Rivers with muddy banks with </w:t>
            </w:r>
            <w:proofErr w:type="spellStart"/>
            <w:r w:rsidRPr="00ED4D49">
              <w:rPr>
                <w:rFonts w:cs="Calibri"/>
                <w:i/>
                <w:sz w:val="16"/>
                <w:szCs w:val="16"/>
                <w:lang w:val="en-US"/>
              </w:rPr>
              <w:t>Chenopodion</w:t>
            </w:r>
            <w:proofErr w:type="spellEnd"/>
            <w:r w:rsidRPr="00ED4D49">
              <w:rPr>
                <w:rFonts w:cs="Calibri"/>
                <w:i/>
                <w:sz w:val="16"/>
                <w:szCs w:val="16"/>
                <w:lang w:val="en-US"/>
              </w:rPr>
              <w:t xml:space="preserve"> </w:t>
            </w:r>
            <w:proofErr w:type="spellStart"/>
            <w:r w:rsidRPr="00ED4D49">
              <w:rPr>
                <w:rFonts w:cs="Calibri"/>
                <w:i/>
                <w:sz w:val="16"/>
                <w:szCs w:val="16"/>
                <w:lang w:val="en-US"/>
              </w:rPr>
              <w:t>rubri</w:t>
            </w:r>
            <w:proofErr w:type="spellEnd"/>
            <w:r w:rsidRPr="00ED4D49">
              <w:rPr>
                <w:rFonts w:cs="Calibri"/>
                <w:i/>
                <w:sz w:val="16"/>
                <w:szCs w:val="16"/>
                <w:lang w:val="en-US"/>
              </w:rPr>
              <w:t xml:space="preserve"> p.p. and </w:t>
            </w:r>
            <w:proofErr w:type="spellStart"/>
            <w:r w:rsidRPr="00ED4D49">
              <w:rPr>
                <w:rFonts w:cs="Calibri"/>
                <w:i/>
                <w:sz w:val="16"/>
                <w:szCs w:val="16"/>
                <w:lang w:val="en-US"/>
              </w:rPr>
              <w:t>Bidention</w:t>
            </w:r>
            <w:proofErr w:type="spellEnd"/>
            <w:r w:rsidRPr="00ED4D49">
              <w:rPr>
                <w:rFonts w:cs="Calibri"/>
                <w:i/>
                <w:sz w:val="16"/>
                <w:szCs w:val="16"/>
                <w:lang w:val="en-US"/>
              </w:rPr>
              <w:t xml:space="preserve"> p.p. vegetation</w:t>
            </w:r>
          </w:p>
        </w:tc>
      </w:tr>
      <w:tr w:rsidR="00793996" w:rsidRPr="00ED4D49" w14:paraId="0FDEFF49" w14:textId="77777777" w:rsidTr="003162D3">
        <w:tc>
          <w:tcPr>
            <w:tcW w:w="704" w:type="dxa"/>
            <w:shd w:val="clear" w:color="auto" w:fill="auto"/>
            <w:vAlign w:val="center"/>
          </w:tcPr>
          <w:p w14:paraId="57B04886" w14:textId="77777777" w:rsidR="00793996" w:rsidRPr="00ED4D49" w:rsidRDefault="00793996" w:rsidP="007500D0">
            <w:pPr>
              <w:jc w:val="center"/>
              <w:rPr>
                <w:rFonts w:cs="Calibri"/>
                <w:color w:val="000000"/>
                <w:sz w:val="16"/>
                <w:szCs w:val="16"/>
                <w:lang w:val="en-US" w:eastAsia="bs-Latn-BA"/>
              </w:rPr>
            </w:pPr>
            <w:r w:rsidRPr="00ED4D49">
              <w:rPr>
                <w:rFonts w:cs="Calibri"/>
                <w:sz w:val="16"/>
                <w:szCs w:val="16"/>
                <w:lang w:val="en-US"/>
              </w:rPr>
              <w:t>*8160</w:t>
            </w:r>
          </w:p>
        </w:tc>
        <w:tc>
          <w:tcPr>
            <w:tcW w:w="8306" w:type="dxa"/>
            <w:shd w:val="clear" w:color="auto" w:fill="auto"/>
            <w:vAlign w:val="center"/>
          </w:tcPr>
          <w:p w14:paraId="20DB15C6" w14:textId="77777777" w:rsidR="00793996" w:rsidRPr="00ED4D49" w:rsidRDefault="00793996" w:rsidP="007500D0">
            <w:pPr>
              <w:rPr>
                <w:rFonts w:cs="Calibri"/>
                <w:sz w:val="16"/>
                <w:szCs w:val="16"/>
                <w:lang w:val="en-US"/>
              </w:rPr>
            </w:pPr>
            <w:r w:rsidRPr="00ED4D49">
              <w:rPr>
                <w:rFonts w:cs="Calibri"/>
                <w:sz w:val="16"/>
                <w:szCs w:val="16"/>
                <w:lang w:val="en-US"/>
              </w:rPr>
              <w:t>Medio-European calcareous scree of hill and montane levels</w:t>
            </w:r>
          </w:p>
        </w:tc>
      </w:tr>
      <w:tr w:rsidR="00793996" w:rsidRPr="00ED4D49" w14:paraId="6218CABD" w14:textId="77777777" w:rsidTr="003162D3">
        <w:tc>
          <w:tcPr>
            <w:tcW w:w="704" w:type="dxa"/>
            <w:shd w:val="clear" w:color="auto" w:fill="auto"/>
            <w:vAlign w:val="center"/>
          </w:tcPr>
          <w:p w14:paraId="78F44964" w14:textId="77777777" w:rsidR="00793996" w:rsidRPr="00ED4D49" w:rsidRDefault="00793996" w:rsidP="007500D0">
            <w:pPr>
              <w:jc w:val="center"/>
              <w:rPr>
                <w:rFonts w:cs="Calibri"/>
                <w:color w:val="000000"/>
                <w:sz w:val="16"/>
                <w:szCs w:val="16"/>
                <w:lang w:val="en-US" w:eastAsia="bs-Latn-BA"/>
              </w:rPr>
            </w:pPr>
            <w:r w:rsidRPr="00ED4D49">
              <w:rPr>
                <w:rFonts w:cs="Calibri"/>
                <w:sz w:val="16"/>
                <w:szCs w:val="16"/>
                <w:lang w:val="en-US"/>
              </w:rPr>
              <w:t>*9180</w:t>
            </w:r>
          </w:p>
        </w:tc>
        <w:tc>
          <w:tcPr>
            <w:tcW w:w="8306" w:type="dxa"/>
            <w:shd w:val="clear" w:color="auto" w:fill="auto"/>
            <w:vAlign w:val="center"/>
          </w:tcPr>
          <w:p w14:paraId="4EB0722B" w14:textId="7FC11550" w:rsidR="00793996" w:rsidRPr="00ED4D49" w:rsidRDefault="00793996" w:rsidP="007500D0">
            <w:pPr>
              <w:rPr>
                <w:rFonts w:cs="Calibri"/>
                <w:sz w:val="16"/>
                <w:szCs w:val="16"/>
                <w:lang w:val="en-US"/>
              </w:rPr>
            </w:pPr>
            <w:r w:rsidRPr="00ED4D49">
              <w:rPr>
                <w:rFonts w:cs="Calibri"/>
                <w:sz w:val="16"/>
                <w:szCs w:val="16"/>
                <w:lang w:val="en-US"/>
              </w:rPr>
              <w:t>Tilio-</w:t>
            </w:r>
            <w:proofErr w:type="spellStart"/>
            <w:r w:rsidRPr="00ED4D49">
              <w:rPr>
                <w:rFonts w:cs="Calibri"/>
                <w:sz w:val="16"/>
                <w:szCs w:val="16"/>
                <w:lang w:val="en-US"/>
              </w:rPr>
              <w:t>Acerion</w:t>
            </w:r>
            <w:proofErr w:type="spellEnd"/>
            <w:r w:rsidRPr="00ED4D49">
              <w:rPr>
                <w:rFonts w:cs="Calibri"/>
                <w:sz w:val="16"/>
                <w:szCs w:val="16"/>
                <w:lang w:val="en-US"/>
              </w:rPr>
              <w:t xml:space="preserve"> forests of slopes, screes and ravines (</w:t>
            </w:r>
            <w:proofErr w:type="spellStart"/>
            <w:r w:rsidRPr="00ED4D49">
              <w:rPr>
                <w:rFonts w:cs="Calibri"/>
                <w:i/>
                <w:sz w:val="16"/>
                <w:szCs w:val="16"/>
                <w:lang w:val="en-US"/>
              </w:rPr>
              <w:t>Aceri-Tilietum</w:t>
            </w:r>
            <w:proofErr w:type="spellEnd"/>
            <w:r w:rsidRPr="00ED4D49">
              <w:rPr>
                <w:rFonts w:cs="Calibri"/>
                <w:i/>
                <w:sz w:val="16"/>
                <w:szCs w:val="16"/>
                <w:lang w:val="en-US"/>
              </w:rPr>
              <w:t xml:space="preserve"> </w:t>
            </w:r>
            <w:r w:rsidR="00A75A70" w:rsidRPr="00ED4D49">
              <w:rPr>
                <w:rFonts w:cs="Calibri"/>
                <w:i/>
                <w:sz w:val="16"/>
                <w:szCs w:val="16"/>
                <w:lang w:val="en-US"/>
              </w:rPr>
              <w:t>“</w:t>
            </w:r>
            <w:proofErr w:type="spellStart"/>
            <w:r w:rsidRPr="00ED4D49">
              <w:rPr>
                <w:rFonts w:cs="Calibri"/>
                <w:i/>
                <w:sz w:val="16"/>
                <w:szCs w:val="16"/>
                <w:lang w:val="en-US"/>
              </w:rPr>
              <w:t>mixtum</w:t>
            </w:r>
            <w:proofErr w:type="spellEnd"/>
            <w:r w:rsidR="00A75A70" w:rsidRPr="00ED4D49">
              <w:rPr>
                <w:rFonts w:cs="Calibri"/>
                <w:i/>
                <w:sz w:val="16"/>
                <w:szCs w:val="16"/>
                <w:lang w:val="en-US"/>
              </w:rPr>
              <w:t>”</w:t>
            </w:r>
            <w:r w:rsidRPr="00ED4D49">
              <w:rPr>
                <w:rFonts w:cs="Calibri"/>
                <w:i/>
                <w:sz w:val="16"/>
                <w:szCs w:val="16"/>
                <w:lang w:val="en-US"/>
              </w:rPr>
              <w:t xml:space="preserve"> </w:t>
            </w:r>
            <w:r w:rsidRPr="00ED4D49">
              <w:rPr>
                <w:rFonts w:cs="Calibri"/>
                <w:sz w:val="16"/>
                <w:szCs w:val="16"/>
                <w:lang w:val="en-US"/>
              </w:rPr>
              <w:t>is present</w:t>
            </w:r>
            <w:r w:rsidR="00A75A70" w:rsidRPr="00ED4D49">
              <w:rPr>
                <w:rFonts w:cs="Calibri"/>
                <w:sz w:val="16"/>
                <w:szCs w:val="16"/>
                <w:lang w:val="en-US"/>
              </w:rPr>
              <w:t xml:space="preserve"> specifically in the canyon of Drina River</w:t>
            </w:r>
            <w:r w:rsidRPr="00ED4D49">
              <w:rPr>
                <w:rFonts w:cs="Calibri"/>
                <w:sz w:val="16"/>
                <w:szCs w:val="16"/>
                <w:lang w:val="en-US"/>
              </w:rPr>
              <w:t>)</w:t>
            </w:r>
          </w:p>
        </w:tc>
      </w:tr>
      <w:tr w:rsidR="00793996" w:rsidRPr="00ED4D49" w14:paraId="4F57F091" w14:textId="77777777" w:rsidTr="003162D3">
        <w:tc>
          <w:tcPr>
            <w:tcW w:w="704" w:type="dxa"/>
            <w:shd w:val="clear" w:color="auto" w:fill="auto"/>
            <w:vAlign w:val="center"/>
          </w:tcPr>
          <w:p w14:paraId="6C269CCF" w14:textId="77777777" w:rsidR="00793996" w:rsidRPr="00ED4D49" w:rsidRDefault="00793996" w:rsidP="007500D0">
            <w:pPr>
              <w:jc w:val="center"/>
              <w:rPr>
                <w:rFonts w:cs="Calibri"/>
                <w:color w:val="000000"/>
                <w:sz w:val="16"/>
                <w:szCs w:val="16"/>
                <w:lang w:val="en-US" w:eastAsia="bs-Latn-BA"/>
              </w:rPr>
            </w:pPr>
            <w:r w:rsidRPr="00ED4D49">
              <w:rPr>
                <w:rFonts w:cs="Calibri"/>
                <w:sz w:val="16"/>
                <w:szCs w:val="16"/>
                <w:lang w:val="en-US"/>
              </w:rPr>
              <w:t>91M0</w:t>
            </w:r>
          </w:p>
        </w:tc>
        <w:tc>
          <w:tcPr>
            <w:tcW w:w="8306" w:type="dxa"/>
            <w:shd w:val="clear" w:color="auto" w:fill="auto"/>
            <w:vAlign w:val="center"/>
          </w:tcPr>
          <w:p w14:paraId="205A9D79" w14:textId="77777777" w:rsidR="00793996" w:rsidRPr="00ED4D49" w:rsidRDefault="00793996" w:rsidP="007500D0">
            <w:pPr>
              <w:rPr>
                <w:rFonts w:cs="Calibri"/>
                <w:color w:val="000000"/>
                <w:sz w:val="16"/>
                <w:szCs w:val="16"/>
                <w:lang w:val="en-US" w:eastAsia="bs-Latn-BA"/>
              </w:rPr>
            </w:pPr>
            <w:r w:rsidRPr="00ED4D49">
              <w:rPr>
                <w:rFonts w:cs="Calibri"/>
                <w:sz w:val="16"/>
                <w:szCs w:val="16"/>
                <w:lang w:val="en-US"/>
              </w:rPr>
              <w:t>Pannonian-</w:t>
            </w:r>
            <w:proofErr w:type="spellStart"/>
            <w:r w:rsidRPr="00ED4D49">
              <w:rPr>
                <w:rFonts w:cs="Calibri"/>
                <w:sz w:val="16"/>
                <w:szCs w:val="16"/>
                <w:lang w:val="en-US"/>
              </w:rPr>
              <w:t>Balkanic</w:t>
            </w:r>
            <w:proofErr w:type="spellEnd"/>
            <w:r w:rsidRPr="00ED4D49">
              <w:rPr>
                <w:rFonts w:cs="Calibri"/>
                <w:sz w:val="16"/>
                <w:szCs w:val="16"/>
                <w:lang w:val="en-US"/>
              </w:rPr>
              <w:t xml:space="preserve"> turkey oak-sessile oak forests</w:t>
            </w:r>
          </w:p>
        </w:tc>
      </w:tr>
    </w:tbl>
    <w:p w14:paraId="7BB4BAB2" w14:textId="2D5BA0AA" w:rsidR="00793996" w:rsidRPr="00ED4D49" w:rsidRDefault="00793996" w:rsidP="00793996">
      <w:pPr>
        <w:jc w:val="both"/>
        <w:rPr>
          <w:rFonts w:cs="Calibri"/>
          <w:sz w:val="16"/>
          <w:szCs w:val="16"/>
          <w:lang w:val="en-US"/>
        </w:rPr>
      </w:pPr>
      <w:r w:rsidRPr="00ED4D49">
        <w:rPr>
          <w:rFonts w:cs="Calibri"/>
          <w:sz w:val="16"/>
          <w:szCs w:val="16"/>
          <w:lang w:val="en-US"/>
        </w:rPr>
        <w:t>* According to the Habitat Directive</w:t>
      </w:r>
      <w:r w:rsidR="00A75A70" w:rsidRPr="00ED4D49">
        <w:rPr>
          <w:rFonts w:cs="Calibri"/>
          <w:sz w:val="16"/>
          <w:szCs w:val="16"/>
          <w:lang w:val="en-US"/>
        </w:rPr>
        <w:t>,</w:t>
      </w:r>
      <w:r w:rsidRPr="00ED4D49">
        <w:rPr>
          <w:rFonts w:cs="Calibri"/>
          <w:sz w:val="16"/>
          <w:szCs w:val="16"/>
          <w:lang w:val="en-US"/>
        </w:rPr>
        <w:t xml:space="preserve"> it is a priority habitat type </w:t>
      </w:r>
    </w:p>
    <w:p w14:paraId="66B4FB1A" w14:textId="77777777" w:rsidR="00A0077D" w:rsidRPr="00ED4D49" w:rsidRDefault="00A0077D" w:rsidP="00A0077D">
      <w:pPr>
        <w:pStyle w:val="Heading3"/>
        <w:rPr>
          <w:shd w:val="clear" w:color="auto" w:fill="FFFFFF"/>
        </w:rPr>
      </w:pPr>
      <w:bookmarkStart w:id="55" w:name="_Toc22569719"/>
      <w:bookmarkStart w:id="56" w:name="_Toc22570274"/>
      <w:bookmarkStart w:id="57" w:name="_Toc31811058"/>
      <w:r w:rsidRPr="00ED4D49">
        <w:rPr>
          <w:shd w:val="clear" w:color="auto" w:fill="FFFFFF"/>
        </w:rPr>
        <w:t>Cultural and Historical Heritage</w:t>
      </w:r>
      <w:bookmarkStart w:id="58" w:name="_ftn1"/>
      <w:bookmarkEnd w:id="55"/>
      <w:bookmarkEnd w:id="56"/>
      <w:bookmarkEnd w:id="57"/>
      <w:bookmarkEnd w:id="58"/>
    </w:p>
    <w:p w14:paraId="48120D4E" w14:textId="32AEEF79" w:rsidR="00A0077D" w:rsidRPr="00ED4D49" w:rsidRDefault="00A0077D" w:rsidP="00A0077D">
      <w:pPr>
        <w:jc w:val="both"/>
        <w:rPr>
          <w:lang w:val="en-US"/>
        </w:rPr>
      </w:pPr>
      <w:r w:rsidRPr="00ED4D49">
        <w:rPr>
          <w:lang w:val="en-US"/>
        </w:rPr>
        <w:t>The DRB has been inhabited for many millennia</w:t>
      </w:r>
      <w:r w:rsidR="00BE0F20" w:rsidRPr="00ED4D49">
        <w:rPr>
          <w:lang w:val="en-US"/>
        </w:rPr>
        <w:t>,</w:t>
      </w:r>
      <w:r w:rsidRPr="00ED4D49">
        <w:rPr>
          <w:lang w:val="en-US"/>
        </w:rPr>
        <w:t xml:space="preserve"> and evidence </w:t>
      </w:r>
      <w:r w:rsidR="00BE0F20" w:rsidRPr="00ED4D49">
        <w:rPr>
          <w:lang w:val="en-US"/>
        </w:rPr>
        <w:t>of</w:t>
      </w:r>
      <w:r w:rsidRPr="00ED4D49">
        <w:rPr>
          <w:lang w:val="en-US"/>
        </w:rPr>
        <w:t xml:space="preserve"> charcoal burning can be seen in some of the caves that are interspersed along the Drina River valley. The cultural and historical capital of the DRB is heterogeneous, including cultural goods created in a wide range, from prehistoric and ancient to medieval, Ottoman and modern times. They were created, because of its geographical position, by participation in four major </w:t>
      </w:r>
      <w:proofErr w:type="gramStart"/>
      <w:r w:rsidRPr="00ED4D49">
        <w:rPr>
          <w:lang w:val="en-US"/>
        </w:rPr>
        <w:t>civilization</w:t>
      </w:r>
      <w:proofErr w:type="gramEnd"/>
      <w:r w:rsidRPr="00ED4D49">
        <w:rPr>
          <w:lang w:val="en-US"/>
        </w:rPr>
        <w:t xml:space="preserve"> of Europe: Mediterranean, Central European, Byzantine and Oriental-Islamic</w:t>
      </w:r>
      <w:bookmarkStart w:id="59" w:name="_ftnref1"/>
      <w:bookmarkEnd w:id="59"/>
      <w:r w:rsidRPr="00ED4D49">
        <w:rPr>
          <w:rStyle w:val="FootnoteReference"/>
          <w:lang w:val="en-US"/>
        </w:rPr>
        <w:footnoteReference w:id="4"/>
      </w:r>
      <w:r w:rsidRPr="00ED4D49">
        <w:rPr>
          <w:lang w:val="en-US"/>
        </w:rPr>
        <w:t>.</w:t>
      </w:r>
    </w:p>
    <w:p w14:paraId="779542A6" w14:textId="481FEC4F" w:rsidR="00A0077D" w:rsidRPr="00ED4D49" w:rsidRDefault="00A0077D" w:rsidP="00A0077D">
      <w:pPr>
        <w:autoSpaceDE w:val="0"/>
        <w:autoSpaceDN w:val="0"/>
        <w:adjustRightInd w:val="0"/>
        <w:jc w:val="both"/>
        <w:rPr>
          <w:lang w:val="en-US"/>
        </w:rPr>
      </w:pPr>
      <w:r w:rsidRPr="00ED4D49">
        <w:rPr>
          <w:lang w:val="en-US"/>
        </w:rPr>
        <w:t xml:space="preserve">The DRB hosts many cultural and historical monuments and sites (bridges, necropolis with tombstones, old towns, mosques, churches etc.) which testify </w:t>
      </w:r>
      <w:r w:rsidR="00BE0F20" w:rsidRPr="00ED4D49">
        <w:rPr>
          <w:lang w:val="en-US"/>
        </w:rPr>
        <w:t xml:space="preserve">to </w:t>
      </w:r>
      <w:r w:rsidRPr="00ED4D49">
        <w:rPr>
          <w:lang w:val="en-US"/>
        </w:rPr>
        <w:t>the </w:t>
      </w:r>
      <w:r w:rsidRPr="00ED4D49">
        <w:rPr>
          <w:rStyle w:val="Emphasis"/>
          <w:rFonts w:cs="Calibri"/>
          <w:bCs/>
          <w:i w:val="0"/>
          <w:iCs w:val="0"/>
          <w:lang w:val="en-US"/>
        </w:rPr>
        <w:t>rich historical</w:t>
      </w:r>
      <w:r w:rsidRPr="00ED4D49">
        <w:rPr>
          <w:lang w:val="en-US"/>
        </w:rPr>
        <w:t> and </w:t>
      </w:r>
      <w:r w:rsidRPr="00ED4D49">
        <w:rPr>
          <w:rStyle w:val="Emphasis"/>
          <w:rFonts w:cs="Calibri"/>
          <w:bCs/>
          <w:i w:val="0"/>
          <w:iCs w:val="0"/>
          <w:lang w:val="en-US"/>
        </w:rPr>
        <w:t>cultural heritage</w:t>
      </w:r>
      <w:r w:rsidRPr="00ED4D49">
        <w:rPr>
          <w:lang w:val="en-US"/>
        </w:rPr>
        <w:t> of its </w:t>
      </w:r>
      <w:r w:rsidRPr="00ED4D49">
        <w:rPr>
          <w:rStyle w:val="Emphasis"/>
          <w:rFonts w:cs="Calibri"/>
          <w:bCs/>
          <w:i w:val="0"/>
          <w:iCs w:val="0"/>
          <w:lang w:val="en-US"/>
        </w:rPr>
        <w:t>municipalities</w:t>
      </w:r>
      <w:r w:rsidRPr="00ED4D49">
        <w:rPr>
          <w:lang w:val="en-US"/>
        </w:rPr>
        <w:t xml:space="preserve">. There are 70 sites in RS and eight in FBiH, but it is to be noted that this is just an indicative number. </w:t>
      </w:r>
      <w:r w:rsidRPr="00ED4D49">
        <w:rPr>
          <w:rStyle w:val="Emphasis"/>
          <w:rFonts w:cs="Calibri"/>
          <w:bCs/>
          <w:i w:val="0"/>
          <w:iCs w:val="0"/>
          <w:lang w:val="en-US"/>
        </w:rPr>
        <w:t xml:space="preserve">Annex </w:t>
      </w:r>
      <w:r w:rsidRPr="00ED4D49">
        <w:rPr>
          <w:rStyle w:val="Emphasis"/>
          <w:rFonts w:cs="Calibri"/>
          <w:bCs/>
          <w:i w:val="0"/>
          <w:iCs w:val="0"/>
          <w:lang w:val="en-US"/>
        </w:rPr>
        <w:fldChar w:fldCharType="begin"/>
      </w:r>
      <w:r w:rsidRPr="00ED4D49">
        <w:rPr>
          <w:rStyle w:val="Emphasis"/>
          <w:rFonts w:cs="Calibri"/>
          <w:bCs/>
          <w:i w:val="0"/>
          <w:iCs w:val="0"/>
          <w:lang w:val="en-US"/>
        </w:rPr>
        <w:instrText xml:space="preserve"> REF _Ref22568975 \r \h </w:instrText>
      </w:r>
      <w:r w:rsidR="00ED4D49">
        <w:rPr>
          <w:rStyle w:val="Emphasis"/>
          <w:rFonts w:cs="Calibri"/>
          <w:bCs/>
          <w:i w:val="0"/>
          <w:iCs w:val="0"/>
          <w:lang w:val="en-US"/>
        </w:rPr>
        <w:instrText xml:space="preserve"> \* MERGEFORMAT </w:instrText>
      </w:r>
      <w:r w:rsidRPr="00ED4D49">
        <w:rPr>
          <w:rStyle w:val="Emphasis"/>
          <w:rFonts w:cs="Calibri"/>
          <w:bCs/>
          <w:i w:val="0"/>
          <w:iCs w:val="0"/>
          <w:lang w:val="en-US"/>
        </w:rPr>
      </w:r>
      <w:r w:rsidRPr="00ED4D49">
        <w:rPr>
          <w:rStyle w:val="Emphasis"/>
          <w:rFonts w:cs="Calibri"/>
          <w:bCs/>
          <w:i w:val="0"/>
          <w:iCs w:val="0"/>
          <w:lang w:val="en-US"/>
        </w:rPr>
        <w:fldChar w:fldCharType="separate"/>
      </w:r>
      <w:r w:rsidR="00F60130" w:rsidRPr="00ED4D49">
        <w:rPr>
          <w:rStyle w:val="Emphasis"/>
          <w:rFonts w:cs="Calibri"/>
          <w:bCs/>
          <w:i w:val="0"/>
          <w:iCs w:val="0"/>
          <w:lang w:val="en-US"/>
        </w:rPr>
        <w:t>A</w:t>
      </w:r>
      <w:r w:rsidRPr="00ED4D49">
        <w:rPr>
          <w:rStyle w:val="Emphasis"/>
          <w:rFonts w:cs="Calibri"/>
          <w:bCs/>
          <w:i w:val="0"/>
          <w:iCs w:val="0"/>
          <w:lang w:val="en-US"/>
        </w:rPr>
        <w:fldChar w:fldCharType="end"/>
      </w:r>
      <w:r w:rsidRPr="00ED4D49">
        <w:rPr>
          <w:rStyle w:val="Emphasis"/>
          <w:rFonts w:cs="Calibri"/>
          <w:bCs/>
          <w:i w:val="0"/>
          <w:iCs w:val="0"/>
          <w:lang w:val="en-US"/>
        </w:rPr>
        <w:t xml:space="preserve"> </w:t>
      </w:r>
      <w:r w:rsidRPr="00ED4D49">
        <w:rPr>
          <w:lang w:val="en-US"/>
        </w:rPr>
        <w:t>contains the list of the sites.</w:t>
      </w:r>
    </w:p>
    <w:p w14:paraId="342AC7ED" w14:textId="5AB9C6D9" w:rsidR="00A0077D" w:rsidRPr="00ED4D49" w:rsidRDefault="00A0077D" w:rsidP="00A0077D">
      <w:pPr>
        <w:jc w:val="both"/>
        <w:rPr>
          <w:lang w:val="en-US"/>
        </w:rPr>
      </w:pPr>
      <w:r w:rsidRPr="00ED4D49">
        <w:rPr>
          <w:lang w:val="en-US"/>
        </w:rPr>
        <w:t xml:space="preserve">It is important to mention the Mehmed Paša Sokolović Bridge on Drina River in </w:t>
      </w:r>
      <w:proofErr w:type="spellStart"/>
      <w:r w:rsidRPr="00ED4D49">
        <w:rPr>
          <w:lang w:val="en-US"/>
        </w:rPr>
        <w:t>Višegrad</w:t>
      </w:r>
      <w:proofErr w:type="spellEnd"/>
      <w:r w:rsidRPr="00ED4D49">
        <w:rPr>
          <w:lang w:val="en-US"/>
        </w:rPr>
        <w:t xml:space="preserve">, the last work of one of the world’s greatest architects, Mimar Sinan. The bridge was inscribed in the World Cultural Heritage List - UNESCO. In the region of Central </w:t>
      </w:r>
      <w:proofErr w:type="spellStart"/>
      <w:r w:rsidRPr="00ED4D49">
        <w:rPr>
          <w:lang w:val="en-US"/>
        </w:rPr>
        <w:t>Podrinje</w:t>
      </w:r>
      <w:proofErr w:type="spellEnd"/>
      <w:r w:rsidRPr="00ED4D49">
        <w:rPr>
          <w:lang w:val="en-US"/>
        </w:rPr>
        <w:t xml:space="preserve">, there are numerous medieval necropolises of the tombstones (so called </w:t>
      </w:r>
      <w:proofErr w:type="spellStart"/>
      <w:r w:rsidRPr="00ED4D49">
        <w:rPr>
          <w:i/>
          <w:iCs/>
          <w:lang w:val="en-US"/>
        </w:rPr>
        <w:t>stećak</w:t>
      </w:r>
      <w:proofErr w:type="spellEnd"/>
      <w:r w:rsidRPr="00ED4D49">
        <w:rPr>
          <w:lang w:val="en-US"/>
        </w:rPr>
        <w:t xml:space="preserve">), unique monuments in the world, of which two were inscribed in the UNESCO World Cultural Heritage list. </w:t>
      </w:r>
      <w:r w:rsidRPr="00ED4D49">
        <w:rPr>
          <w:rFonts w:cs="Calibri"/>
          <w:szCs w:val="20"/>
          <w:lang w:val="en-US"/>
        </w:rPr>
        <w:t xml:space="preserve">The “Roman City of Municipium </w:t>
      </w:r>
      <w:proofErr w:type="spellStart"/>
      <w:r w:rsidRPr="00ED4D49">
        <w:rPr>
          <w:rFonts w:cs="Calibri"/>
          <w:szCs w:val="20"/>
          <w:lang w:val="en-US"/>
        </w:rPr>
        <w:t>Malvesiatium</w:t>
      </w:r>
      <w:proofErr w:type="spellEnd"/>
      <w:r w:rsidRPr="00ED4D49">
        <w:rPr>
          <w:rFonts w:cs="Calibri"/>
          <w:szCs w:val="20"/>
          <w:lang w:val="en-US"/>
        </w:rPr>
        <w:t xml:space="preserve">” at today’s </w:t>
      </w:r>
      <w:proofErr w:type="spellStart"/>
      <w:r w:rsidRPr="00ED4D49">
        <w:rPr>
          <w:rFonts w:cs="Calibri"/>
          <w:szCs w:val="20"/>
          <w:lang w:val="en-US"/>
        </w:rPr>
        <w:t>Skelani</w:t>
      </w:r>
      <w:proofErr w:type="spellEnd"/>
      <w:r w:rsidRPr="00ED4D49">
        <w:rPr>
          <w:rFonts w:cs="Calibri"/>
          <w:szCs w:val="20"/>
          <w:lang w:val="en-US"/>
        </w:rPr>
        <w:t xml:space="preserve"> on the Drina River is one of the most important ancient sites in Bosnia and Herzegovina. The area includes the remains of the city hall, thermal baths, palaces, two early-Christian basilicas and brickyards. Along with them, there are a number of important Roman monuments, including numerous inscriptions in commemoration on local dignitaries, as well as altars revealing the legacy of the legions that were located there, some of which (such Legion Gemina) were among the </w:t>
      </w:r>
      <w:proofErr w:type="gramStart"/>
      <w:r w:rsidRPr="00ED4D49">
        <w:rPr>
          <w:rFonts w:cs="Calibri"/>
          <w:szCs w:val="20"/>
          <w:lang w:val="en-US"/>
        </w:rPr>
        <w:t>Emperor’s</w:t>
      </w:r>
      <w:proofErr w:type="gramEnd"/>
      <w:r w:rsidRPr="00ED4D49">
        <w:rPr>
          <w:rFonts w:cs="Calibri"/>
          <w:szCs w:val="20"/>
          <w:lang w:val="en-US"/>
        </w:rPr>
        <w:t xml:space="preserve"> elite forces</w:t>
      </w:r>
      <w:r w:rsidRPr="00ED4D49">
        <w:rPr>
          <w:rStyle w:val="FootnoteReference"/>
          <w:rFonts w:cs="Calibri"/>
          <w:szCs w:val="20"/>
          <w:lang w:val="en-US"/>
        </w:rPr>
        <w:footnoteReference w:id="5"/>
      </w:r>
      <w:r w:rsidRPr="00ED4D49">
        <w:rPr>
          <w:rFonts w:cs="Calibri"/>
          <w:szCs w:val="20"/>
          <w:lang w:val="en-US"/>
        </w:rPr>
        <w:t>.</w:t>
      </w:r>
    </w:p>
    <w:p w14:paraId="7AFB87ED" w14:textId="5CE8F319" w:rsidR="008700A3" w:rsidRPr="00ED4D49" w:rsidRDefault="008700A3" w:rsidP="0063606C">
      <w:pPr>
        <w:pStyle w:val="Heading2"/>
      </w:pPr>
      <w:bookmarkStart w:id="60" w:name="_Toc31811059"/>
      <w:r w:rsidRPr="00ED4D49">
        <w:lastRenderedPageBreak/>
        <w:t xml:space="preserve">Sava </w:t>
      </w:r>
      <w:r w:rsidR="00ED57DC" w:rsidRPr="00ED4D49">
        <w:t xml:space="preserve">River </w:t>
      </w:r>
      <w:r w:rsidRPr="00ED4D49">
        <w:t>Basin</w:t>
      </w:r>
      <w:bookmarkEnd w:id="60"/>
      <w:r w:rsidRPr="00ED4D49">
        <w:t xml:space="preserve"> </w:t>
      </w:r>
    </w:p>
    <w:p w14:paraId="68447CB4" w14:textId="43FEE56D" w:rsidR="00ED57DC" w:rsidRPr="00ED4D49" w:rsidRDefault="00ED57DC" w:rsidP="00ED57DC">
      <w:pPr>
        <w:pStyle w:val="Heading3"/>
      </w:pPr>
      <w:bookmarkStart w:id="61" w:name="_Toc31811060"/>
      <w:r w:rsidRPr="00ED4D49">
        <w:t xml:space="preserve">Geographic, </w:t>
      </w:r>
      <w:r w:rsidR="00DA00BD" w:rsidRPr="00ED4D49">
        <w:t>T</w:t>
      </w:r>
      <w:r w:rsidRPr="00ED4D49">
        <w:t xml:space="preserve">opographic and </w:t>
      </w:r>
      <w:r w:rsidR="00DA00BD" w:rsidRPr="00ED4D49">
        <w:t>G</w:t>
      </w:r>
      <w:r w:rsidRPr="00ED4D49">
        <w:t xml:space="preserve">eological </w:t>
      </w:r>
      <w:r w:rsidR="00DA00BD" w:rsidRPr="00ED4D49">
        <w:t>C</w:t>
      </w:r>
      <w:r w:rsidRPr="00ED4D49">
        <w:t>haracterization</w:t>
      </w:r>
      <w:bookmarkEnd w:id="61"/>
    </w:p>
    <w:p w14:paraId="16128BB8" w14:textId="2DCAD661" w:rsidR="002B5FB1" w:rsidRPr="00ED4D49" w:rsidRDefault="00BE0F20" w:rsidP="002B5FB1">
      <w:pPr>
        <w:jc w:val="both"/>
        <w:rPr>
          <w:lang w:val="en-US"/>
        </w:rPr>
      </w:pPr>
      <w:r w:rsidRPr="00ED4D49">
        <w:rPr>
          <w:lang w:val="en-US"/>
        </w:rPr>
        <w:t xml:space="preserve">The </w:t>
      </w:r>
      <w:r w:rsidR="002B5FB1" w:rsidRPr="00ED4D49">
        <w:rPr>
          <w:lang w:val="en-US"/>
        </w:rPr>
        <w:t>Sava River is the third longest and the largest by discharge tributary of the Danube River. The length of the Sava River from its main source in western Slovenian mountains to its mouth to Danube in Belgrade is about 944 km.</w:t>
      </w:r>
      <w:r w:rsidR="00C6478C" w:rsidRPr="00ED4D49">
        <w:rPr>
          <w:lang w:val="en-US"/>
        </w:rPr>
        <w:t xml:space="preserve"> </w:t>
      </w:r>
      <w:r w:rsidR="002B5FB1" w:rsidRPr="00ED4D49">
        <w:rPr>
          <w:lang w:val="en-US"/>
        </w:rPr>
        <w:t>The basin, with the area of 97,713 km</w:t>
      </w:r>
      <w:r w:rsidR="002B5FB1" w:rsidRPr="00ED4D49">
        <w:rPr>
          <w:vertAlign w:val="superscript"/>
          <w:lang w:val="en-US"/>
        </w:rPr>
        <w:t>2</w:t>
      </w:r>
      <w:r w:rsidR="002B5FB1" w:rsidRPr="00ED4D49">
        <w:rPr>
          <w:lang w:val="en-US"/>
        </w:rPr>
        <w:t xml:space="preserve">, covers considerable parts of Slovenia, Croatia, </w:t>
      </w:r>
      <w:r w:rsidRPr="00ED4D49">
        <w:rPr>
          <w:lang w:val="en-US"/>
        </w:rPr>
        <w:t>BiH</w:t>
      </w:r>
      <w:r w:rsidR="002B5FB1" w:rsidRPr="00ED4D49">
        <w:rPr>
          <w:lang w:val="en-US"/>
        </w:rPr>
        <w:t xml:space="preserve">, Serbia, Montenegro and a small part of the Albanian territory. </w:t>
      </w:r>
      <w:r w:rsidR="00CE1EA9" w:rsidRPr="00ED4D49">
        <w:rPr>
          <w:lang w:val="en-US"/>
        </w:rPr>
        <w:t>The 39.2% of the basin or 38,349.1 km</w:t>
      </w:r>
      <w:r w:rsidR="00CE1EA9" w:rsidRPr="00ED4D49">
        <w:rPr>
          <w:vertAlign w:val="superscript"/>
          <w:lang w:val="en-US"/>
        </w:rPr>
        <w:t>2</w:t>
      </w:r>
      <w:r w:rsidR="00CE1EA9" w:rsidRPr="00ED4D49">
        <w:rPr>
          <w:lang w:val="en-US"/>
        </w:rPr>
        <w:t xml:space="preserve"> belongs to </w:t>
      </w:r>
      <w:r w:rsidR="00172DC4" w:rsidRPr="00ED4D49">
        <w:rPr>
          <w:lang w:val="en-US"/>
        </w:rPr>
        <w:t>BiH</w:t>
      </w:r>
      <w:r w:rsidR="00CE1EA9" w:rsidRPr="00ED4D49">
        <w:rPr>
          <w:lang w:val="en-US"/>
        </w:rPr>
        <w:t xml:space="preserve">. </w:t>
      </w:r>
    </w:p>
    <w:p w14:paraId="0B831401" w14:textId="43AABCE2" w:rsidR="002B5FB1" w:rsidRPr="00ED4D49" w:rsidRDefault="00CE1EA9" w:rsidP="002127E8">
      <w:pPr>
        <w:jc w:val="both"/>
        <w:rPr>
          <w:lang w:val="en-US" w:eastAsia="x-none"/>
        </w:rPr>
      </w:pPr>
      <w:r w:rsidRPr="00ED4D49">
        <w:rPr>
          <w:lang w:val="en-US"/>
        </w:rPr>
        <w:t xml:space="preserve">Downstream of </w:t>
      </w:r>
      <w:r w:rsidR="00172DC4" w:rsidRPr="00ED4D49">
        <w:rPr>
          <w:lang w:val="en-US"/>
        </w:rPr>
        <w:t xml:space="preserve">the </w:t>
      </w:r>
      <w:r w:rsidRPr="00ED4D49">
        <w:rPr>
          <w:lang w:val="en-US"/>
        </w:rPr>
        <w:t>confluence of the Una River, Sava trac</w:t>
      </w:r>
      <w:r w:rsidR="00172DC4" w:rsidRPr="00ED4D49">
        <w:rPr>
          <w:lang w:val="en-US"/>
        </w:rPr>
        <w:t>es</w:t>
      </w:r>
      <w:r w:rsidRPr="00ED4D49">
        <w:rPr>
          <w:lang w:val="en-US"/>
        </w:rPr>
        <w:t xml:space="preserve"> an international border</w:t>
      </w:r>
      <w:r w:rsidR="00172DC4" w:rsidRPr="00ED4D49">
        <w:rPr>
          <w:lang w:val="en-US"/>
        </w:rPr>
        <w:t xml:space="preserve"> – </w:t>
      </w:r>
      <w:r w:rsidRPr="00ED4D49">
        <w:rPr>
          <w:lang w:val="en-US"/>
        </w:rPr>
        <w:t>between</w:t>
      </w:r>
      <w:r w:rsidR="00172DC4" w:rsidRPr="00ED4D49">
        <w:rPr>
          <w:lang w:val="en-US"/>
        </w:rPr>
        <w:t xml:space="preserve"> </w:t>
      </w:r>
      <w:r w:rsidRPr="00ED4D49">
        <w:rPr>
          <w:lang w:val="en-US"/>
        </w:rPr>
        <w:t xml:space="preserve">Croatia and </w:t>
      </w:r>
      <w:r w:rsidR="00172DC4" w:rsidRPr="00ED4D49">
        <w:rPr>
          <w:lang w:val="en-US"/>
        </w:rPr>
        <w:t>BiH</w:t>
      </w:r>
      <w:r w:rsidRPr="00ED4D49">
        <w:rPr>
          <w:lang w:val="en-US"/>
        </w:rPr>
        <w:t xml:space="preserve">. Its meandering course runs generally eastwards along </w:t>
      </w:r>
      <w:proofErr w:type="spellStart"/>
      <w:r w:rsidRPr="00ED4D49">
        <w:rPr>
          <w:lang w:val="en-US"/>
        </w:rPr>
        <w:t>Bosanska</w:t>
      </w:r>
      <w:proofErr w:type="spellEnd"/>
      <w:r w:rsidRPr="00ED4D49">
        <w:rPr>
          <w:lang w:val="en-US"/>
        </w:rPr>
        <w:t xml:space="preserve"> </w:t>
      </w:r>
      <w:proofErr w:type="spellStart"/>
      <w:r w:rsidRPr="00ED4D49">
        <w:rPr>
          <w:lang w:val="en-US"/>
        </w:rPr>
        <w:t>Gradi</w:t>
      </w:r>
      <w:r w:rsidR="00A7018E" w:rsidRPr="00ED4D49">
        <w:rPr>
          <w:lang w:val="en-US"/>
        </w:rPr>
        <w:t>s</w:t>
      </w:r>
      <w:r w:rsidRPr="00ED4D49">
        <w:rPr>
          <w:lang w:val="en-US"/>
        </w:rPr>
        <w:t>ka</w:t>
      </w:r>
      <w:proofErr w:type="spellEnd"/>
      <w:r w:rsidRPr="00ED4D49">
        <w:rPr>
          <w:lang w:val="en-US"/>
        </w:rPr>
        <w:t xml:space="preserve">, and </w:t>
      </w:r>
      <w:proofErr w:type="spellStart"/>
      <w:r w:rsidRPr="00ED4D49">
        <w:rPr>
          <w:lang w:val="en-US"/>
        </w:rPr>
        <w:t>Slavonski</w:t>
      </w:r>
      <w:proofErr w:type="spellEnd"/>
      <w:r w:rsidRPr="00ED4D49">
        <w:rPr>
          <w:lang w:val="en-US"/>
        </w:rPr>
        <w:t xml:space="preserve"> Brod to </w:t>
      </w:r>
      <w:proofErr w:type="spellStart"/>
      <w:r w:rsidRPr="00ED4D49">
        <w:rPr>
          <w:lang w:val="en-US"/>
        </w:rPr>
        <w:t>Zupanja</w:t>
      </w:r>
      <w:proofErr w:type="spellEnd"/>
      <w:r w:rsidRPr="00ED4D49">
        <w:rPr>
          <w:lang w:val="en-US"/>
        </w:rPr>
        <w:t xml:space="preserve">, where it turns south to Brcko. There, the river resumes its predominantly eastward course towards Sremska Raca and confluence of the Drina River. The right bank of the Sava, in this segment of its course, belongs to BiH (with all three administrative entities, </w:t>
      </w:r>
      <w:r w:rsidR="00172DC4" w:rsidRPr="00ED4D49">
        <w:rPr>
          <w:lang w:val="en-US"/>
        </w:rPr>
        <w:t>RS</w:t>
      </w:r>
      <w:r w:rsidRPr="00ED4D49">
        <w:rPr>
          <w:lang w:val="en-US"/>
        </w:rPr>
        <w:t xml:space="preserve">, </w:t>
      </w:r>
      <w:r w:rsidR="00172DC4" w:rsidRPr="00ED4D49">
        <w:rPr>
          <w:lang w:val="en-US"/>
        </w:rPr>
        <w:t>FBiH and BD</w:t>
      </w:r>
      <w:r w:rsidRPr="00ED4D49">
        <w:rPr>
          <w:lang w:val="en-US"/>
        </w:rPr>
        <w:t xml:space="preserve">, having </w:t>
      </w:r>
      <w:r w:rsidR="00172DC4" w:rsidRPr="00ED4D49">
        <w:rPr>
          <w:lang w:val="en-US"/>
        </w:rPr>
        <w:t xml:space="preserve">a </w:t>
      </w:r>
      <w:r w:rsidRPr="00ED4D49">
        <w:rPr>
          <w:lang w:val="en-US"/>
        </w:rPr>
        <w:t>gateway to the river), while the opposite bank belongs to Croatia and its Sisak-</w:t>
      </w:r>
      <w:proofErr w:type="spellStart"/>
      <w:r w:rsidRPr="00ED4D49">
        <w:rPr>
          <w:lang w:val="en-US"/>
        </w:rPr>
        <w:t>Moslavina</w:t>
      </w:r>
      <w:proofErr w:type="spellEnd"/>
      <w:r w:rsidRPr="00ED4D49">
        <w:rPr>
          <w:lang w:val="en-US"/>
        </w:rPr>
        <w:t>, Brod-</w:t>
      </w:r>
      <w:proofErr w:type="spellStart"/>
      <w:r w:rsidRPr="00ED4D49">
        <w:rPr>
          <w:lang w:val="en-US"/>
        </w:rPr>
        <w:t>Posavina</w:t>
      </w:r>
      <w:proofErr w:type="spellEnd"/>
      <w:r w:rsidRPr="00ED4D49">
        <w:rPr>
          <w:lang w:val="en-US"/>
        </w:rPr>
        <w:t xml:space="preserve"> and </w:t>
      </w:r>
      <w:proofErr w:type="spellStart"/>
      <w:r w:rsidRPr="00ED4D49">
        <w:rPr>
          <w:lang w:val="en-US"/>
        </w:rPr>
        <w:t>Vukovar-Srijem</w:t>
      </w:r>
      <w:proofErr w:type="spellEnd"/>
      <w:r w:rsidRPr="00ED4D49">
        <w:rPr>
          <w:lang w:val="en-US"/>
        </w:rPr>
        <w:t xml:space="preserve"> counties, except in the area of Jamena and further downstream</w:t>
      </w:r>
      <w:r w:rsidR="00172DC4" w:rsidRPr="00ED4D49">
        <w:rPr>
          <w:lang w:val="en-US"/>
        </w:rPr>
        <w:t xml:space="preserve"> – </w:t>
      </w:r>
      <w:r w:rsidRPr="00ED4D49">
        <w:rPr>
          <w:lang w:val="en-US"/>
        </w:rPr>
        <w:t>which</w:t>
      </w:r>
      <w:r w:rsidR="00172DC4" w:rsidRPr="00ED4D49">
        <w:rPr>
          <w:lang w:val="en-US"/>
        </w:rPr>
        <w:t xml:space="preserve"> </w:t>
      </w:r>
      <w:r w:rsidRPr="00ED4D49">
        <w:rPr>
          <w:lang w:val="en-US"/>
        </w:rPr>
        <w:t>belongs to Serbia and the province of Vojvodina.</w:t>
      </w:r>
      <w:r w:rsidR="002127E8" w:rsidRPr="00ED4D49">
        <w:rPr>
          <w:lang w:val="en-US"/>
        </w:rPr>
        <w:t xml:space="preserve"> </w:t>
      </w:r>
      <w:r w:rsidR="002B5FB1" w:rsidRPr="00ED4D49">
        <w:rPr>
          <w:lang w:val="en-US" w:eastAsia="x-none"/>
        </w:rPr>
        <w:t xml:space="preserve">The geographical determination in BiH is shown </w:t>
      </w:r>
      <w:r w:rsidR="00BA236B" w:rsidRPr="00ED4D49">
        <w:rPr>
          <w:lang w:val="en-US" w:eastAsia="x-none"/>
        </w:rPr>
        <w:t xml:space="preserve">in </w:t>
      </w:r>
      <w:r w:rsidR="002B5FB1" w:rsidRPr="00ED4D49">
        <w:rPr>
          <w:lang w:val="en-US" w:eastAsia="x-none"/>
        </w:rPr>
        <w:fldChar w:fldCharType="begin"/>
      </w:r>
      <w:r w:rsidR="002B5FB1" w:rsidRPr="00ED4D49">
        <w:rPr>
          <w:lang w:val="en-US" w:eastAsia="x-none"/>
        </w:rPr>
        <w:instrText xml:space="preserve"> REF _Ref21098318 \h  \* MERGEFORMAT </w:instrText>
      </w:r>
      <w:r w:rsidR="002B5FB1" w:rsidRPr="00ED4D49">
        <w:rPr>
          <w:lang w:val="en-US" w:eastAsia="x-none"/>
        </w:rPr>
      </w:r>
      <w:r w:rsidR="002B5FB1" w:rsidRPr="00ED4D49">
        <w:rPr>
          <w:lang w:val="en-US" w:eastAsia="x-none"/>
        </w:rPr>
        <w:fldChar w:fldCharType="separate"/>
      </w:r>
      <w:r w:rsidR="00F60130" w:rsidRPr="00ED4D49">
        <w:rPr>
          <w:lang w:val="en-US" w:eastAsia="x-none"/>
        </w:rPr>
        <w:t>Figure 6</w:t>
      </w:r>
      <w:r w:rsidR="002B5FB1" w:rsidRPr="00ED4D49">
        <w:rPr>
          <w:lang w:val="en-US" w:eastAsia="x-none"/>
        </w:rPr>
        <w:fldChar w:fldCharType="end"/>
      </w:r>
      <w:r w:rsidR="002B5FB1" w:rsidRPr="00ED4D49">
        <w:rPr>
          <w:lang w:val="en-US" w:eastAsia="x-none"/>
        </w:rPr>
        <w:t>.</w:t>
      </w:r>
    </w:p>
    <w:p w14:paraId="6ACD9C6D" w14:textId="5E02F298" w:rsidR="00827A60" w:rsidRPr="00ED4D49" w:rsidRDefault="00827A60" w:rsidP="00827A60">
      <w:pPr>
        <w:rPr>
          <w:lang w:val="en-US" w:eastAsia="x-none"/>
        </w:rPr>
      </w:pPr>
      <w:r w:rsidRPr="00ED4D49">
        <w:rPr>
          <w:noProof/>
          <w:lang w:val="bs-Latn-BA" w:eastAsia="bs-Latn-BA"/>
        </w:rPr>
        <w:drawing>
          <wp:inline distT="0" distB="0" distL="0" distR="0" wp14:anchorId="32219074" wp14:editId="22B6D7D5">
            <wp:extent cx="5727700" cy="4047490"/>
            <wp:effectExtent l="0" t="0" r="0" b="3810"/>
            <wp:docPr id="6" name="Picture 6"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liv_Sava_opcine.jpg"/>
                    <pic:cNvPicPr/>
                  </pic:nvPicPr>
                  <pic:blipFill>
                    <a:blip r:embed="rId24" cstate="screen">
                      <a:extLst>
                        <a:ext uri="{28A0092B-C50C-407E-A947-70E740481C1C}">
                          <a14:useLocalDpi xmlns:a14="http://schemas.microsoft.com/office/drawing/2010/main"/>
                        </a:ext>
                      </a:extLst>
                    </a:blip>
                    <a:stretch>
                      <a:fillRect/>
                    </a:stretch>
                  </pic:blipFill>
                  <pic:spPr>
                    <a:xfrm>
                      <a:off x="0" y="0"/>
                      <a:ext cx="5727700" cy="4047490"/>
                    </a:xfrm>
                    <a:prstGeom prst="rect">
                      <a:avLst/>
                    </a:prstGeom>
                  </pic:spPr>
                </pic:pic>
              </a:graphicData>
            </a:graphic>
          </wp:inline>
        </w:drawing>
      </w:r>
    </w:p>
    <w:p w14:paraId="6A6B286B" w14:textId="6FC25B9B" w:rsidR="00827A60" w:rsidRPr="00ED4D49" w:rsidRDefault="00827A60" w:rsidP="00827A60">
      <w:pPr>
        <w:pStyle w:val="Caption"/>
        <w:rPr>
          <w:b w:val="0"/>
          <w:bCs w:val="0"/>
          <w:i/>
          <w:iCs/>
          <w:color w:val="auto"/>
          <w:sz w:val="16"/>
          <w:szCs w:val="16"/>
        </w:rPr>
      </w:pPr>
      <w:bookmarkStart w:id="62" w:name="_Ref21098318"/>
      <w:bookmarkStart w:id="63" w:name="_Ref21098315"/>
      <w:bookmarkStart w:id="64" w:name="_Toc25582652"/>
      <w:r w:rsidRPr="00ED4D49">
        <w:rPr>
          <w:b w:val="0"/>
          <w:bCs w:val="0"/>
          <w:i/>
          <w:iCs/>
          <w:color w:val="1F3864"/>
          <w:sz w:val="16"/>
          <w:szCs w:val="16"/>
        </w:rPr>
        <w:t xml:space="preserve">Figure </w:t>
      </w:r>
      <w:r w:rsidRPr="00ED4D49">
        <w:rPr>
          <w:b w:val="0"/>
          <w:bCs w:val="0"/>
          <w:i/>
          <w:iCs/>
          <w:color w:val="1F3864"/>
          <w:sz w:val="16"/>
          <w:szCs w:val="16"/>
        </w:rPr>
        <w:fldChar w:fldCharType="begin"/>
      </w:r>
      <w:r w:rsidRPr="00ED4D49">
        <w:rPr>
          <w:b w:val="0"/>
          <w:bCs w:val="0"/>
          <w:i/>
          <w:iCs/>
          <w:color w:val="1F3864"/>
          <w:sz w:val="16"/>
          <w:szCs w:val="16"/>
        </w:rPr>
        <w:instrText xml:space="preserve"> SEQ Figure \* ARABIC </w:instrText>
      </w:r>
      <w:r w:rsidRPr="00ED4D49">
        <w:rPr>
          <w:b w:val="0"/>
          <w:bCs w:val="0"/>
          <w:i/>
          <w:iCs/>
          <w:color w:val="1F3864"/>
          <w:sz w:val="16"/>
          <w:szCs w:val="16"/>
        </w:rPr>
        <w:fldChar w:fldCharType="separate"/>
      </w:r>
      <w:r w:rsidR="00F60130" w:rsidRPr="00ED4D49">
        <w:rPr>
          <w:b w:val="0"/>
          <w:bCs w:val="0"/>
          <w:i/>
          <w:iCs/>
          <w:noProof/>
          <w:color w:val="1F3864"/>
          <w:sz w:val="16"/>
          <w:szCs w:val="16"/>
        </w:rPr>
        <w:t>6</w:t>
      </w:r>
      <w:r w:rsidRPr="00ED4D49">
        <w:rPr>
          <w:b w:val="0"/>
          <w:bCs w:val="0"/>
          <w:i/>
          <w:iCs/>
          <w:color w:val="1F3864"/>
          <w:sz w:val="16"/>
          <w:szCs w:val="16"/>
        </w:rPr>
        <w:fldChar w:fldCharType="end"/>
      </w:r>
      <w:bookmarkEnd w:id="62"/>
      <w:r w:rsidRPr="00ED4D49">
        <w:rPr>
          <w:b w:val="0"/>
          <w:bCs w:val="0"/>
          <w:i/>
          <w:iCs/>
          <w:color w:val="1F3864"/>
          <w:sz w:val="16"/>
          <w:szCs w:val="16"/>
        </w:rPr>
        <w:t>:</w:t>
      </w:r>
      <w:r w:rsidRPr="00ED4D49">
        <w:t xml:space="preserve"> </w:t>
      </w:r>
      <w:r w:rsidRPr="00ED4D49">
        <w:rPr>
          <w:b w:val="0"/>
          <w:bCs w:val="0"/>
          <w:i/>
          <w:iCs/>
          <w:color w:val="auto"/>
          <w:sz w:val="16"/>
          <w:szCs w:val="16"/>
        </w:rPr>
        <w:t>Sava River Basin in BiH</w:t>
      </w:r>
      <w:bookmarkEnd w:id="63"/>
      <w:bookmarkEnd w:id="64"/>
      <w:r w:rsidRPr="00ED4D49">
        <w:rPr>
          <w:b w:val="0"/>
          <w:bCs w:val="0"/>
          <w:i/>
          <w:iCs/>
          <w:color w:val="auto"/>
          <w:sz w:val="16"/>
          <w:szCs w:val="16"/>
        </w:rPr>
        <w:t xml:space="preserve"> </w:t>
      </w:r>
    </w:p>
    <w:p w14:paraId="2BFA8383" w14:textId="5FCB0271" w:rsidR="00827A60" w:rsidRPr="00ED4D49" w:rsidRDefault="00827A60" w:rsidP="00827A60">
      <w:pPr>
        <w:pStyle w:val="Caption"/>
        <w:rPr>
          <w:b w:val="0"/>
          <w:bCs w:val="0"/>
          <w:i/>
          <w:iCs/>
          <w:color w:val="auto"/>
          <w:sz w:val="16"/>
          <w:szCs w:val="16"/>
        </w:rPr>
      </w:pPr>
      <w:r w:rsidRPr="00ED4D49">
        <w:rPr>
          <w:b w:val="0"/>
          <w:bCs w:val="0"/>
          <w:i/>
          <w:iCs/>
          <w:color w:val="auto"/>
          <w:sz w:val="16"/>
          <w:szCs w:val="16"/>
        </w:rPr>
        <w:t>(Source: Consultant)</w:t>
      </w:r>
    </w:p>
    <w:p w14:paraId="37EE0DC3" w14:textId="28FE6D68" w:rsidR="00D85248" w:rsidRPr="00ED4D49" w:rsidRDefault="00D85248" w:rsidP="00722AEC">
      <w:pPr>
        <w:jc w:val="both"/>
        <w:rPr>
          <w:lang w:val="en-US" w:eastAsia="en-GB"/>
        </w:rPr>
      </w:pPr>
      <w:r w:rsidRPr="00ED4D49">
        <w:rPr>
          <w:lang w:val="en-US" w:eastAsia="en-GB"/>
        </w:rPr>
        <w:t>T</w:t>
      </w:r>
      <w:r w:rsidR="00172DC4" w:rsidRPr="00ED4D49">
        <w:rPr>
          <w:lang w:val="en-US" w:eastAsia="en-GB"/>
        </w:rPr>
        <w:t>he t</w:t>
      </w:r>
      <w:r w:rsidRPr="00ED4D49">
        <w:rPr>
          <w:lang w:val="en-US" w:eastAsia="en-GB"/>
        </w:rPr>
        <w:t>errain in the Sava River Basin is very variable. It significantly changes from the source on the west to its confluence with the Danube River on the east</w:t>
      </w:r>
      <w:r w:rsidR="005323C6" w:rsidRPr="00ED4D49">
        <w:rPr>
          <w:lang w:val="en-US" w:eastAsia="en-GB"/>
        </w:rPr>
        <w:t xml:space="preserve">. Generally, elevation of the Sava River Basin varies between approx. 71 m </w:t>
      </w:r>
      <w:proofErr w:type="spellStart"/>
      <w:r w:rsidR="005323C6" w:rsidRPr="00ED4D49">
        <w:rPr>
          <w:lang w:val="en-US" w:eastAsia="en-GB"/>
        </w:rPr>
        <w:t>a.s.l</w:t>
      </w:r>
      <w:proofErr w:type="spellEnd"/>
      <w:r w:rsidR="005323C6" w:rsidRPr="00ED4D49">
        <w:rPr>
          <w:lang w:val="en-US" w:eastAsia="en-GB"/>
        </w:rPr>
        <w:t xml:space="preserve">. at the mouth of the Sava River in Belgrade (Serbia) and 2,864 m </w:t>
      </w:r>
      <w:proofErr w:type="spellStart"/>
      <w:r w:rsidR="005323C6" w:rsidRPr="00ED4D49">
        <w:rPr>
          <w:lang w:val="en-US" w:eastAsia="en-GB"/>
        </w:rPr>
        <w:t>a.s.l</w:t>
      </w:r>
      <w:proofErr w:type="spellEnd"/>
      <w:r w:rsidR="005323C6" w:rsidRPr="00ED4D49">
        <w:rPr>
          <w:lang w:val="en-US" w:eastAsia="en-GB"/>
        </w:rPr>
        <w:t>. (</w:t>
      </w:r>
      <w:proofErr w:type="spellStart"/>
      <w:r w:rsidR="005323C6" w:rsidRPr="00ED4D49">
        <w:rPr>
          <w:lang w:val="en-US" w:eastAsia="en-GB"/>
        </w:rPr>
        <w:t>Triglav</w:t>
      </w:r>
      <w:proofErr w:type="spellEnd"/>
      <w:r w:rsidR="005323C6" w:rsidRPr="00ED4D49">
        <w:rPr>
          <w:lang w:val="en-US" w:eastAsia="en-GB"/>
        </w:rPr>
        <w:t xml:space="preserve">, Slovenian Alps). Mean elevation of the basin is 545 m </w:t>
      </w:r>
      <w:proofErr w:type="spellStart"/>
      <w:r w:rsidR="005323C6" w:rsidRPr="00ED4D49">
        <w:rPr>
          <w:lang w:val="en-US" w:eastAsia="en-GB"/>
        </w:rPr>
        <w:t>a.s.l</w:t>
      </w:r>
      <w:proofErr w:type="spellEnd"/>
      <w:r w:rsidR="005323C6" w:rsidRPr="00ED4D49">
        <w:rPr>
          <w:lang w:val="en-US" w:eastAsia="en-GB"/>
        </w:rPr>
        <w:t>. According to FAO classification, the dominant slope in the basin is moderately steep. Mean value of slope in the Sava River Basin is 15.8 %. I</w:t>
      </w:r>
      <w:r w:rsidRPr="00ED4D49">
        <w:rPr>
          <w:lang w:val="en-US" w:eastAsia="en-GB"/>
        </w:rPr>
        <w:t>n the downstream parts of the basin</w:t>
      </w:r>
      <w:r w:rsidR="005323C6" w:rsidRPr="00ED4D49">
        <w:rPr>
          <w:lang w:val="en-US" w:eastAsia="en-GB"/>
        </w:rPr>
        <w:t xml:space="preserve"> ther</w:t>
      </w:r>
      <w:r w:rsidRPr="00ED4D49">
        <w:rPr>
          <w:lang w:val="en-US" w:eastAsia="en-GB"/>
        </w:rPr>
        <w:t xml:space="preserve">e is a remarkable distinction in landscape of the northern part (the left bank) and southern part of the basin (the right bank). The areas drained by right tributaries in the middle section of the Sava watercourse are rugged. </w:t>
      </w:r>
      <w:r w:rsidRPr="00ED4D49">
        <w:rPr>
          <w:lang w:val="en-US" w:eastAsia="en-GB"/>
        </w:rPr>
        <w:lastRenderedPageBreak/>
        <w:t xml:space="preserve">In spite of ruggedness, rocks and soils in central Bosnia are less vulnerable to erosion, and the terrain is characterized by green and often forested plateaus. In the north, lowland areas (of variable width) suitable for agricultural activities extend along the Sava River and lower parts of its tributaries. </w:t>
      </w:r>
      <w:r w:rsidR="002D6078" w:rsidRPr="00ED4D49">
        <w:rPr>
          <w:lang w:val="en-US" w:eastAsia="en-GB"/>
        </w:rPr>
        <w:t>T</w:t>
      </w:r>
      <w:r w:rsidRPr="00ED4D49">
        <w:rPr>
          <w:lang w:val="en-US" w:eastAsia="en-GB"/>
        </w:rPr>
        <w:t>he middle and lower p</w:t>
      </w:r>
      <w:r w:rsidR="002D6078" w:rsidRPr="00ED4D49">
        <w:rPr>
          <w:lang w:val="en-US" w:eastAsia="en-GB"/>
        </w:rPr>
        <w:t>a</w:t>
      </w:r>
      <w:r w:rsidRPr="00ED4D49">
        <w:rPr>
          <w:lang w:val="en-US" w:eastAsia="en-GB"/>
        </w:rPr>
        <w:t xml:space="preserve">rt of the Sava River drainage area is characterized by flat plains and low mountains. This area is part of Pannonian Plain, a low-lying, fertile, agricultural region. </w:t>
      </w:r>
    </w:p>
    <w:p w14:paraId="1631F1A7" w14:textId="05193E8C" w:rsidR="00D85248" w:rsidRPr="00ED4D49" w:rsidRDefault="00D85248" w:rsidP="00722AEC">
      <w:pPr>
        <w:jc w:val="both"/>
        <w:rPr>
          <w:lang w:val="en-US" w:eastAsia="en-GB"/>
        </w:rPr>
      </w:pPr>
      <w:r w:rsidRPr="00ED4D49">
        <w:rPr>
          <w:lang w:val="en-US" w:eastAsia="x-none"/>
        </w:rPr>
        <w:t>T</w:t>
      </w:r>
      <w:r w:rsidRPr="00ED4D49">
        <w:rPr>
          <w:lang w:val="en-US" w:eastAsia="en-GB"/>
        </w:rPr>
        <w:t>he course of the Sava River runs through several diverse geological units and orographic regions.</w:t>
      </w:r>
      <w:r w:rsidR="00722AEC" w:rsidRPr="00ED4D49">
        <w:rPr>
          <w:lang w:val="en-US" w:eastAsia="en-GB"/>
        </w:rPr>
        <w:t xml:space="preserve"> The lower course of is located in the Pannonian Basin</w:t>
      </w:r>
      <w:r w:rsidR="00D511FA" w:rsidRPr="00ED4D49">
        <w:rPr>
          <w:lang w:val="en-US" w:eastAsia="en-GB"/>
        </w:rPr>
        <w:t xml:space="preserve"> – </w:t>
      </w:r>
      <w:r w:rsidR="00722AEC" w:rsidRPr="00ED4D49">
        <w:rPr>
          <w:lang w:val="en-US" w:eastAsia="en-GB"/>
        </w:rPr>
        <w:t>first</w:t>
      </w:r>
      <w:r w:rsidR="00D511FA" w:rsidRPr="00ED4D49">
        <w:rPr>
          <w:lang w:val="en-US" w:eastAsia="en-GB"/>
        </w:rPr>
        <w:t xml:space="preserve"> </w:t>
      </w:r>
      <w:r w:rsidR="00722AEC" w:rsidRPr="00ED4D49">
        <w:rPr>
          <w:lang w:val="en-US" w:eastAsia="en-GB"/>
        </w:rPr>
        <w:t>reached by the Sava River in the Kr</w:t>
      </w:r>
      <w:r w:rsidR="00A7018E" w:rsidRPr="00ED4D49">
        <w:rPr>
          <w:lang w:val="en-US" w:eastAsia="en-GB"/>
        </w:rPr>
        <w:t>s</w:t>
      </w:r>
      <w:r w:rsidR="00722AEC" w:rsidRPr="00ED4D49">
        <w:rPr>
          <w:lang w:val="en-US" w:eastAsia="en-GB"/>
        </w:rPr>
        <w:t xml:space="preserve">ko Basin on the western rim of the Pannonian Basin. The Pannonian Basin took shape through </w:t>
      </w:r>
      <w:proofErr w:type="spellStart"/>
      <w:r w:rsidR="00722AEC" w:rsidRPr="00ED4D49">
        <w:rPr>
          <w:lang w:val="en-US" w:eastAsia="en-GB"/>
        </w:rPr>
        <w:t>Miocenian</w:t>
      </w:r>
      <w:proofErr w:type="spellEnd"/>
      <w:r w:rsidR="00722AEC" w:rsidRPr="00ED4D49">
        <w:rPr>
          <w:lang w:val="en-US" w:eastAsia="en-GB"/>
        </w:rPr>
        <w:t xml:space="preserve"> thinning and subsidence of crust structures formed during Late Paleozoic </w:t>
      </w:r>
      <w:proofErr w:type="spellStart"/>
      <w:r w:rsidR="00722AEC" w:rsidRPr="00ED4D49">
        <w:rPr>
          <w:lang w:val="en-US" w:eastAsia="en-GB"/>
        </w:rPr>
        <w:t>Variscan</w:t>
      </w:r>
      <w:proofErr w:type="spellEnd"/>
      <w:r w:rsidR="00722AEC" w:rsidRPr="00ED4D49">
        <w:rPr>
          <w:lang w:val="en-US" w:eastAsia="en-GB"/>
        </w:rPr>
        <w:t xml:space="preserve"> orogeny. The processes also led to the formation of a </w:t>
      </w:r>
      <w:proofErr w:type="spellStart"/>
      <w:r w:rsidR="00722AEC" w:rsidRPr="00ED4D49">
        <w:rPr>
          <w:lang w:val="en-US" w:eastAsia="en-GB"/>
        </w:rPr>
        <w:t>stratovolcanic</w:t>
      </w:r>
      <w:proofErr w:type="spellEnd"/>
      <w:r w:rsidR="00722AEC" w:rsidRPr="00ED4D49">
        <w:rPr>
          <w:lang w:val="en-US" w:eastAsia="en-GB"/>
        </w:rPr>
        <w:t xml:space="preserve"> chain in the basin 17–12 Mya (million years ago) and intensified subsidence observed until 5 Mya as well as flood basalts about 7.5 Mya. Contemporary uplift of the Carpathian Mountains prevented water flowing to the Black Sea, and the Pannonian Sea formed in the basin. Sediments were transported to the basin from uplifting Carpathian and Dinaric mountains, with particularly deep fluvial sediments being deposited in the Pleistocene during the uplift of the </w:t>
      </w:r>
      <w:proofErr w:type="spellStart"/>
      <w:r w:rsidR="00722AEC" w:rsidRPr="00ED4D49">
        <w:rPr>
          <w:lang w:val="en-US" w:eastAsia="en-GB"/>
        </w:rPr>
        <w:t>Transdanubian</w:t>
      </w:r>
      <w:proofErr w:type="spellEnd"/>
      <w:r w:rsidR="00722AEC" w:rsidRPr="00ED4D49">
        <w:rPr>
          <w:lang w:val="en-US" w:eastAsia="en-GB"/>
        </w:rPr>
        <w:t xml:space="preserve"> Mountains. A subduction zone formed in the present-day Sava River valley, and approximately 4,000 m (13,000 feet) deep sediments were deposited in the Slavonia-</w:t>
      </w:r>
      <w:proofErr w:type="spellStart"/>
      <w:r w:rsidR="00722AEC" w:rsidRPr="00ED4D49">
        <w:rPr>
          <w:lang w:val="en-US" w:eastAsia="en-GB"/>
        </w:rPr>
        <w:t>Syrmia</w:t>
      </w:r>
      <w:proofErr w:type="spellEnd"/>
      <w:r w:rsidR="00722AEC" w:rsidRPr="00ED4D49">
        <w:rPr>
          <w:lang w:val="en-US" w:eastAsia="en-GB"/>
        </w:rPr>
        <w:t xml:space="preserve"> depression and 5,500 m (18,000 feet) in the Sava depression.[93] The results of those processes are large plains in the Sava River valley and the Kupa River valley. The plains are interspersed by the horst and graben structures, believed to have broken the Pannonian Sea surface as islands,[94] which became watershed between Drava and Sava River basins extending along </w:t>
      </w:r>
      <w:proofErr w:type="spellStart"/>
      <w:r w:rsidR="00722AEC" w:rsidRPr="00ED4D49">
        <w:rPr>
          <w:lang w:val="en-US" w:eastAsia="en-GB"/>
        </w:rPr>
        <w:t>Ivan</w:t>
      </w:r>
      <w:r w:rsidR="00A7018E" w:rsidRPr="00ED4D49">
        <w:rPr>
          <w:lang w:val="en-US" w:eastAsia="en-GB"/>
        </w:rPr>
        <w:t>sc</w:t>
      </w:r>
      <w:r w:rsidR="00722AEC" w:rsidRPr="00ED4D49">
        <w:rPr>
          <w:lang w:val="en-US" w:eastAsia="en-GB"/>
        </w:rPr>
        <w:t>ica</w:t>
      </w:r>
      <w:proofErr w:type="spellEnd"/>
      <w:r w:rsidR="00722AEC" w:rsidRPr="00ED4D49">
        <w:rPr>
          <w:lang w:val="en-US" w:eastAsia="en-GB"/>
        </w:rPr>
        <w:t>–Kalnik–</w:t>
      </w:r>
      <w:proofErr w:type="spellStart"/>
      <w:r w:rsidR="00722AEC" w:rsidRPr="00ED4D49">
        <w:rPr>
          <w:lang w:val="en-US" w:eastAsia="en-GB"/>
        </w:rPr>
        <w:t>Bilogora</w:t>
      </w:r>
      <w:proofErr w:type="spellEnd"/>
      <w:r w:rsidR="00722AEC" w:rsidRPr="00ED4D49">
        <w:rPr>
          <w:lang w:val="en-US" w:eastAsia="en-GB"/>
        </w:rPr>
        <w:t>–Papuk mountain chain.</w:t>
      </w:r>
      <w:r w:rsidR="00722AEC" w:rsidRPr="00ED4D49">
        <w:rPr>
          <w:rStyle w:val="FootnoteReference"/>
          <w:lang w:val="en-US" w:eastAsia="en-GB"/>
        </w:rPr>
        <w:footnoteReference w:id="6"/>
      </w:r>
    </w:p>
    <w:p w14:paraId="2671000D" w14:textId="51C9BE14" w:rsidR="00ED57DC" w:rsidRPr="00ED4D49" w:rsidRDefault="00ED57DC" w:rsidP="00ED57DC">
      <w:pPr>
        <w:pStyle w:val="Heading3"/>
      </w:pPr>
      <w:bookmarkStart w:id="65" w:name="_Toc31811061"/>
      <w:r w:rsidRPr="00ED4D49">
        <w:t>Climate</w:t>
      </w:r>
      <w:bookmarkEnd w:id="65"/>
      <w:r w:rsidRPr="00ED4D49">
        <w:tab/>
      </w:r>
    </w:p>
    <w:p w14:paraId="3729392B" w14:textId="1A804A6D" w:rsidR="00285C80" w:rsidRPr="00ED4D49" w:rsidRDefault="00BE66E8" w:rsidP="00285C80">
      <w:pPr>
        <w:jc w:val="both"/>
        <w:rPr>
          <w:lang w:val="en-US" w:eastAsia="en-GB"/>
        </w:rPr>
      </w:pPr>
      <w:r w:rsidRPr="00ED4D49">
        <w:rPr>
          <w:lang w:val="en-US" w:eastAsia="en-GB"/>
        </w:rPr>
        <w:t>A moderate continental climate dominates in the right tributaries’ catchment areas within B</w:t>
      </w:r>
      <w:r w:rsidR="002127E8" w:rsidRPr="00ED4D49">
        <w:rPr>
          <w:lang w:val="en-US" w:eastAsia="en-GB"/>
        </w:rPr>
        <w:t>iH</w:t>
      </w:r>
      <w:r w:rsidRPr="00ED4D49">
        <w:rPr>
          <w:lang w:val="en-US" w:eastAsia="en-GB"/>
        </w:rPr>
        <w:t xml:space="preserve">, while a moderate continental (mid-European) climate primarily features in the left tributaries’ catchment areas that belong to the Pannonian Basin. </w:t>
      </w:r>
      <w:r w:rsidR="00285C80" w:rsidRPr="00ED4D49">
        <w:rPr>
          <w:lang w:val="en-US" w:eastAsia="en-GB"/>
        </w:rPr>
        <w:t xml:space="preserve">The winter can be severe with abundant snowfalls, while the summer is hot and long. </w:t>
      </w:r>
      <w:r w:rsidRPr="00ED4D49">
        <w:rPr>
          <w:lang w:val="en-US" w:eastAsia="en-GB"/>
        </w:rPr>
        <w:t xml:space="preserve">Average annual air temperature for the </w:t>
      </w:r>
      <w:r w:rsidR="00D511FA" w:rsidRPr="00ED4D49">
        <w:rPr>
          <w:lang w:val="en-US" w:eastAsia="en-GB"/>
        </w:rPr>
        <w:t>entire</w:t>
      </w:r>
      <w:r w:rsidRPr="00ED4D49">
        <w:rPr>
          <w:lang w:val="en-US" w:eastAsia="en-GB"/>
        </w:rPr>
        <w:t xml:space="preserve"> </w:t>
      </w:r>
      <w:r w:rsidR="00D511FA" w:rsidRPr="00ED4D49">
        <w:rPr>
          <w:lang w:val="en-US" w:eastAsia="en-GB"/>
        </w:rPr>
        <w:t>SRB</w:t>
      </w:r>
      <w:r w:rsidRPr="00ED4D49">
        <w:rPr>
          <w:lang w:val="en-US" w:eastAsia="en-GB"/>
        </w:rPr>
        <w:t xml:space="preserve"> was estimated to be approx. 9.5</w:t>
      </w:r>
      <w:r w:rsidRPr="00ED4D49">
        <w:rPr>
          <w:vertAlign w:val="superscript"/>
          <w:lang w:val="en-US" w:eastAsia="en-GB"/>
        </w:rPr>
        <w:t>○</w:t>
      </w:r>
      <w:r w:rsidRPr="00ED4D49">
        <w:rPr>
          <w:lang w:val="en-US" w:eastAsia="en-GB"/>
        </w:rPr>
        <w:t xml:space="preserve"> C. Mean monthly temperature in January falls to approx. -1.5</w:t>
      </w:r>
      <w:r w:rsidRPr="00ED4D49">
        <w:rPr>
          <w:vertAlign w:val="superscript"/>
          <w:lang w:val="en-US" w:eastAsia="en-GB"/>
        </w:rPr>
        <w:t>○</w:t>
      </w:r>
      <w:r w:rsidRPr="00ED4D49">
        <w:rPr>
          <w:lang w:val="en-US" w:eastAsia="en-GB"/>
        </w:rPr>
        <w:t xml:space="preserve"> C, whilst in July it can reach 20</w:t>
      </w:r>
      <w:r w:rsidRPr="00ED4D49">
        <w:rPr>
          <w:vertAlign w:val="superscript"/>
          <w:lang w:val="en-US" w:eastAsia="en-GB"/>
        </w:rPr>
        <w:t>o</w:t>
      </w:r>
      <w:r w:rsidRPr="00ED4D49">
        <w:rPr>
          <w:lang w:val="en-US" w:eastAsia="en-GB"/>
        </w:rPr>
        <w:t xml:space="preserve">C. The precipitation amount and its annual distribution are fairly variable within the basin. The average annual rainfall over the </w:t>
      </w:r>
      <w:r w:rsidR="00D511FA" w:rsidRPr="00ED4D49">
        <w:rPr>
          <w:lang w:val="en-US" w:eastAsia="en-GB"/>
        </w:rPr>
        <w:t>SRB</w:t>
      </w:r>
      <w:r w:rsidRPr="00ED4D49">
        <w:rPr>
          <w:lang w:val="en-US" w:eastAsia="en-GB"/>
        </w:rPr>
        <w:t xml:space="preserve"> is estimated to be approximately 1,100 mm. The average evapotranspiration for the whole catchment area is approx. 530 mm/year.</w:t>
      </w:r>
      <w:r w:rsidR="00285C80" w:rsidRPr="00ED4D49">
        <w:rPr>
          <w:lang w:val="en-US" w:eastAsia="en-GB"/>
        </w:rPr>
        <w:t xml:space="preserve"> </w:t>
      </w:r>
    </w:p>
    <w:p w14:paraId="581BB376" w14:textId="006E1417" w:rsidR="00ED57DC" w:rsidRPr="00ED4D49" w:rsidRDefault="00ED57DC" w:rsidP="00ED57DC">
      <w:pPr>
        <w:pStyle w:val="Heading3"/>
      </w:pPr>
      <w:bookmarkStart w:id="66" w:name="_Toc31811062"/>
      <w:r w:rsidRPr="00ED4D49">
        <w:t xml:space="preserve">Climate </w:t>
      </w:r>
      <w:r w:rsidR="00DA00BD" w:rsidRPr="00ED4D49">
        <w:t>C</w:t>
      </w:r>
      <w:r w:rsidRPr="00ED4D49">
        <w:t>hange</w:t>
      </w:r>
      <w:bookmarkEnd w:id="66"/>
      <w:r w:rsidRPr="00ED4D49">
        <w:tab/>
      </w:r>
    </w:p>
    <w:p w14:paraId="6D4CAC4F" w14:textId="03C116EF" w:rsidR="00CE1EA9" w:rsidRPr="00ED4D49" w:rsidRDefault="00CE1EA9" w:rsidP="00687941">
      <w:pPr>
        <w:jc w:val="both"/>
        <w:rPr>
          <w:lang w:val="en-US" w:eastAsia="x-none"/>
        </w:rPr>
      </w:pPr>
      <w:r w:rsidRPr="00ED4D49">
        <w:rPr>
          <w:lang w:val="en-US" w:eastAsia="x-none"/>
        </w:rPr>
        <w:t xml:space="preserve">According to the background paper on climate change for </w:t>
      </w:r>
      <w:r w:rsidR="00D511FA" w:rsidRPr="00ED4D49">
        <w:rPr>
          <w:lang w:val="en-US" w:eastAsia="x-none"/>
        </w:rPr>
        <w:t>the SRB</w:t>
      </w:r>
      <w:r w:rsidR="00687941" w:rsidRPr="00ED4D49">
        <w:rPr>
          <w:rStyle w:val="FootnoteReference"/>
          <w:lang w:val="en-US" w:eastAsia="x-none"/>
        </w:rPr>
        <w:footnoteReference w:id="7"/>
      </w:r>
      <w:r w:rsidRPr="00ED4D49">
        <w:rPr>
          <w:lang w:val="en-US" w:eastAsia="x-none"/>
        </w:rPr>
        <w:t xml:space="preserve">, the temperature </w:t>
      </w:r>
      <w:r w:rsidR="00687941" w:rsidRPr="00ED4D49">
        <w:rPr>
          <w:lang w:val="en-US" w:eastAsia="x-none"/>
        </w:rPr>
        <w:t xml:space="preserve">in </w:t>
      </w:r>
      <w:r w:rsidR="00BE66E8" w:rsidRPr="00ED4D49">
        <w:rPr>
          <w:lang w:val="en-US" w:eastAsia="x-none"/>
        </w:rPr>
        <w:t xml:space="preserve">the </w:t>
      </w:r>
      <w:r w:rsidR="00687941" w:rsidRPr="00ED4D49">
        <w:rPr>
          <w:lang w:val="en-US" w:eastAsia="x-none"/>
        </w:rPr>
        <w:t xml:space="preserve">BiH part of the </w:t>
      </w:r>
      <w:r w:rsidR="00D511FA" w:rsidRPr="00ED4D49">
        <w:rPr>
          <w:lang w:val="en-US" w:eastAsia="x-none"/>
        </w:rPr>
        <w:t>SRB</w:t>
      </w:r>
      <w:r w:rsidR="00687941" w:rsidRPr="00ED4D49">
        <w:rPr>
          <w:lang w:val="en-US" w:eastAsia="x-none"/>
        </w:rPr>
        <w:t xml:space="preserve"> </w:t>
      </w:r>
      <w:r w:rsidRPr="00ED4D49">
        <w:rPr>
          <w:lang w:val="en-US" w:eastAsia="x-none"/>
        </w:rPr>
        <w:t>is projected to increase from 0.7 to 1.6°C per 1°C of global increase. The largest temperature increases would occur in summer, and in inland areas. The second largest increase would occur in the autumn (2-3°C everywhere). Spring temperatures could rise by approximately 2°C and winter and spring temperatures could rise by less than 2°C. Average maximal daily temperature is expected to raise more than average minimal daily temperature.</w:t>
      </w:r>
    </w:p>
    <w:p w14:paraId="60A7ED37" w14:textId="5E134482" w:rsidR="00CE1EA9" w:rsidRPr="00ED4D49" w:rsidRDefault="00CE1EA9" w:rsidP="00687941">
      <w:pPr>
        <w:jc w:val="both"/>
        <w:rPr>
          <w:lang w:val="en-US" w:eastAsia="x-none"/>
        </w:rPr>
      </w:pPr>
      <w:r w:rsidRPr="00ED4D49">
        <w:rPr>
          <w:lang w:val="en-US" w:eastAsia="x-none"/>
        </w:rPr>
        <w:t>During the winter period (December-February), precipitation will increase. The rainfall may also be heavier. In summer the climate will be noticeably drier. Reduction in rainfall will be especially noticeable in summer (June-August) during the period 2031-2060 when already small amounts of rainfall could be halved. This means that the part of BiH will be affected by the reduction of the precipitation. Potential evapotranspiration (PET) is a more stable parameter than precipitation. The annual average PET is about 725 mm.</w:t>
      </w:r>
    </w:p>
    <w:p w14:paraId="6FEEA27C" w14:textId="6E0420B8" w:rsidR="00CE1EA9" w:rsidRPr="00ED4D49" w:rsidRDefault="00285C80" w:rsidP="00687941">
      <w:pPr>
        <w:jc w:val="both"/>
        <w:rPr>
          <w:lang w:val="en-US"/>
        </w:rPr>
      </w:pPr>
      <w:r w:rsidRPr="00ED4D49">
        <w:rPr>
          <w:lang w:val="en-US" w:eastAsia="x-none"/>
        </w:rPr>
        <w:lastRenderedPageBreak/>
        <w:t xml:space="preserve">The current climate change projections for the </w:t>
      </w:r>
      <w:r w:rsidR="00D511FA" w:rsidRPr="00ED4D49">
        <w:rPr>
          <w:lang w:val="en-US" w:eastAsia="x-none"/>
        </w:rPr>
        <w:t>SRB</w:t>
      </w:r>
      <w:r w:rsidRPr="00ED4D49">
        <w:rPr>
          <w:rStyle w:val="FootnoteReference"/>
          <w:lang w:val="en-US" w:eastAsia="x-none"/>
        </w:rPr>
        <w:footnoteReference w:id="8"/>
      </w:r>
      <w:r w:rsidRPr="00ED4D49">
        <w:rPr>
          <w:lang w:val="en-US" w:eastAsia="x-none"/>
        </w:rPr>
        <w:t xml:space="preserve"> foresee a rise of flood peaks of up to 8%, while droughts, which are particularly unfavorable to navigation, are anticipated to become more frequent.</w:t>
      </w:r>
      <w:r w:rsidR="00F02928" w:rsidRPr="00ED4D49">
        <w:rPr>
          <w:lang w:val="en-US"/>
        </w:rPr>
        <w:t xml:space="preserve"> </w:t>
      </w:r>
    </w:p>
    <w:p w14:paraId="3CD670CD" w14:textId="0BB96918" w:rsidR="007B11F5" w:rsidRPr="00ED4D49" w:rsidRDefault="007B11F5" w:rsidP="007B11F5">
      <w:pPr>
        <w:jc w:val="both"/>
        <w:rPr>
          <w:lang w:val="en-US"/>
        </w:rPr>
      </w:pPr>
      <w:r w:rsidRPr="00ED4D49">
        <w:rPr>
          <w:lang w:val="en-US"/>
        </w:rPr>
        <w:t xml:space="preserve">The </w:t>
      </w:r>
      <w:r w:rsidR="00D511FA" w:rsidRPr="00ED4D49">
        <w:rPr>
          <w:lang w:val="en-US" w:eastAsia="x-none"/>
        </w:rPr>
        <w:t>SRB</w:t>
      </w:r>
      <w:r w:rsidR="00D511FA" w:rsidRPr="00ED4D49">
        <w:rPr>
          <w:lang w:val="en-US"/>
        </w:rPr>
        <w:t xml:space="preserve"> </w:t>
      </w:r>
      <w:r w:rsidRPr="00ED4D49">
        <w:rPr>
          <w:lang w:val="en-US"/>
        </w:rPr>
        <w:t xml:space="preserve">already experienced two extreme floods in 2010 and 2014 which demonstrated its vulnerability to extreme weather events caused by climate change. More details on economic impact of these floods </w:t>
      </w:r>
      <w:proofErr w:type="gramStart"/>
      <w:r w:rsidRPr="00ED4D49">
        <w:rPr>
          <w:lang w:val="en-US"/>
        </w:rPr>
        <w:t>is</w:t>
      </w:r>
      <w:proofErr w:type="gramEnd"/>
      <w:r w:rsidRPr="00ED4D49">
        <w:rPr>
          <w:lang w:val="en-US"/>
        </w:rPr>
        <w:t xml:space="preserve"> given in Chapter </w:t>
      </w:r>
      <w:r w:rsidRPr="00ED4D49">
        <w:rPr>
          <w:lang w:val="en-US"/>
        </w:rPr>
        <w:fldChar w:fldCharType="begin"/>
      </w:r>
      <w:r w:rsidRPr="00ED4D49">
        <w:rPr>
          <w:lang w:val="en-US"/>
        </w:rPr>
        <w:instrText xml:space="preserve"> REF _Ref22478780 \r \h </w:instrText>
      </w:r>
      <w:r w:rsidR="00ED4D49">
        <w:rPr>
          <w:lang w:val="en-US"/>
        </w:rPr>
        <w:instrText xml:space="preserve"> \* MERGEFORMAT </w:instrText>
      </w:r>
      <w:r w:rsidRPr="00ED4D49">
        <w:rPr>
          <w:lang w:val="en-US"/>
        </w:rPr>
      </w:r>
      <w:r w:rsidRPr="00ED4D49">
        <w:rPr>
          <w:lang w:val="en-US"/>
        </w:rPr>
        <w:fldChar w:fldCharType="separate"/>
      </w:r>
      <w:r w:rsidR="00F60130" w:rsidRPr="00ED4D49">
        <w:rPr>
          <w:lang w:val="en-US"/>
        </w:rPr>
        <w:t>4.5</w:t>
      </w:r>
      <w:r w:rsidRPr="00ED4D49">
        <w:rPr>
          <w:lang w:val="en-US"/>
        </w:rPr>
        <w:fldChar w:fldCharType="end"/>
      </w:r>
      <w:r w:rsidRPr="00ED4D49">
        <w:rPr>
          <w:lang w:val="en-US"/>
        </w:rPr>
        <w:t>.</w:t>
      </w:r>
    </w:p>
    <w:p w14:paraId="465CDAD2" w14:textId="77777777" w:rsidR="002127E8" w:rsidRPr="00ED4D49" w:rsidRDefault="00ED57DC" w:rsidP="00ED57DC">
      <w:pPr>
        <w:pStyle w:val="Heading3"/>
      </w:pPr>
      <w:bookmarkStart w:id="67" w:name="_Toc31811063"/>
      <w:r w:rsidRPr="00ED4D49">
        <w:t>Water Quality</w:t>
      </w:r>
      <w:bookmarkEnd w:id="67"/>
    </w:p>
    <w:p w14:paraId="1DA1EF10" w14:textId="269FEA36" w:rsidR="008C16E9" w:rsidRPr="00ED4D49" w:rsidRDefault="008C16E9" w:rsidP="008C16E9">
      <w:pPr>
        <w:jc w:val="both"/>
        <w:rPr>
          <w:lang w:val="en-US"/>
        </w:rPr>
      </w:pPr>
      <w:r w:rsidRPr="00ED4D49">
        <w:rPr>
          <w:lang w:val="en-US"/>
        </w:rPr>
        <w:t>Based on the information taken from the river basin management documents</w:t>
      </w:r>
      <w:r w:rsidRPr="00ED4D49">
        <w:rPr>
          <w:rStyle w:val="FootnoteReference"/>
          <w:lang w:val="en-US"/>
        </w:rPr>
        <w:footnoteReference w:id="9"/>
      </w:r>
      <w:r w:rsidRPr="00ED4D49">
        <w:rPr>
          <w:lang w:val="en-US"/>
        </w:rPr>
        <w:t xml:space="preserve">, </w:t>
      </w:r>
      <w:r w:rsidR="0054177A" w:rsidRPr="00ED4D49">
        <w:rPr>
          <w:lang w:val="en-US"/>
        </w:rPr>
        <w:t>the basin</w:t>
      </w:r>
      <w:r w:rsidRPr="00ED4D49">
        <w:rPr>
          <w:lang w:val="en-US"/>
        </w:rPr>
        <w:t xml:space="preserve"> consists of 108 water bodies: 72 in </w:t>
      </w:r>
      <w:r w:rsidR="001A6DE7" w:rsidRPr="00ED4D49">
        <w:rPr>
          <w:lang w:val="en-US"/>
        </w:rPr>
        <w:t>RS</w:t>
      </w:r>
      <w:r w:rsidR="0054177A" w:rsidRPr="00ED4D49">
        <w:rPr>
          <w:lang w:val="en-US"/>
        </w:rPr>
        <w:t xml:space="preserve">, </w:t>
      </w:r>
      <w:r w:rsidRPr="00ED4D49">
        <w:rPr>
          <w:lang w:val="en-US"/>
        </w:rPr>
        <w:t xml:space="preserve">and 36 in </w:t>
      </w:r>
      <w:r w:rsidR="001A6DE7" w:rsidRPr="00ED4D49">
        <w:rPr>
          <w:lang w:val="en-US"/>
        </w:rPr>
        <w:t>FBiH</w:t>
      </w:r>
      <w:r w:rsidRPr="00ED4D49">
        <w:rPr>
          <w:lang w:val="en-US"/>
        </w:rPr>
        <w:t xml:space="preserve"> and </w:t>
      </w:r>
      <w:r w:rsidR="001A6DE7" w:rsidRPr="00ED4D49">
        <w:rPr>
          <w:lang w:val="en-US"/>
        </w:rPr>
        <w:t>BD</w:t>
      </w:r>
      <w:r w:rsidRPr="00ED4D49">
        <w:rPr>
          <w:lang w:val="en-US"/>
        </w:rPr>
        <w:t>. Out of these, 100 water bodies (92%) are not classified as having good or high status according to Water Framework Directive (2000/60/European Parliament and Council).</w:t>
      </w:r>
      <w:r w:rsidR="00C6478C" w:rsidRPr="00ED4D49">
        <w:rPr>
          <w:lang w:val="en-US"/>
        </w:rPr>
        <w:t xml:space="preserve"> </w:t>
      </w:r>
      <w:r w:rsidRPr="00ED4D49">
        <w:rPr>
          <w:lang w:val="en-US"/>
        </w:rPr>
        <w:t xml:space="preserve">Moderate ecological status and bad chemical status were determined on the section of the Sava River downstream from confluence of Una River, while poor total status and bad chemical status were determined on the section of the river in the area of town </w:t>
      </w:r>
      <w:proofErr w:type="spellStart"/>
      <w:r w:rsidRPr="00ED4D49">
        <w:rPr>
          <w:lang w:val="en-US"/>
        </w:rPr>
        <w:t>Ora</w:t>
      </w:r>
      <w:r w:rsidR="001A6DE7" w:rsidRPr="00ED4D49">
        <w:rPr>
          <w:lang w:val="en-US"/>
        </w:rPr>
        <w:t>s</w:t>
      </w:r>
      <w:r w:rsidRPr="00ED4D49">
        <w:rPr>
          <w:lang w:val="en-US"/>
        </w:rPr>
        <w:t>je</w:t>
      </w:r>
      <w:proofErr w:type="spellEnd"/>
      <w:r w:rsidRPr="00ED4D49">
        <w:rPr>
          <w:lang w:val="en-US"/>
        </w:rPr>
        <w:t xml:space="preserve"> and Br</w:t>
      </w:r>
      <w:r w:rsidR="001A6DE7" w:rsidRPr="00ED4D49">
        <w:rPr>
          <w:lang w:val="en-US"/>
        </w:rPr>
        <w:t>c</w:t>
      </w:r>
      <w:r w:rsidRPr="00ED4D49">
        <w:rPr>
          <w:lang w:val="en-US"/>
        </w:rPr>
        <w:t>ko.</w:t>
      </w:r>
      <w:r w:rsidR="00C6478C" w:rsidRPr="00ED4D49">
        <w:rPr>
          <w:lang w:val="en-US"/>
        </w:rPr>
        <w:t xml:space="preserve"> </w:t>
      </w:r>
    </w:p>
    <w:p w14:paraId="557436A9" w14:textId="6E622A08" w:rsidR="009E6567" w:rsidRPr="00ED4D49" w:rsidRDefault="008C16E9" w:rsidP="009E6567">
      <w:pPr>
        <w:jc w:val="both"/>
        <w:rPr>
          <w:lang w:val="en-US"/>
        </w:rPr>
      </w:pPr>
      <w:r w:rsidRPr="00ED4D49">
        <w:rPr>
          <w:lang w:val="en-US"/>
        </w:rPr>
        <w:t xml:space="preserve">The main identified pressures are organic and nutrient pollution from anthropological activities discharged from Vrbas and Bosna tributaries. Both river basins are highly populated and without proper management of municipal and industrial discharges along their courses. </w:t>
      </w:r>
      <w:r w:rsidR="009E6567" w:rsidRPr="00ED4D49">
        <w:rPr>
          <w:lang w:val="en-US"/>
        </w:rPr>
        <w:t xml:space="preserve">Only few municipalities in the basin have operational wastewater treatment plan, while several other municipalities are in preparations for design or construction. </w:t>
      </w:r>
      <w:r w:rsidR="0054177A" w:rsidRPr="00ED4D49">
        <w:rPr>
          <w:lang w:val="en-US"/>
        </w:rPr>
        <w:t>An</w:t>
      </w:r>
      <w:r w:rsidR="009E6567" w:rsidRPr="00ED4D49">
        <w:rPr>
          <w:lang w:val="en-US"/>
        </w:rPr>
        <w:t xml:space="preserve"> overview of the situation is given in </w:t>
      </w:r>
      <w:r w:rsidR="009E6567" w:rsidRPr="00ED4D49">
        <w:rPr>
          <w:lang w:val="en-US"/>
        </w:rPr>
        <w:fldChar w:fldCharType="begin"/>
      </w:r>
      <w:r w:rsidR="009E6567" w:rsidRPr="00ED4D49">
        <w:rPr>
          <w:lang w:val="en-US"/>
        </w:rPr>
        <w:instrText xml:space="preserve"> REF _Ref22559837 \h  \* MERGEFORMAT </w:instrText>
      </w:r>
      <w:r w:rsidR="009E6567" w:rsidRPr="00ED4D49">
        <w:rPr>
          <w:lang w:val="en-US"/>
        </w:rPr>
      </w:r>
      <w:r w:rsidR="009E6567" w:rsidRPr="00ED4D49">
        <w:rPr>
          <w:lang w:val="en-US"/>
        </w:rPr>
        <w:fldChar w:fldCharType="separate"/>
      </w:r>
      <w:r w:rsidR="00F60130" w:rsidRPr="00ED4D49">
        <w:rPr>
          <w:lang w:val="en-US"/>
        </w:rPr>
        <w:t>Table 4</w:t>
      </w:r>
      <w:r w:rsidR="009E6567" w:rsidRPr="00ED4D49">
        <w:rPr>
          <w:lang w:val="en-US"/>
        </w:rPr>
        <w:fldChar w:fldCharType="end"/>
      </w:r>
      <w:r w:rsidR="009E6567" w:rsidRPr="00ED4D49">
        <w:rPr>
          <w:lang w:val="en-US"/>
        </w:rPr>
        <w:t>.</w:t>
      </w:r>
    </w:p>
    <w:p w14:paraId="6661CBC2" w14:textId="0CBB9446" w:rsidR="009E6567" w:rsidRPr="00ED4D49" w:rsidRDefault="009E6567" w:rsidP="009E6567">
      <w:pPr>
        <w:spacing w:before="160" w:after="0" w:line="240" w:lineRule="auto"/>
        <w:rPr>
          <w:bCs/>
          <w:i/>
          <w:sz w:val="16"/>
          <w:szCs w:val="16"/>
          <w:lang w:val="en-US"/>
        </w:rPr>
      </w:pPr>
      <w:bookmarkStart w:id="68" w:name="_Ref22559837"/>
      <w:bookmarkStart w:id="69" w:name="_Toc28188029"/>
      <w:bookmarkStart w:id="70" w:name="_Ref4421368"/>
      <w:r w:rsidRPr="00ED4D49">
        <w:rPr>
          <w:i/>
          <w:color w:val="2F5496"/>
          <w:sz w:val="16"/>
          <w:szCs w:val="16"/>
          <w:lang w:val="en-US"/>
        </w:rPr>
        <w:t xml:space="preserve">Table </w:t>
      </w:r>
      <w:r w:rsidRPr="00ED4D49">
        <w:rPr>
          <w:i/>
          <w:color w:val="2F5496"/>
          <w:sz w:val="16"/>
          <w:szCs w:val="16"/>
          <w:lang w:val="en-US"/>
        </w:rPr>
        <w:fldChar w:fldCharType="begin"/>
      </w:r>
      <w:r w:rsidRPr="00ED4D49">
        <w:rPr>
          <w:i/>
          <w:color w:val="2F5496"/>
          <w:sz w:val="16"/>
          <w:szCs w:val="16"/>
          <w:lang w:val="en-US"/>
        </w:rPr>
        <w:instrText xml:space="preserve"> SEQ Table \* ARABIC </w:instrText>
      </w:r>
      <w:r w:rsidRPr="00ED4D49">
        <w:rPr>
          <w:i/>
          <w:color w:val="2F5496"/>
          <w:sz w:val="16"/>
          <w:szCs w:val="16"/>
          <w:lang w:val="en-US"/>
        </w:rPr>
        <w:fldChar w:fldCharType="separate"/>
      </w:r>
      <w:r w:rsidR="00F60130" w:rsidRPr="00ED4D49">
        <w:rPr>
          <w:i/>
          <w:noProof/>
          <w:color w:val="2F5496"/>
          <w:sz w:val="16"/>
          <w:szCs w:val="16"/>
          <w:lang w:val="en-US"/>
        </w:rPr>
        <w:t>4</w:t>
      </w:r>
      <w:r w:rsidRPr="00ED4D49">
        <w:rPr>
          <w:i/>
          <w:color w:val="2F5496"/>
          <w:sz w:val="16"/>
          <w:szCs w:val="16"/>
          <w:lang w:val="en-US"/>
        </w:rPr>
        <w:fldChar w:fldCharType="end"/>
      </w:r>
      <w:bookmarkEnd w:id="68"/>
      <w:r w:rsidRPr="00ED4D49">
        <w:rPr>
          <w:i/>
          <w:color w:val="2F5496"/>
          <w:sz w:val="16"/>
          <w:szCs w:val="16"/>
          <w:lang w:val="en-US"/>
        </w:rPr>
        <w:t>:</w:t>
      </w:r>
      <w:r w:rsidRPr="00ED4D49">
        <w:rPr>
          <w:bCs/>
          <w:i/>
          <w:szCs w:val="18"/>
          <w:lang w:val="en-US"/>
        </w:rPr>
        <w:t xml:space="preserve"> </w:t>
      </w:r>
      <w:r w:rsidRPr="00ED4D49">
        <w:rPr>
          <w:bCs/>
          <w:i/>
          <w:sz w:val="16"/>
          <w:szCs w:val="16"/>
          <w:lang w:val="en-US"/>
        </w:rPr>
        <w:t>The status of wastewater treatment plants construction in BiH</w:t>
      </w:r>
      <w:bookmarkEnd w:id="69"/>
    </w:p>
    <w:p w14:paraId="50D2AD90" w14:textId="33344AEF" w:rsidR="009E6567" w:rsidRPr="00ED4D49" w:rsidRDefault="009E6567" w:rsidP="009E6567">
      <w:pPr>
        <w:spacing w:before="0" w:after="60" w:line="240" w:lineRule="auto"/>
        <w:rPr>
          <w:b/>
          <w:bCs/>
          <w:i/>
          <w:sz w:val="16"/>
          <w:szCs w:val="16"/>
          <w:lang w:val="en-US"/>
        </w:rPr>
      </w:pPr>
      <w:r w:rsidRPr="00ED4D49">
        <w:rPr>
          <w:bCs/>
          <w:i/>
          <w:sz w:val="16"/>
          <w:szCs w:val="16"/>
          <w:lang w:val="en-US"/>
        </w:rPr>
        <w:t xml:space="preserve">(Source: Sava River Basin District Agency, Adriatic Sea River Basin District Agency, </w:t>
      </w:r>
      <w:proofErr w:type="gramStart"/>
      <w:r w:rsidRPr="00ED4D49">
        <w:rPr>
          <w:bCs/>
          <w:i/>
          <w:sz w:val="16"/>
          <w:szCs w:val="16"/>
          <w:lang w:val="en-US"/>
        </w:rPr>
        <w:t>JU</w:t>
      </w:r>
      <w:r w:rsidR="0054177A" w:rsidRPr="00ED4D49">
        <w:rPr>
          <w:bCs/>
          <w:i/>
          <w:sz w:val="16"/>
          <w:szCs w:val="16"/>
          <w:lang w:val="en-US"/>
        </w:rPr>
        <w:t xml:space="preserve"> </w:t>
      </w:r>
      <w:r w:rsidRPr="00ED4D49">
        <w:rPr>
          <w:bCs/>
          <w:i/>
          <w:sz w:val="16"/>
          <w:szCs w:val="16"/>
          <w:lang w:val="en-US"/>
        </w:rPr>
        <w:t>”Vode</w:t>
      </w:r>
      <w:proofErr w:type="gramEnd"/>
      <w:r w:rsidRPr="00ED4D49">
        <w:rPr>
          <w:bCs/>
          <w:i/>
          <w:sz w:val="16"/>
          <w:szCs w:val="16"/>
          <w:lang w:val="en-US"/>
        </w:rPr>
        <w:t xml:space="preserve"> Srpske”)</w:t>
      </w:r>
    </w:p>
    <w:tbl>
      <w:tblPr>
        <w:tblStyle w:val="GridTable1Light-Accent31"/>
        <w:tblW w:w="9288" w:type="dxa"/>
        <w:tblLayout w:type="fixed"/>
        <w:tblLook w:val="0000" w:firstRow="0" w:lastRow="0" w:firstColumn="0" w:lastColumn="0" w:noHBand="0" w:noVBand="0"/>
      </w:tblPr>
      <w:tblGrid>
        <w:gridCol w:w="1696"/>
        <w:gridCol w:w="1276"/>
        <w:gridCol w:w="1701"/>
        <w:gridCol w:w="4615"/>
      </w:tblGrid>
      <w:tr w:rsidR="009E6567" w:rsidRPr="00ED4D49" w14:paraId="643DE22F" w14:textId="77777777" w:rsidTr="009E6567">
        <w:trPr>
          <w:trHeight w:val="284"/>
          <w:tblHeader/>
        </w:trPr>
        <w:tc>
          <w:tcPr>
            <w:tcW w:w="1696" w:type="dxa"/>
          </w:tcPr>
          <w:bookmarkEnd w:id="70"/>
          <w:p w14:paraId="3D595038" w14:textId="253F1B48" w:rsidR="009E6567" w:rsidRPr="00ED4D49" w:rsidRDefault="009E6567" w:rsidP="009E6567">
            <w:pPr>
              <w:spacing w:before="0" w:after="0"/>
              <w:ind w:left="144" w:right="144"/>
              <w:jc w:val="center"/>
              <w:rPr>
                <w:rFonts w:cs="Calibri"/>
                <w:color w:val="336699"/>
                <w:sz w:val="16"/>
                <w:szCs w:val="16"/>
                <w:lang w:val="en-US"/>
              </w:rPr>
            </w:pPr>
            <w:r w:rsidRPr="00ED4D49">
              <w:rPr>
                <w:rFonts w:cs="Calibri"/>
                <w:color w:val="336699"/>
                <w:sz w:val="16"/>
                <w:szCs w:val="16"/>
                <w:lang w:val="en-US"/>
              </w:rPr>
              <w:t>City/ Municipality</w:t>
            </w:r>
          </w:p>
        </w:tc>
        <w:tc>
          <w:tcPr>
            <w:tcW w:w="1276" w:type="dxa"/>
          </w:tcPr>
          <w:p w14:paraId="26674531" w14:textId="2E2F0D63" w:rsidR="009E6567" w:rsidRPr="00ED4D49" w:rsidRDefault="009E6567" w:rsidP="009E6567">
            <w:pPr>
              <w:spacing w:before="0" w:after="0"/>
              <w:ind w:left="144" w:right="144"/>
              <w:jc w:val="center"/>
              <w:rPr>
                <w:rFonts w:cs="Calibri"/>
                <w:color w:val="336699"/>
                <w:sz w:val="16"/>
                <w:szCs w:val="16"/>
                <w:lang w:val="en-US"/>
              </w:rPr>
            </w:pPr>
            <w:r w:rsidRPr="00ED4D49">
              <w:rPr>
                <w:rFonts w:cs="Calibri"/>
                <w:color w:val="336699"/>
                <w:sz w:val="16"/>
                <w:szCs w:val="16"/>
                <w:lang w:val="en-US"/>
              </w:rPr>
              <w:t>Capacity (PE)</w:t>
            </w:r>
          </w:p>
        </w:tc>
        <w:tc>
          <w:tcPr>
            <w:tcW w:w="1701" w:type="dxa"/>
          </w:tcPr>
          <w:p w14:paraId="62D64243" w14:textId="77777777" w:rsidR="009E6567" w:rsidRPr="00ED4D49" w:rsidRDefault="009E6567" w:rsidP="009E6567">
            <w:pPr>
              <w:spacing w:before="0" w:after="0"/>
              <w:ind w:left="144" w:right="144"/>
              <w:rPr>
                <w:rFonts w:cs="Calibri"/>
                <w:color w:val="336699"/>
                <w:sz w:val="16"/>
                <w:szCs w:val="16"/>
                <w:lang w:val="en-US"/>
              </w:rPr>
            </w:pPr>
            <w:r w:rsidRPr="00ED4D49">
              <w:rPr>
                <w:rFonts w:cs="Calibri"/>
                <w:color w:val="336699"/>
                <w:sz w:val="16"/>
                <w:szCs w:val="16"/>
                <w:lang w:val="en-US"/>
              </w:rPr>
              <w:t>Treatment level</w:t>
            </w:r>
          </w:p>
        </w:tc>
        <w:tc>
          <w:tcPr>
            <w:tcW w:w="4615" w:type="dxa"/>
          </w:tcPr>
          <w:p w14:paraId="50B8FFE5" w14:textId="77777777" w:rsidR="009E6567" w:rsidRPr="00ED4D49" w:rsidRDefault="009E6567" w:rsidP="009E6567">
            <w:pPr>
              <w:spacing w:before="0" w:after="0"/>
              <w:ind w:left="144" w:right="144"/>
              <w:jc w:val="center"/>
              <w:rPr>
                <w:rFonts w:cs="Calibri"/>
                <w:color w:val="336699"/>
                <w:sz w:val="16"/>
                <w:szCs w:val="16"/>
                <w:lang w:val="en-US"/>
              </w:rPr>
            </w:pPr>
            <w:r w:rsidRPr="00ED4D49">
              <w:rPr>
                <w:rFonts w:cs="Calibri"/>
                <w:color w:val="336699"/>
                <w:sz w:val="16"/>
                <w:szCs w:val="16"/>
                <w:lang w:val="en-US"/>
              </w:rPr>
              <w:t>Status</w:t>
            </w:r>
          </w:p>
        </w:tc>
      </w:tr>
      <w:tr w:rsidR="009E6567" w:rsidRPr="00ED4D49" w14:paraId="545B9094" w14:textId="77777777" w:rsidTr="009E6567">
        <w:trPr>
          <w:trHeight w:val="284"/>
        </w:trPr>
        <w:tc>
          <w:tcPr>
            <w:tcW w:w="1696" w:type="dxa"/>
          </w:tcPr>
          <w:p w14:paraId="3C20C84D" w14:textId="77777777" w:rsidR="009E6567" w:rsidRPr="00ED4D49" w:rsidRDefault="009E6567" w:rsidP="009E6567">
            <w:pPr>
              <w:autoSpaceDE w:val="0"/>
              <w:autoSpaceDN w:val="0"/>
              <w:adjustRightInd w:val="0"/>
              <w:spacing w:before="0"/>
              <w:rPr>
                <w:rFonts w:asciiTheme="minorHAnsi" w:hAnsiTheme="minorHAnsi" w:cstheme="minorHAnsi"/>
                <w:color w:val="000000"/>
                <w:sz w:val="16"/>
                <w:szCs w:val="16"/>
                <w:lang w:val="en-US"/>
              </w:rPr>
            </w:pPr>
            <w:r w:rsidRPr="00ED4D49">
              <w:rPr>
                <w:rFonts w:asciiTheme="minorHAnsi" w:hAnsiTheme="minorHAnsi" w:cstheme="minorHAnsi"/>
                <w:color w:val="000000"/>
                <w:sz w:val="16"/>
                <w:szCs w:val="16"/>
                <w:lang w:val="en-US"/>
              </w:rPr>
              <w:t>Sarajevo</w:t>
            </w:r>
          </w:p>
        </w:tc>
        <w:tc>
          <w:tcPr>
            <w:tcW w:w="1276" w:type="dxa"/>
          </w:tcPr>
          <w:p w14:paraId="50B10990" w14:textId="77777777" w:rsidR="009E6567" w:rsidRPr="00ED4D49" w:rsidRDefault="009E6567" w:rsidP="009E6567">
            <w:pPr>
              <w:autoSpaceDE w:val="0"/>
              <w:autoSpaceDN w:val="0"/>
              <w:adjustRightInd w:val="0"/>
              <w:spacing w:before="0"/>
              <w:jc w:val="center"/>
              <w:rPr>
                <w:rFonts w:asciiTheme="minorHAnsi" w:hAnsiTheme="minorHAnsi" w:cstheme="minorHAnsi"/>
                <w:color w:val="000000"/>
                <w:sz w:val="16"/>
                <w:szCs w:val="16"/>
                <w:lang w:val="en-US"/>
              </w:rPr>
            </w:pPr>
            <w:r w:rsidRPr="00ED4D49">
              <w:rPr>
                <w:rFonts w:asciiTheme="minorHAnsi" w:hAnsiTheme="minorHAnsi" w:cstheme="minorHAnsi"/>
                <w:color w:val="000000"/>
                <w:sz w:val="16"/>
                <w:szCs w:val="16"/>
                <w:lang w:val="en-US"/>
              </w:rPr>
              <w:t>600,000</w:t>
            </w:r>
          </w:p>
        </w:tc>
        <w:tc>
          <w:tcPr>
            <w:tcW w:w="1701" w:type="dxa"/>
          </w:tcPr>
          <w:p w14:paraId="32C8C01E" w14:textId="77777777" w:rsidR="009E6567" w:rsidRPr="00ED4D49" w:rsidRDefault="009E6567" w:rsidP="009E6567">
            <w:pPr>
              <w:autoSpaceDE w:val="0"/>
              <w:autoSpaceDN w:val="0"/>
              <w:adjustRightInd w:val="0"/>
              <w:spacing w:before="0"/>
              <w:rPr>
                <w:rFonts w:asciiTheme="minorHAnsi" w:hAnsiTheme="minorHAnsi" w:cstheme="minorHAnsi"/>
                <w:sz w:val="16"/>
                <w:szCs w:val="16"/>
                <w:lang w:val="en-US"/>
              </w:rPr>
            </w:pPr>
            <w:r w:rsidRPr="00ED4D49">
              <w:rPr>
                <w:rFonts w:asciiTheme="minorHAnsi" w:hAnsiTheme="minorHAnsi" w:cstheme="minorHAnsi"/>
                <w:sz w:val="16"/>
                <w:szCs w:val="16"/>
                <w:lang w:val="en-US"/>
              </w:rPr>
              <w:t>II</w:t>
            </w:r>
          </w:p>
        </w:tc>
        <w:tc>
          <w:tcPr>
            <w:tcW w:w="4615" w:type="dxa"/>
          </w:tcPr>
          <w:p w14:paraId="5A7EFA77" w14:textId="77777777" w:rsidR="009E6567" w:rsidRPr="00ED4D49" w:rsidRDefault="009E6567" w:rsidP="009E6567">
            <w:pPr>
              <w:autoSpaceDE w:val="0"/>
              <w:autoSpaceDN w:val="0"/>
              <w:adjustRightInd w:val="0"/>
              <w:spacing w:before="0"/>
              <w:rPr>
                <w:rFonts w:asciiTheme="minorHAnsi" w:hAnsiTheme="minorHAnsi" w:cstheme="minorHAnsi"/>
                <w:color w:val="000000"/>
                <w:sz w:val="16"/>
                <w:szCs w:val="16"/>
                <w:lang w:val="en-US"/>
              </w:rPr>
            </w:pPr>
            <w:r w:rsidRPr="00ED4D49">
              <w:rPr>
                <w:rFonts w:asciiTheme="minorHAnsi" w:hAnsiTheme="minorHAnsi" w:cstheme="minorHAnsi"/>
                <w:color w:val="000000"/>
                <w:sz w:val="16"/>
                <w:szCs w:val="16"/>
                <w:lang w:val="en-US"/>
              </w:rPr>
              <w:t xml:space="preserve">Operational. WWTP Sarajevo is designed for II degree, with the possibility of achieving the III degree of processing (in the next phase). The trial operation period of the plant started in May 2016. The plant officially started operating on 22 May 2017. </w:t>
            </w:r>
          </w:p>
        </w:tc>
      </w:tr>
      <w:tr w:rsidR="009E6567" w:rsidRPr="00ED4D49" w14:paraId="7FCAA42B" w14:textId="77777777" w:rsidTr="009E6567">
        <w:trPr>
          <w:trHeight w:val="284"/>
        </w:trPr>
        <w:tc>
          <w:tcPr>
            <w:tcW w:w="1696" w:type="dxa"/>
          </w:tcPr>
          <w:p w14:paraId="57C66670" w14:textId="77777777" w:rsidR="009E6567" w:rsidRPr="00ED4D49" w:rsidRDefault="009E6567" w:rsidP="009E6567">
            <w:pPr>
              <w:autoSpaceDE w:val="0"/>
              <w:autoSpaceDN w:val="0"/>
              <w:adjustRightInd w:val="0"/>
              <w:spacing w:before="0"/>
              <w:rPr>
                <w:rFonts w:asciiTheme="minorHAnsi" w:hAnsiTheme="minorHAnsi" w:cstheme="minorHAnsi"/>
                <w:color w:val="000000"/>
                <w:sz w:val="16"/>
                <w:szCs w:val="16"/>
                <w:lang w:val="en-US"/>
              </w:rPr>
            </w:pPr>
            <w:proofErr w:type="spellStart"/>
            <w:r w:rsidRPr="00ED4D49">
              <w:rPr>
                <w:rFonts w:asciiTheme="minorHAnsi" w:hAnsiTheme="minorHAnsi" w:cstheme="minorHAnsi"/>
                <w:color w:val="000000"/>
                <w:sz w:val="16"/>
                <w:szCs w:val="16"/>
                <w:lang w:val="en-US"/>
              </w:rPr>
              <w:t>Živinice</w:t>
            </w:r>
            <w:proofErr w:type="spellEnd"/>
          </w:p>
        </w:tc>
        <w:tc>
          <w:tcPr>
            <w:tcW w:w="1276" w:type="dxa"/>
          </w:tcPr>
          <w:p w14:paraId="7154CD5F" w14:textId="77777777" w:rsidR="009E6567" w:rsidRPr="00ED4D49" w:rsidRDefault="009E6567" w:rsidP="009E6567">
            <w:pPr>
              <w:autoSpaceDE w:val="0"/>
              <w:autoSpaceDN w:val="0"/>
              <w:adjustRightInd w:val="0"/>
              <w:spacing w:before="0"/>
              <w:jc w:val="center"/>
              <w:rPr>
                <w:rFonts w:asciiTheme="minorHAnsi" w:hAnsiTheme="minorHAnsi" w:cstheme="minorHAnsi"/>
                <w:color w:val="000000"/>
                <w:sz w:val="16"/>
                <w:szCs w:val="16"/>
                <w:lang w:val="en-US"/>
              </w:rPr>
            </w:pPr>
            <w:r w:rsidRPr="00ED4D49">
              <w:rPr>
                <w:rFonts w:asciiTheme="minorHAnsi" w:hAnsiTheme="minorHAnsi" w:cstheme="minorHAnsi"/>
                <w:color w:val="000000"/>
                <w:sz w:val="16"/>
                <w:szCs w:val="16"/>
                <w:lang w:val="en-US"/>
              </w:rPr>
              <w:t>25,000</w:t>
            </w:r>
          </w:p>
        </w:tc>
        <w:tc>
          <w:tcPr>
            <w:tcW w:w="1701" w:type="dxa"/>
          </w:tcPr>
          <w:p w14:paraId="5D57AAEC" w14:textId="77777777" w:rsidR="009E6567" w:rsidRPr="00ED4D49" w:rsidRDefault="009E6567" w:rsidP="009E6567">
            <w:pPr>
              <w:autoSpaceDE w:val="0"/>
              <w:autoSpaceDN w:val="0"/>
              <w:adjustRightInd w:val="0"/>
              <w:spacing w:before="0"/>
              <w:rPr>
                <w:rFonts w:asciiTheme="minorHAnsi" w:hAnsiTheme="minorHAnsi" w:cstheme="minorHAnsi"/>
                <w:color w:val="000000"/>
                <w:sz w:val="16"/>
                <w:szCs w:val="16"/>
                <w:lang w:val="en-US"/>
              </w:rPr>
            </w:pPr>
            <w:r w:rsidRPr="00ED4D49">
              <w:rPr>
                <w:rFonts w:asciiTheme="minorHAnsi" w:hAnsiTheme="minorHAnsi" w:cstheme="minorHAnsi"/>
                <w:color w:val="000000"/>
                <w:sz w:val="16"/>
                <w:szCs w:val="16"/>
                <w:lang w:val="en-US"/>
              </w:rPr>
              <w:t>III</w:t>
            </w:r>
          </w:p>
        </w:tc>
        <w:tc>
          <w:tcPr>
            <w:tcW w:w="4615" w:type="dxa"/>
          </w:tcPr>
          <w:p w14:paraId="074511DB" w14:textId="77777777" w:rsidR="009E6567" w:rsidRPr="00ED4D49" w:rsidRDefault="009E6567" w:rsidP="009E6567">
            <w:pPr>
              <w:autoSpaceDE w:val="0"/>
              <w:autoSpaceDN w:val="0"/>
              <w:adjustRightInd w:val="0"/>
              <w:spacing w:before="0"/>
              <w:rPr>
                <w:rFonts w:asciiTheme="minorHAnsi" w:hAnsiTheme="minorHAnsi" w:cstheme="minorHAnsi"/>
                <w:sz w:val="16"/>
                <w:szCs w:val="16"/>
                <w:lang w:val="en-US"/>
              </w:rPr>
            </w:pPr>
            <w:r w:rsidRPr="00ED4D49">
              <w:rPr>
                <w:rFonts w:asciiTheme="minorHAnsi" w:hAnsiTheme="minorHAnsi" w:cstheme="minorHAnsi"/>
                <w:sz w:val="16"/>
                <w:szCs w:val="16"/>
                <w:lang w:val="en-US"/>
              </w:rPr>
              <w:t xml:space="preserve">Operational. The plant officially started operating in March 2015.  </w:t>
            </w:r>
          </w:p>
        </w:tc>
      </w:tr>
      <w:tr w:rsidR="009E6567" w:rsidRPr="00ED4D49" w14:paraId="034559ED" w14:textId="77777777" w:rsidTr="009E6567">
        <w:trPr>
          <w:trHeight w:val="284"/>
        </w:trPr>
        <w:tc>
          <w:tcPr>
            <w:tcW w:w="1696" w:type="dxa"/>
          </w:tcPr>
          <w:p w14:paraId="1C090CDF" w14:textId="77777777" w:rsidR="009E6567" w:rsidRPr="00ED4D49" w:rsidRDefault="009E6567" w:rsidP="009E6567">
            <w:pPr>
              <w:autoSpaceDE w:val="0"/>
              <w:autoSpaceDN w:val="0"/>
              <w:adjustRightInd w:val="0"/>
              <w:spacing w:before="0"/>
              <w:rPr>
                <w:rFonts w:asciiTheme="minorHAnsi" w:hAnsiTheme="minorHAnsi" w:cstheme="minorHAnsi"/>
                <w:sz w:val="16"/>
                <w:szCs w:val="16"/>
                <w:lang w:val="en-US"/>
              </w:rPr>
            </w:pPr>
            <w:proofErr w:type="spellStart"/>
            <w:r w:rsidRPr="00ED4D49">
              <w:rPr>
                <w:rFonts w:asciiTheme="minorHAnsi" w:hAnsiTheme="minorHAnsi" w:cstheme="minorHAnsi"/>
                <w:sz w:val="16"/>
                <w:szCs w:val="16"/>
                <w:lang w:val="en-US"/>
              </w:rPr>
              <w:t>Srebrenik</w:t>
            </w:r>
            <w:proofErr w:type="spellEnd"/>
          </w:p>
        </w:tc>
        <w:tc>
          <w:tcPr>
            <w:tcW w:w="1276" w:type="dxa"/>
          </w:tcPr>
          <w:p w14:paraId="223F753F" w14:textId="77777777" w:rsidR="009E6567" w:rsidRPr="00ED4D49" w:rsidRDefault="009E6567" w:rsidP="009E6567">
            <w:pPr>
              <w:autoSpaceDE w:val="0"/>
              <w:autoSpaceDN w:val="0"/>
              <w:adjustRightInd w:val="0"/>
              <w:spacing w:before="0"/>
              <w:jc w:val="center"/>
              <w:rPr>
                <w:rFonts w:asciiTheme="minorHAnsi" w:hAnsiTheme="minorHAnsi" w:cstheme="minorHAnsi"/>
                <w:sz w:val="16"/>
                <w:szCs w:val="16"/>
                <w:lang w:val="en-US"/>
              </w:rPr>
            </w:pPr>
            <w:r w:rsidRPr="00ED4D49">
              <w:rPr>
                <w:rFonts w:asciiTheme="minorHAnsi" w:hAnsiTheme="minorHAnsi" w:cstheme="minorHAnsi"/>
                <w:sz w:val="16"/>
                <w:szCs w:val="16"/>
                <w:lang w:val="en-US"/>
              </w:rPr>
              <w:t>12,000</w:t>
            </w:r>
          </w:p>
        </w:tc>
        <w:tc>
          <w:tcPr>
            <w:tcW w:w="1701" w:type="dxa"/>
          </w:tcPr>
          <w:p w14:paraId="7781A822" w14:textId="77777777" w:rsidR="009E6567" w:rsidRPr="00ED4D49" w:rsidRDefault="009E6567" w:rsidP="009E6567">
            <w:pPr>
              <w:autoSpaceDE w:val="0"/>
              <w:autoSpaceDN w:val="0"/>
              <w:adjustRightInd w:val="0"/>
              <w:spacing w:before="0"/>
              <w:rPr>
                <w:rFonts w:asciiTheme="minorHAnsi" w:hAnsiTheme="minorHAnsi" w:cstheme="minorHAnsi"/>
                <w:sz w:val="16"/>
                <w:szCs w:val="16"/>
                <w:lang w:val="en-US"/>
              </w:rPr>
            </w:pPr>
            <w:r w:rsidRPr="00ED4D49">
              <w:rPr>
                <w:rFonts w:asciiTheme="minorHAnsi" w:hAnsiTheme="minorHAnsi" w:cstheme="minorHAnsi"/>
                <w:sz w:val="16"/>
                <w:szCs w:val="16"/>
                <w:lang w:val="en-US"/>
              </w:rPr>
              <w:t> II</w:t>
            </w:r>
          </w:p>
        </w:tc>
        <w:tc>
          <w:tcPr>
            <w:tcW w:w="4615" w:type="dxa"/>
          </w:tcPr>
          <w:p w14:paraId="441C0DAC" w14:textId="77777777" w:rsidR="009E6567" w:rsidRPr="00ED4D49" w:rsidRDefault="009E6567" w:rsidP="009E6567">
            <w:pPr>
              <w:autoSpaceDE w:val="0"/>
              <w:autoSpaceDN w:val="0"/>
              <w:adjustRightInd w:val="0"/>
              <w:spacing w:before="0"/>
              <w:rPr>
                <w:rFonts w:asciiTheme="minorHAnsi" w:hAnsiTheme="minorHAnsi" w:cstheme="minorHAnsi"/>
                <w:sz w:val="16"/>
                <w:szCs w:val="16"/>
                <w:lang w:val="en-US"/>
              </w:rPr>
            </w:pPr>
            <w:r w:rsidRPr="00ED4D49">
              <w:rPr>
                <w:rFonts w:asciiTheme="minorHAnsi" w:hAnsiTheme="minorHAnsi" w:cstheme="minorHAnsi"/>
                <w:sz w:val="16"/>
                <w:szCs w:val="16"/>
                <w:lang w:val="en-US"/>
              </w:rPr>
              <w:t>Operational. Operational since 2002.</w:t>
            </w:r>
          </w:p>
        </w:tc>
      </w:tr>
      <w:tr w:rsidR="009E6567" w:rsidRPr="00ED4D49" w14:paraId="1D35AE88" w14:textId="77777777" w:rsidTr="009E6567">
        <w:trPr>
          <w:trHeight w:val="284"/>
        </w:trPr>
        <w:tc>
          <w:tcPr>
            <w:tcW w:w="1696" w:type="dxa"/>
          </w:tcPr>
          <w:p w14:paraId="169795CB" w14:textId="75FCA36E" w:rsidR="009E6567" w:rsidRPr="00ED4D49" w:rsidRDefault="009E6567" w:rsidP="009E6567">
            <w:pPr>
              <w:autoSpaceDE w:val="0"/>
              <w:autoSpaceDN w:val="0"/>
              <w:adjustRightInd w:val="0"/>
              <w:spacing w:before="0"/>
              <w:rPr>
                <w:rFonts w:asciiTheme="minorHAnsi" w:hAnsiTheme="minorHAnsi" w:cstheme="minorHAnsi"/>
                <w:sz w:val="16"/>
                <w:szCs w:val="16"/>
                <w:lang w:val="en-US"/>
              </w:rPr>
            </w:pPr>
            <w:r w:rsidRPr="00ED4D49">
              <w:rPr>
                <w:rFonts w:asciiTheme="minorHAnsi" w:hAnsiTheme="minorHAnsi" w:cstheme="minorHAnsi"/>
                <w:sz w:val="16"/>
                <w:szCs w:val="16"/>
                <w:lang w:val="en-US"/>
              </w:rPr>
              <w:t>Bihac</w:t>
            </w:r>
          </w:p>
        </w:tc>
        <w:tc>
          <w:tcPr>
            <w:tcW w:w="1276" w:type="dxa"/>
          </w:tcPr>
          <w:p w14:paraId="505A452B" w14:textId="77777777" w:rsidR="009E6567" w:rsidRPr="00ED4D49" w:rsidRDefault="009E6567" w:rsidP="009E6567">
            <w:pPr>
              <w:autoSpaceDE w:val="0"/>
              <w:autoSpaceDN w:val="0"/>
              <w:adjustRightInd w:val="0"/>
              <w:spacing w:before="0"/>
              <w:jc w:val="center"/>
              <w:rPr>
                <w:rFonts w:asciiTheme="minorHAnsi" w:hAnsiTheme="minorHAnsi" w:cstheme="minorHAnsi"/>
                <w:sz w:val="16"/>
                <w:szCs w:val="16"/>
                <w:lang w:val="en-US"/>
              </w:rPr>
            </w:pPr>
            <w:r w:rsidRPr="00ED4D49">
              <w:rPr>
                <w:rFonts w:asciiTheme="minorHAnsi" w:hAnsiTheme="minorHAnsi" w:cstheme="minorHAnsi"/>
                <w:sz w:val="16"/>
                <w:szCs w:val="16"/>
                <w:lang w:val="en-US"/>
              </w:rPr>
              <w:t>55,000</w:t>
            </w:r>
          </w:p>
        </w:tc>
        <w:tc>
          <w:tcPr>
            <w:tcW w:w="1701" w:type="dxa"/>
          </w:tcPr>
          <w:p w14:paraId="321C6AD9" w14:textId="77777777" w:rsidR="009E6567" w:rsidRPr="00ED4D49" w:rsidRDefault="009E6567" w:rsidP="009E6567">
            <w:pPr>
              <w:autoSpaceDE w:val="0"/>
              <w:autoSpaceDN w:val="0"/>
              <w:adjustRightInd w:val="0"/>
              <w:spacing w:before="0"/>
              <w:rPr>
                <w:rFonts w:asciiTheme="minorHAnsi" w:hAnsiTheme="minorHAnsi" w:cstheme="minorHAnsi"/>
                <w:sz w:val="16"/>
                <w:szCs w:val="16"/>
                <w:lang w:val="en-US"/>
              </w:rPr>
            </w:pPr>
            <w:r w:rsidRPr="00ED4D49">
              <w:rPr>
                <w:rFonts w:asciiTheme="minorHAnsi" w:hAnsiTheme="minorHAnsi" w:cstheme="minorHAnsi"/>
                <w:sz w:val="16"/>
                <w:szCs w:val="16"/>
                <w:lang w:val="en-US"/>
              </w:rPr>
              <w:t> III</w:t>
            </w:r>
          </w:p>
        </w:tc>
        <w:tc>
          <w:tcPr>
            <w:tcW w:w="4615" w:type="dxa"/>
          </w:tcPr>
          <w:p w14:paraId="073BD3B6" w14:textId="77777777" w:rsidR="009E6567" w:rsidRPr="00ED4D49" w:rsidRDefault="009E6567" w:rsidP="009E6567">
            <w:pPr>
              <w:autoSpaceDE w:val="0"/>
              <w:autoSpaceDN w:val="0"/>
              <w:adjustRightInd w:val="0"/>
              <w:spacing w:before="0"/>
              <w:rPr>
                <w:rFonts w:asciiTheme="minorHAnsi" w:hAnsiTheme="minorHAnsi" w:cstheme="minorHAnsi"/>
                <w:sz w:val="16"/>
                <w:szCs w:val="16"/>
                <w:lang w:val="en-US"/>
              </w:rPr>
            </w:pPr>
            <w:r w:rsidRPr="00ED4D49">
              <w:rPr>
                <w:rFonts w:asciiTheme="minorHAnsi" w:hAnsiTheme="minorHAnsi" w:cstheme="minorHAnsi"/>
                <w:sz w:val="16"/>
                <w:szCs w:val="16"/>
                <w:lang w:val="en-US"/>
              </w:rPr>
              <w:t xml:space="preserve">Operational. The trial operation period of the plant started in 2017. WWTP </w:t>
            </w:r>
            <w:proofErr w:type="spellStart"/>
            <w:r w:rsidRPr="00ED4D49">
              <w:rPr>
                <w:rFonts w:asciiTheme="minorHAnsi" w:hAnsiTheme="minorHAnsi" w:cstheme="minorHAnsi"/>
                <w:sz w:val="16"/>
                <w:szCs w:val="16"/>
                <w:lang w:val="en-US"/>
              </w:rPr>
              <w:t>Bihać</w:t>
            </w:r>
            <w:proofErr w:type="spellEnd"/>
            <w:r w:rsidRPr="00ED4D49">
              <w:rPr>
                <w:rFonts w:asciiTheme="minorHAnsi" w:hAnsiTheme="minorHAnsi" w:cstheme="minorHAnsi"/>
                <w:sz w:val="16"/>
                <w:szCs w:val="16"/>
                <w:lang w:val="en-US"/>
              </w:rPr>
              <w:t xml:space="preserve"> should officially start its operations in 2018. </w:t>
            </w:r>
          </w:p>
        </w:tc>
      </w:tr>
      <w:tr w:rsidR="009E6567" w:rsidRPr="00ED4D49" w14:paraId="238DDE53" w14:textId="77777777" w:rsidTr="009E6567">
        <w:trPr>
          <w:trHeight w:val="284"/>
        </w:trPr>
        <w:tc>
          <w:tcPr>
            <w:tcW w:w="1696" w:type="dxa"/>
          </w:tcPr>
          <w:p w14:paraId="2F7560D6" w14:textId="77777777" w:rsidR="009E6567" w:rsidRPr="00ED4D49" w:rsidRDefault="009E6567" w:rsidP="009E6567">
            <w:pPr>
              <w:autoSpaceDE w:val="0"/>
              <w:autoSpaceDN w:val="0"/>
              <w:adjustRightInd w:val="0"/>
              <w:spacing w:before="0"/>
              <w:rPr>
                <w:rFonts w:asciiTheme="minorHAnsi" w:hAnsiTheme="minorHAnsi" w:cstheme="minorHAnsi"/>
                <w:color w:val="000000"/>
                <w:sz w:val="16"/>
                <w:szCs w:val="16"/>
                <w:lang w:val="en-US"/>
              </w:rPr>
            </w:pPr>
            <w:proofErr w:type="spellStart"/>
            <w:r w:rsidRPr="00ED4D49">
              <w:rPr>
                <w:rFonts w:asciiTheme="minorHAnsi" w:hAnsiTheme="minorHAnsi" w:cstheme="minorHAnsi"/>
                <w:color w:val="000000"/>
                <w:sz w:val="16"/>
                <w:szCs w:val="16"/>
                <w:lang w:val="en-US"/>
              </w:rPr>
              <w:t>Trnovo</w:t>
            </w:r>
            <w:proofErr w:type="spellEnd"/>
          </w:p>
        </w:tc>
        <w:tc>
          <w:tcPr>
            <w:tcW w:w="1276" w:type="dxa"/>
          </w:tcPr>
          <w:p w14:paraId="4510CBE2" w14:textId="77777777" w:rsidR="009E6567" w:rsidRPr="00ED4D49" w:rsidRDefault="009E6567" w:rsidP="009E6567">
            <w:pPr>
              <w:autoSpaceDE w:val="0"/>
              <w:autoSpaceDN w:val="0"/>
              <w:adjustRightInd w:val="0"/>
              <w:spacing w:before="0"/>
              <w:jc w:val="center"/>
              <w:rPr>
                <w:rFonts w:asciiTheme="minorHAnsi" w:hAnsiTheme="minorHAnsi" w:cstheme="minorHAnsi"/>
                <w:color w:val="000000"/>
                <w:sz w:val="16"/>
                <w:szCs w:val="16"/>
                <w:lang w:val="en-US"/>
              </w:rPr>
            </w:pPr>
            <w:r w:rsidRPr="00ED4D49">
              <w:rPr>
                <w:rFonts w:asciiTheme="minorHAnsi" w:hAnsiTheme="minorHAnsi" w:cstheme="minorHAnsi"/>
                <w:color w:val="000000"/>
                <w:sz w:val="16"/>
                <w:szCs w:val="16"/>
                <w:lang w:val="en-US"/>
              </w:rPr>
              <w:t>5,000</w:t>
            </w:r>
          </w:p>
        </w:tc>
        <w:tc>
          <w:tcPr>
            <w:tcW w:w="1701" w:type="dxa"/>
          </w:tcPr>
          <w:p w14:paraId="306A6449" w14:textId="77777777" w:rsidR="009E6567" w:rsidRPr="00ED4D49" w:rsidRDefault="009E6567" w:rsidP="009E6567">
            <w:pPr>
              <w:autoSpaceDE w:val="0"/>
              <w:autoSpaceDN w:val="0"/>
              <w:adjustRightInd w:val="0"/>
              <w:spacing w:before="0"/>
              <w:rPr>
                <w:rFonts w:asciiTheme="minorHAnsi" w:hAnsiTheme="minorHAnsi" w:cstheme="minorHAnsi"/>
                <w:color w:val="000000"/>
                <w:sz w:val="16"/>
                <w:szCs w:val="16"/>
                <w:lang w:val="en-US"/>
              </w:rPr>
            </w:pPr>
            <w:r w:rsidRPr="00ED4D49">
              <w:rPr>
                <w:rFonts w:asciiTheme="minorHAnsi" w:hAnsiTheme="minorHAnsi" w:cstheme="minorHAnsi"/>
                <w:color w:val="000000"/>
                <w:sz w:val="16"/>
                <w:szCs w:val="16"/>
                <w:lang w:val="en-US"/>
              </w:rPr>
              <w:t>II</w:t>
            </w:r>
          </w:p>
        </w:tc>
        <w:tc>
          <w:tcPr>
            <w:tcW w:w="4615" w:type="dxa"/>
          </w:tcPr>
          <w:p w14:paraId="7C960D6C" w14:textId="77777777" w:rsidR="009E6567" w:rsidRPr="00ED4D49" w:rsidRDefault="009E6567" w:rsidP="009E6567">
            <w:pPr>
              <w:autoSpaceDE w:val="0"/>
              <w:autoSpaceDN w:val="0"/>
              <w:adjustRightInd w:val="0"/>
              <w:spacing w:before="0"/>
              <w:rPr>
                <w:rFonts w:asciiTheme="minorHAnsi" w:hAnsiTheme="minorHAnsi" w:cstheme="minorHAnsi"/>
                <w:color w:val="000000"/>
                <w:sz w:val="16"/>
                <w:szCs w:val="16"/>
                <w:lang w:val="en-US"/>
              </w:rPr>
            </w:pPr>
            <w:r w:rsidRPr="00ED4D49">
              <w:rPr>
                <w:rFonts w:asciiTheme="minorHAnsi" w:hAnsiTheme="minorHAnsi" w:cstheme="minorHAnsi"/>
                <w:color w:val="000000"/>
                <w:sz w:val="16"/>
                <w:szCs w:val="16"/>
                <w:lang w:val="en-US"/>
              </w:rPr>
              <w:t>Operational. Operational since 2009.</w:t>
            </w:r>
          </w:p>
        </w:tc>
      </w:tr>
      <w:tr w:rsidR="009E6567" w:rsidRPr="00ED4D49" w14:paraId="3CA3FC45" w14:textId="77777777" w:rsidTr="009E6567">
        <w:trPr>
          <w:trHeight w:val="284"/>
        </w:trPr>
        <w:tc>
          <w:tcPr>
            <w:tcW w:w="1696" w:type="dxa"/>
          </w:tcPr>
          <w:p w14:paraId="1496D3D2" w14:textId="47661AE1" w:rsidR="009E6567" w:rsidRPr="00ED4D49" w:rsidRDefault="009E6567" w:rsidP="009E6567">
            <w:pPr>
              <w:autoSpaceDE w:val="0"/>
              <w:autoSpaceDN w:val="0"/>
              <w:adjustRightInd w:val="0"/>
              <w:spacing w:before="0"/>
              <w:rPr>
                <w:rFonts w:asciiTheme="minorHAnsi" w:hAnsiTheme="minorHAnsi" w:cstheme="minorHAnsi"/>
                <w:color w:val="000000"/>
                <w:sz w:val="16"/>
                <w:szCs w:val="16"/>
                <w:lang w:val="en-US"/>
              </w:rPr>
            </w:pPr>
            <w:r w:rsidRPr="00ED4D49">
              <w:rPr>
                <w:rFonts w:asciiTheme="minorHAnsi" w:hAnsiTheme="minorHAnsi" w:cstheme="minorHAnsi"/>
                <w:color w:val="000000"/>
                <w:sz w:val="16"/>
                <w:szCs w:val="16"/>
                <w:lang w:val="en-US"/>
              </w:rPr>
              <w:t>Zepce</w:t>
            </w:r>
          </w:p>
        </w:tc>
        <w:tc>
          <w:tcPr>
            <w:tcW w:w="1276" w:type="dxa"/>
          </w:tcPr>
          <w:p w14:paraId="7948E592" w14:textId="77777777" w:rsidR="009E6567" w:rsidRPr="00ED4D49" w:rsidRDefault="009E6567" w:rsidP="009E6567">
            <w:pPr>
              <w:autoSpaceDE w:val="0"/>
              <w:autoSpaceDN w:val="0"/>
              <w:adjustRightInd w:val="0"/>
              <w:spacing w:before="0"/>
              <w:jc w:val="center"/>
              <w:rPr>
                <w:rFonts w:asciiTheme="minorHAnsi" w:hAnsiTheme="minorHAnsi" w:cstheme="minorHAnsi"/>
                <w:color w:val="000000"/>
                <w:sz w:val="16"/>
                <w:szCs w:val="16"/>
                <w:lang w:val="en-US"/>
              </w:rPr>
            </w:pPr>
            <w:r w:rsidRPr="00ED4D49">
              <w:rPr>
                <w:rFonts w:asciiTheme="minorHAnsi" w:hAnsiTheme="minorHAnsi" w:cstheme="minorHAnsi"/>
                <w:color w:val="000000"/>
                <w:sz w:val="16"/>
                <w:szCs w:val="16"/>
                <w:lang w:val="en-US"/>
              </w:rPr>
              <w:t>10,000</w:t>
            </w:r>
          </w:p>
        </w:tc>
        <w:tc>
          <w:tcPr>
            <w:tcW w:w="1701" w:type="dxa"/>
          </w:tcPr>
          <w:p w14:paraId="7C9BFA69" w14:textId="77777777" w:rsidR="009E6567" w:rsidRPr="00ED4D49" w:rsidRDefault="009E6567" w:rsidP="009E6567">
            <w:pPr>
              <w:autoSpaceDE w:val="0"/>
              <w:autoSpaceDN w:val="0"/>
              <w:adjustRightInd w:val="0"/>
              <w:spacing w:before="0"/>
              <w:rPr>
                <w:rFonts w:asciiTheme="minorHAnsi" w:hAnsiTheme="minorHAnsi" w:cstheme="minorHAnsi"/>
                <w:color w:val="000000"/>
                <w:sz w:val="16"/>
                <w:szCs w:val="16"/>
                <w:lang w:val="en-US"/>
              </w:rPr>
            </w:pPr>
            <w:r w:rsidRPr="00ED4D49">
              <w:rPr>
                <w:rFonts w:asciiTheme="minorHAnsi" w:hAnsiTheme="minorHAnsi" w:cstheme="minorHAnsi"/>
                <w:color w:val="000000"/>
                <w:sz w:val="16"/>
                <w:szCs w:val="16"/>
                <w:lang w:val="en-US"/>
              </w:rPr>
              <w:t>II</w:t>
            </w:r>
          </w:p>
        </w:tc>
        <w:tc>
          <w:tcPr>
            <w:tcW w:w="4615" w:type="dxa"/>
          </w:tcPr>
          <w:p w14:paraId="06E28F66" w14:textId="77777777" w:rsidR="009E6567" w:rsidRPr="00ED4D49" w:rsidRDefault="009E6567" w:rsidP="009E6567">
            <w:pPr>
              <w:autoSpaceDE w:val="0"/>
              <w:autoSpaceDN w:val="0"/>
              <w:adjustRightInd w:val="0"/>
              <w:spacing w:before="0"/>
              <w:rPr>
                <w:rFonts w:asciiTheme="minorHAnsi" w:hAnsiTheme="minorHAnsi" w:cstheme="minorHAnsi"/>
                <w:color w:val="000000"/>
                <w:sz w:val="16"/>
                <w:szCs w:val="16"/>
                <w:lang w:val="en-US"/>
              </w:rPr>
            </w:pPr>
            <w:r w:rsidRPr="00ED4D49">
              <w:rPr>
                <w:rFonts w:asciiTheme="minorHAnsi" w:hAnsiTheme="minorHAnsi" w:cstheme="minorHAnsi"/>
                <w:color w:val="000000"/>
                <w:sz w:val="16"/>
                <w:szCs w:val="16"/>
                <w:lang w:val="en-US"/>
              </w:rPr>
              <w:t xml:space="preserve">Operational. </w:t>
            </w:r>
            <w:r w:rsidRPr="00ED4D49">
              <w:rPr>
                <w:rFonts w:asciiTheme="minorHAnsi" w:hAnsiTheme="minorHAnsi" w:cstheme="minorHAnsi"/>
                <w:sz w:val="16"/>
                <w:szCs w:val="16"/>
                <w:lang w:val="en-US"/>
              </w:rPr>
              <w:t>The plant is operational since 2007, but the existing plant was reconstructed in 2013.</w:t>
            </w:r>
          </w:p>
        </w:tc>
      </w:tr>
      <w:tr w:rsidR="009E6567" w:rsidRPr="00ED4D49" w14:paraId="3DA76DE6" w14:textId="77777777" w:rsidTr="009E6567">
        <w:trPr>
          <w:trHeight w:val="284"/>
        </w:trPr>
        <w:tc>
          <w:tcPr>
            <w:tcW w:w="1696" w:type="dxa"/>
          </w:tcPr>
          <w:p w14:paraId="7A11B017" w14:textId="6A6EF10F" w:rsidR="009E6567" w:rsidRPr="00ED4D49" w:rsidRDefault="009E6567" w:rsidP="009E6567">
            <w:pPr>
              <w:autoSpaceDE w:val="0"/>
              <w:autoSpaceDN w:val="0"/>
              <w:adjustRightInd w:val="0"/>
              <w:spacing w:before="0"/>
              <w:rPr>
                <w:rFonts w:asciiTheme="minorHAnsi" w:hAnsiTheme="minorHAnsi" w:cstheme="minorHAnsi"/>
                <w:color w:val="000000"/>
                <w:sz w:val="16"/>
                <w:szCs w:val="16"/>
                <w:lang w:val="en-US"/>
              </w:rPr>
            </w:pPr>
            <w:proofErr w:type="spellStart"/>
            <w:r w:rsidRPr="00ED4D49">
              <w:rPr>
                <w:rFonts w:asciiTheme="minorHAnsi" w:hAnsiTheme="minorHAnsi" w:cstheme="minorHAnsi"/>
                <w:color w:val="000000"/>
                <w:sz w:val="16"/>
                <w:szCs w:val="16"/>
                <w:lang w:val="en-US"/>
              </w:rPr>
              <w:t>Odzak</w:t>
            </w:r>
            <w:proofErr w:type="spellEnd"/>
          </w:p>
        </w:tc>
        <w:tc>
          <w:tcPr>
            <w:tcW w:w="1276" w:type="dxa"/>
          </w:tcPr>
          <w:p w14:paraId="139D5812" w14:textId="77777777" w:rsidR="009E6567" w:rsidRPr="00ED4D49" w:rsidRDefault="009E6567" w:rsidP="009E6567">
            <w:pPr>
              <w:autoSpaceDE w:val="0"/>
              <w:autoSpaceDN w:val="0"/>
              <w:adjustRightInd w:val="0"/>
              <w:spacing w:before="0"/>
              <w:jc w:val="center"/>
              <w:rPr>
                <w:rFonts w:asciiTheme="minorHAnsi" w:hAnsiTheme="minorHAnsi" w:cstheme="minorHAnsi"/>
                <w:color w:val="000000"/>
                <w:sz w:val="16"/>
                <w:szCs w:val="16"/>
                <w:lang w:val="en-US"/>
              </w:rPr>
            </w:pPr>
            <w:r w:rsidRPr="00ED4D49">
              <w:rPr>
                <w:rFonts w:asciiTheme="minorHAnsi" w:hAnsiTheme="minorHAnsi" w:cstheme="minorHAnsi"/>
                <w:color w:val="000000"/>
                <w:sz w:val="16"/>
                <w:szCs w:val="16"/>
                <w:lang w:val="en-US"/>
              </w:rPr>
              <w:t>10,000</w:t>
            </w:r>
          </w:p>
        </w:tc>
        <w:tc>
          <w:tcPr>
            <w:tcW w:w="1701" w:type="dxa"/>
          </w:tcPr>
          <w:p w14:paraId="16486BCE" w14:textId="77777777" w:rsidR="009E6567" w:rsidRPr="00ED4D49" w:rsidRDefault="009E6567" w:rsidP="009E6567">
            <w:pPr>
              <w:autoSpaceDE w:val="0"/>
              <w:autoSpaceDN w:val="0"/>
              <w:adjustRightInd w:val="0"/>
              <w:spacing w:before="0"/>
              <w:rPr>
                <w:rFonts w:asciiTheme="minorHAnsi" w:hAnsiTheme="minorHAnsi" w:cstheme="minorHAnsi"/>
                <w:color w:val="000000"/>
                <w:sz w:val="16"/>
                <w:szCs w:val="16"/>
                <w:lang w:val="en-US"/>
              </w:rPr>
            </w:pPr>
            <w:r w:rsidRPr="00ED4D49">
              <w:rPr>
                <w:rFonts w:asciiTheme="minorHAnsi" w:hAnsiTheme="minorHAnsi" w:cstheme="minorHAnsi"/>
                <w:color w:val="000000"/>
                <w:sz w:val="16"/>
                <w:szCs w:val="16"/>
                <w:lang w:val="en-US"/>
              </w:rPr>
              <w:t>II</w:t>
            </w:r>
          </w:p>
        </w:tc>
        <w:tc>
          <w:tcPr>
            <w:tcW w:w="4615" w:type="dxa"/>
          </w:tcPr>
          <w:p w14:paraId="735C7954" w14:textId="77777777" w:rsidR="009E6567" w:rsidRPr="00ED4D49" w:rsidRDefault="009E6567" w:rsidP="009E6567">
            <w:pPr>
              <w:autoSpaceDE w:val="0"/>
              <w:autoSpaceDN w:val="0"/>
              <w:adjustRightInd w:val="0"/>
              <w:spacing w:before="0"/>
              <w:rPr>
                <w:rFonts w:asciiTheme="minorHAnsi" w:hAnsiTheme="minorHAnsi" w:cstheme="minorHAnsi"/>
                <w:color w:val="000000"/>
                <w:sz w:val="16"/>
                <w:szCs w:val="16"/>
                <w:lang w:val="en-US"/>
              </w:rPr>
            </w:pPr>
            <w:r w:rsidRPr="00ED4D49">
              <w:rPr>
                <w:rFonts w:asciiTheme="minorHAnsi" w:hAnsiTheme="minorHAnsi" w:cstheme="minorHAnsi"/>
                <w:color w:val="000000"/>
                <w:sz w:val="16"/>
                <w:szCs w:val="16"/>
                <w:lang w:val="en-US"/>
              </w:rPr>
              <w:t xml:space="preserve">Operational. </w:t>
            </w:r>
            <w:r w:rsidRPr="00ED4D49">
              <w:rPr>
                <w:rFonts w:asciiTheme="minorHAnsi" w:hAnsiTheme="minorHAnsi" w:cstheme="minorHAnsi"/>
                <w:sz w:val="16"/>
                <w:szCs w:val="16"/>
                <w:lang w:val="en-US"/>
              </w:rPr>
              <w:t xml:space="preserve">PPOV in </w:t>
            </w:r>
            <w:proofErr w:type="spellStart"/>
            <w:r w:rsidRPr="00ED4D49">
              <w:rPr>
                <w:rFonts w:asciiTheme="minorHAnsi" w:hAnsiTheme="minorHAnsi" w:cstheme="minorHAnsi"/>
                <w:sz w:val="16"/>
                <w:szCs w:val="16"/>
                <w:lang w:val="en-US"/>
              </w:rPr>
              <w:t>Odžak</w:t>
            </w:r>
            <w:proofErr w:type="spellEnd"/>
            <w:r w:rsidRPr="00ED4D49">
              <w:rPr>
                <w:rFonts w:asciiTheme="minorHAnsi" w:hAnsiTheme="minorHAnsi" w:cstheme="minorHAnsi"/>
                <w:sz w:val="16"/>
                <w:szCs w:val="16"/>
                <w:lang w:val="en-US"/>
              </w:rPr>
              <w:t xml:space="preserve"> built in 2011, in July 2012 a drain collector from WWTP to the Bosna River was constructed. </w:t>
            </w:r>
          </w:p>
        </w:tc>
      </w:tr>
      <w:tr w:rsidR="009E6567" w:rsidRPr="00ED4D49" w14:paraId="22C840F5" w14:textId="77777777" w:rsidTr="009E6567">
        <w:trPr>
          <w:trHeight w:val="284"/>
        </w:trPr>
        <w:tc>
          <w:tcPr>
            <w:tcW w:w="1696" w:type="dxa"/>
          </w:tcPr>
          <w:p w14:paraId="5B2FD710" w14:textId="1CB4E66A" w:rsidR="009E6567" w:rsidRPr="00ED4D49" w:rsidRDefault="009E6567" w:rsidP="009E6567">
            <w:pPr>
              <w:autoSpaceDE w:val="0"/>
              <w:autoSpaceDN w:val="0"/>
              <w:adjustRightInd w:val="0"/>
              <w:spacing w:before="0"/>
              <w:rPr>
                <w:rFonts w:asciiTheme="minorHAnsi" w:hAnsiTheme="minorHAnsi" w:cstheme="minorHAnsi"/>
                <w:color w:val="000000"/>
                <w:sz w:val="16"/>
                <w:szCs w:val="16"/>
                <w:lang w:val="en-US"/>
              </w:rPr>
            </w:pPr>
            <w:proofErr w:type="spellStart"/>
            <w:r w:rsidRPr="00ED4D49">
              <w:rPr>
                <w:rFonts w:asciiTheme="minorHAnsi" w:hAnsiTheme="minorHAnsi" w:cstheme="minorHAnsi"/>
                <w:color w:val="000000"/>
                <w:sz w:val="16"/>
                <w:szCs w:val="16"/>
                <w:lang w:val="en-US"/>
              </w:rPr>
              <w:t>Gradacac</w:t>
            </w:r>
            <w:proofErr w:type="spellEnd"/>
          </w:p>
        </w:tc>
        <w:tc>
          <w:tcPr>
            <w:tcW w:w="1276" w:type="dxa"/>
          </w:tcPr>
          <w:p w14:paraId="555A57BA" w14:textId="77777777" w:rsidR="009E6567" w:rsidRPr="00ED4D49" w:rsidRDefault="009E6567" w:rsidP="009E6567">
            <w:pPr>
              <w:autoSpaceDE w:val="0"/>
              <w:autoSpaceDN w:val="0"/>
              <w:adjustRightInd w:val="0"/>
              <w:spacing w:before="0"/>
              <w:jc w:val="center"/>
              <w:rPr>
                <w:rFonts w:asciiTheme="minorHAnsi" w:hAnsiTheme="minorHAnsi" w:cstheme="minorHAnsi"/>
                <w:color w:val="000000"/>
                <w:sz w:val="16"/>
                <w:szCs w:val="16"/>
                <w:lang w:val="en-US"/>
              </w:rPr>
            </w:pPr>
            <w:r w:rsidRPr="00ED4D49">
              <w:rPr>
                <w:rFonts w:asciiTheme="minorHAnsi" w:hAnsiTheme="minorHAnsi" w:cstheme="minorHAnsi"/>
                <w:color w:val="000000"/>
                <w:sz w:val="16"/>
                <w:szCs w:val="16"/>
                <w:lang w:val="en-US"/>
              </w:rPr>
              <w:t>30,000</w:t>
            </w:r>
          </w:p>
        </w:tc>
        <w:tc>
          <w:tcPr>
            <w:tcW w:w="1701" w:type="dxa"/>
          </w:tcPr>
          <w:p w14:paraId="05E46F63" w14:textId="77777777" w:rsidR="009E6567" w:rsidRPr="00ED4D49" w:rsidRDefault="009E6567" w:rsidP="009E6567">
            <w:pPr>
              <w:autoSpaceDE w:val="0"/>
              <w:autoSpaceDN w:val="0"/>
              <w:adjustRightInd w:val="0"/>
              <w:spacing w:before="0"/>
              <w:rPr>
                <w:rFonts w:asciiTheme="minorHAnsi" w:hAnsiTheme="minorHAnsi" w:cstheme="minorHAnsi"/>
                <w:color w:val="000000"/>
                <w:sz w:val="16"/>
                <w:szCs w:val="16"/>
                <w:lang w:val="en-US"/>
              </w:rPr>
            </w:pPr>
            <w:r w:rsidRPr="00ED4D49">
              <w:rPr>
                <w:rFonts w:asciiTheme="minorHAnsi" w:hAnsiTheme="minorHAnsi" w:cstheme="minorHAnsi"/>
                <w:color w:val="000000"/>
                <w:sz w:val="16"/>
                <w:szCs w:val="16"/>
                <w:lang w:val="en-US"/>
              </w:rPr>
              <w:t>II </w:t>
            </w:r>
          </w:p>
        </w:tc>
        <w:tc>
          <w:tcPr>
            <w:tcW w:w="4615" w:type="dxa"/>
          </w:tcPr>
          <w:p w14:paraId="2791E343" w14:textId="06E9D01A" w:rsidR="009E6567" w:rsidRPr="00ED4D49" w:rsidRDefault="009E6567" w:rsidP="009E6567">
            <w:pPr>
              <w:autoSpaceDE w:val="0"/>
              <w:autoSpaceDN w:val="0"/>
              <w:adjustRightInd w:val="0"/>
              <w:spacing w:before="0"/>
              <w:rPr>
                <w:rFonts w:asciiTheme="minorHAnsi" w:hAnsiTheme="minorHAnsi" w:cstheme="minorHAnsi"/>
                <w:color w:val="000000"/>
                <w:sz w:val="16"/>
                <w:szCs w:val="16"/>
                <w:lang w:val="en-US"/>
              </w:rPr>
            </w:pPr>
            <w:r w:rsidRPr="00ED4D49">
              <w:rPr>
                <w:rFonts w:asciiTheme="minorHAnsi" w:hAnsiTheme="minorHAnsi" w:cstheme="minorHAnsi"/>
                <w:color w:val="000000"/>
                <w:sz w:val="16"/>
                <w:szCs w:val="16"/>
                <w:lang w:val="en-US"/>
              </w:rPr>
              <w:t xml:space="preserve">Operational. </w:t>
            </w:r>
            <w:r w:rsidRPr="00ED4D49">
              <w:rPr>
                <w:rFonts w:asciiTheme="minorHAnsi" w:hAnsiTheme="minorHAnsi" w:cstheme="minorHAnsi"/>
                <w:sz w:val="16"/>
                <w:szCs w:val="16"/>
                <w:lang w:val="en-US"/>
              </w:rPr>
              <w:t xml:space="preserve">WWTP of the </w:t>
            </w:r>
            <w:proofErr w:type="spellStart"/>
            <w:r w:rsidRPr="00ED4D49">
              <w:rPr>
                <w:rFonts w:asciiTheme="minorHAnsi" w:hAnsiTheme="minorHAnsi" w:cstheme="minorHAnsi"/>
                <w:sz w:val="16"/>
                <w:szCs w:val="16"/>
                <w:lang w:val="en-US"/>
              </w:rPr>
              <w:t>Gradačac</w:t>
            </w:r>
            <w:proofErr w:type="spellEnd"/>
            <w:r w:rsidRPr="00ED4D49">
              <w:rPr>
                <w:rFonts w:asciiTheme="minorHAnsi" w:hAnsiTheme="minorHAnsi" w:cstheme="minorHAnsi"/>
                <w:sz w:val="16"/>
                <w:szCs w:val="16"/>
                <w:lang w:val="en-US"/>
              </w:rPr>
              <w:t xml:space="preserve"> City was built in 1982. It was designed and built for </w:t>
            </w:r>
            <w:r w:rsidR="0054177A" w:rsidRPr="00ED4D49">
              <w:rPr>
                <w:rFonts w:asciiTheme="minorHAnsi" w:hAnsiTheme="minorHAnsi" w:cstheme="minorHAnsi"/>
                <w:sz w:val="16"/>
                <w:szCs w:val="16"/>
                <w:lang w:val="en-US"/>
              </w:rPr>
              <w:t>a</w:t>
            </w:r>
            <w:r w:rsidRPr="00ED4D49">
              <w:rPr>
                <w:rFonts w:asciiTheme="minorHAnsi" w:hAnsiTheme="minorHAnsi" w:cstheme="minorHAnsi"/>
                <w:sz w:val="16"/>
                <w:szCs w:val="16"/>
                <w:lang w:val="en-US"/>
              </w:rPr>
              <w:t xml:space="preserve"> capacity of 30,000 ES. In 1998</w:t>
            </w:r>
            <w:r w:rsidR="0054177A" w:rsidRPr="00ED4D49">
              <w:rPr>
                <w:rFonts w:asciiTheme="minorHAnsi" w:hAnsiTheme="minorHAnsi" w:cstheme="minorHAnsi"/>
                <w:sz w:val="16"/>
                <w:szCs w:val="16"/>
                <w:lang w:val="en-US"/>
              </w:rPr>
              <w:t>,</w:t>
            </w:r>
            <w:r w:rsidRPr="00ED4D49">
              <w:rPr>
                <w:rFonts w:asciiTheme="minorHAnsi" w:hAnsiTheme="minorHAnsi" w:cstheme="minorHAnsi"/>
                <w:sz w:val="16"/>
                <w:szCs w:val="16"/>
                <w:lang w:val="en-US"/>
              </w:rPr>
              <w:t xml:space="preserve"> parts of the plant damaged by war were reconstructed. The last reconstruction of the plant started in June 2016 and the trial operational period of WWTP </w:t>
            </w:r>
            <w:proofErr w:type="spellStart"/>
            <w:r w:rsidRPr="00ED4D49">
              <w:rPr>
                <w:rFonts w:asciiTheme="minorHAnsi" w:hAnsiTheme="minorHAnsi" w:cstheme="minorHAnsi"/>
                <w:sz w:val="16"/>
                <w:szCs w:val="16"/>
                <w:lang w:val="en-US"/>
              </w:rPr>
              <w:t>Gradačac</w:t>
            </w:r>
            <w:proofErr w:type="spellEnd"/>
            <w:r w:rsidRPr="00ED4D49">
              <w:rPr>
                <w:rFonts w:asciiTheme="minorHAnsi" w:hAnsiTheme="minorHAnsi" w:cstheme="minorHAnsi"/>
                <w:sz w:val="16"/>
                <w:szCs w:val="16"/>
                <w:lang w:val="en-US"/>
              </w:rPr>
              <w:t xml:space="preserve"> </w:t>
            </w:r>
            <w:r w:rsidR="0054177A" w:rsidRPr="00ED4D49">
              <w:rPr>
                <w:rFonts w:asciiTheme="minorHAnsi" w:hAnsiTheme="minorHAnsi" w:cstheme="minorHAnsi"/>
                <w:sz w:val="16"/>
                <w:szCs w:val="16"/>
                <w:lang w:val="en-US"/>
              </w:rPr>
              <w:t>started</w:t>
            </w:r>
            <w:r w:rsidRPr="00ED4D49">
              <w:rPr>
                <w:rFonts w:asciiTheme="minorHAnsi" w:hAnsiTheme="minorHAnsi" w:cstheme="minorHAnsi"/>
                <w:sz w:val="16"/>
                <w:szCs w:val="16"/>
                <w:lang w:val="en-US"/>
              </w:rPr>
              <w:t xml:space="preserve"> on 27 September 2017.</w:t>
            </w:r>
          </w:p>
        </w:tc>
      </w:tr>
      <w:tr w:rsidR="009E6567" w:rsidRPr="00ED4D49" w14:paraId="4D89173A" w14:textId="77777777" w:rsidTr="009E6567">
        <w:trPr>
          <w:trHeight w:val="284"/>
        </w:trPr>
        <w:tc>
          <w:tcPr>
            <w:tcW w:w="1696" w:type="dxa"/>
          </w:tcPr>
          <w:p w14:paraId="7770B2A5" w14:textId="77777777" w:rsidR="009E6567" w:rsidRPr="00ED4D49" w:rsidRDefault="009E6567" w:rsidP="009E6567">
            <w:pPr>
              <w:autoSpaceDE w:val="0"/>
              <w:autoSpaceDN w:val="0"/>
              <w:adjustRightInd w:val="0"/>
              <w:spacing w:before="0"/>
              <w:rPr>
                <w:rFonts w:asciiTheme="minorHAnsi" w:hAnsiTheme="minorHAnsi" w:cstheme="minorHAnsi"/>
                <w:color w:val="000000"/>
                <w:sz w:val="16"/>
                <w:szCs w:val="16"/>
                <w:lang w:val="en-US"/>
              </w:rPr>
            </w:pPr>
            <w:r w:rsidRPr="00ED4D49">
              <w:rPr>
                <w:rFonts w:asciiTheme="minorHAnsi" w:hAnsiTheme="minorHAnsi" w:cstheme="minorHAnsi"/>
                <w:color w:val="000000"/>
                <w:sz w:val="16"/>
                <w:szCs w:val="16"/>
                <w:lang w:val="en-US"/>
              </w:rPr>
              <w:t>Cazin</w:t>
            </w:r>
          </w:p>
        </w:tc>
        <w:tc>
          <w:tcPr>
            <w:tcW w:w="1276" w:type="dxa"/>
          </w:tcPr>
          <w:p w14:paraId="39825442" w14:textId="77777777" w:rsidR="009E6567" w:rsidRPr="00ED4D49" w:rsidRDefault="009E6567" w:rsidP="009E6567">
            <w:pPr>
              <w:autoSpaceDE w:val="0"/>
              <w:autoSpaceDN w:val="0"/>
              <w:adjustRightInd w:val="0"/>
              <w:spacing w:before="0"/>
              <w:jc w:val="center"/>
              <w:rPr>
                <w:rFonts w:asciiTheme="minorHAnsi" w:hAnsiTheme="minorHAnsi" w:cstheme="minorHAnsi"/>
                <w:color w:val="000000"/>
                <w:sz w:val="16"/>
                <w:szCs w:val="16"/>
                <w:lang w:val="en-US"/>
              </w:rPr>
            </w:pPr>
            <w:r w:rsidRPr="00ED4D49">
              <w:rPr>
                <w:rFonts w:asciiTheme="minorHAnsi" w:hAnsiTheme="minorHAnsi" w:cstheme="minorHAnsi"/>
                <w:color w:val="000000"/>
                <w:sz w:val="16"/>
                <w:szCs w:val="16"/>
                <w:lang w:val="en-US"/>
              </w:rPr>
              <w:t>30,000</w:t>
            </w:r>
          </w:p>
        </w:tc>
        <w:tc>
          <w:tcPr>
            <w:tcW w:w="1701" w:type="dxa"/>
          </w:tcPr>
          <w:p w14:paraId="57E74C9B" w14:textId="77777777" w:rsidR="009E6567" w:rsidRPr="00ED4D49" w:rsidRDefault="009E6567" w:rsidP="009E6567">
            <w:pPr>
              <w:autoSpaceDE w:val="0"/>
              <w:autoSpaceDN w:val="0"/>
              <w:adjustRightInd w:val="0"/>
              <w:spacing w:before="0"/>
              <w:rPr>
                <w:rFonts w:asciiTheme="minorHAnsi" w:hAnsiTheme="minorHAnsi" w:cstheme="minorHAnsi"/>
                <w:color w:val="000000"/>
                <w:sz w:val="16"/>
                <w:szCs w:val="16"/>
                <w:lang w:val="en-US"/>
              </w:rPr>
            </w:pPr>
            <w:r w:rsidRPr="00ED4D49">
              <w:rPr>
                <w:rFonts w:asciiTheme="minorHAnsi" w:hAnsiTheme="minorHAnsi" w:cstheme="minorHAnsi"/>
                <w:color w:val="000000"/>
                <w:sz w:val="16"/>
                <w:szCs w:val="16"/>
                <w:lang w:val="en-US"/>
              </w:rPr>
              <w:t> II</w:t>
            </w:r>
          </w:p>
        </w:tc>
        <w:tc>
          <w:tcPr>
            <w:tcW w:w="4615" w:type="dxa"/>
          </w:tcPr>
          <w:p w14:paraId="5F72ADF9" w14:textId="77777777" w:rsidR="009E6567" w:rsidRPr="00ED4D49" w:rsidRDefault="009E6567" w:rsidP="009E6567">
            <w:pPr>
              <w:autoSpaceDE w:val="0"/>
              <w:autoSpaceDN w:val="0"/>
              <w:adjustRightInd w:val="0"/>
              <w:spacing w:before="0"/>
              <w:rPr>
                <w:rFonts w:asciiTheme="minorHAnsi" w:hAnsiTheme="minorHAnsi" w:cstheme="minorHAnsi"/>
                <w:color w:val="000000"/>
                <w:sz w:val="16"/>
                <w:szCs w:val="16"/>
                <w:lang w:val="en-US"/>
              </w:rPr>
            </w:pPr>
            <w:r w:rsidRPr="00ED4D49">
              <w:rPr>
                <w:rFonts w:asciiTheme="minorHAnsi" w:hAnsiTheme="minorHAnsi" w:cstheme="minorHAnsi"/>
                <w:color w:val="000000"/>
                <w:sz w:val="16"/>
                <w:szCs w:val="16"/>
                <w:lang w:val="en-US"/>
              </w:rPr>
              <w:t xml:space="preserve">Ongoing. Project documentation ongoing.  </w:t>
            </w:r>
          </w:p>
        </w:tc>
      </w:tr>
      <w:tr w:rsidR="009E6567" w:rsidRPr="00ED4D49" w14:paraId="0789577B" w14:textId="77777777" w:rsidTr="009E6567">
        <w:trPr>
          <w:trHeight w:val="284"/>
        </w:trPr>
        <w:tc>
          <w:tcPr>
            <w:tcW w:w="1696" w:type="dxa"/>
          </w:tcPr>
          <w:p w14:paraId="1F4CE9E2" w14:textId="77777777" w:rsidR="009E6567" w:rsidRPr="00ED4D49" w:rsidRDefault="009E6567" w:rsidP="009E6567">
            <w:pPr>
              <w:autoSpaceDE w:val="0"/>
              <w:autoSpaceDN w:val="0"/>
              <w:adjustRightInd w:val="0"/>
              <w:spacing w:before="0"/>
              <w:rPr>
                <w:rFonts w:asciiTheme="minorHAnsi" w:hAnsiTheme="minorHAnsi" w:cstheme="minorHAnsi"/>
                <w:color w:val="000000"/>
                <w:sz w:val="16"/>
                <w:szCs w:val="16"/>
                <w:lang w:val="en-US"/>
              </w:rPr>
            </w:pPr>
            <w:proofErr w:type="spellStart"/>
            <w:r w:rsidRPr="00ED4D49">
              <w:rPr>
                <w:rFonts w:asciiTheme="minorHAnsi" w:hAnsiTheme="minorHAnsi" w:cstheme="minorHAnsi"/>
                <w:color w:val="000000"/>
                <w:sz w:val="16"/>
                <w:szCs w:val="16"/>
                <w:lang w:val="en-US"/>
              </w:rPr>
              <w:t>Bosanski</w:t>
            </w:r>
            <w:proofErr w:type="spellEnd"/>
            <w:r w:rsidRPr="00ED4D49">
              <w:rPr>
                <w:rFonts w:asciiTheme="minorHAnsi" w:hAnsiTheme="minorHAnsi" w:cstheme="minorHAnsi"/>
                <w:color w:val="000000"/>
                <w:sz w:val="16"/>
                <w:szCs w:val="16"/>
                <w:lang w:val="en-US"/>
              </w:rPr>
              <w:t xml:space="preserve"> </w:t>
            </w:r>
            <w:proofErr w:type="spellStart"/>
            <w:r w:rsidRPr="00ED4D49">
              <w:rPr>
                <w:rFonts w:asciiTheme="minorHAnsi" w:hAnsiTheme="minorHAnsi" w:cstheme="minorHAnsi"/>
                <w:color w:val="000000"/>
                <w:sz w:val="16"/>
                <w:szCs w:val="16"/>
                <w:lang w:val="en-US"/>
              </w:rPr>
              <w:t>Petrovac</w:t>
            </w:r>
            <w:proofErr w:type="spellEnd"/>
          </w:p>
        </w:tc>
        <w:tc>
          <w:tcPr>
            <w:tcW w:w="1276" w:type="dxa"/>
          </w:tcPr>
          <w:p w14:paraId="64B54676" w14:textId="77777777" w:rsidR="009E6567" w:rsidRPr="00ED4D49" w:rsidRDefault="009E6567" w:rsidP="009E6567">
            <w:pPr>
              <w:autoSpaceDE w:val="0"/>
              <w:autoSpaceDN w:val="0"/>
              <w:adjustRightInd w:val="0"/>
              <w:spacing w:before="0"/>
              <w:jc w:val="center"/>
              <w:rPr>
                <w:rFonts w:asciiTheme="minorHAnsi" w:hAnsiTheme="minorHAnsi" w:cstheme="minorHAnsi"/>
                <w:color w:val="000000"/>
                <w:sz w:val="16"/>
                <w:szCs w:val="16"/>
                <w:lang w:val="en-US"/>
              </w:rPr>
            </w:pPr>
            <w:r w:rsidRPr="00ED4D49">
              <w:rPr>
                <w:rFonts w:asciiTheme="minorHAnsi" w:hAnsiTheme="minorHAnsi" w:cstheme="minorHAnsi"/>
                <w:color w:val="000000"/>
                <w:sz w:val="16"/>
                <w:szCs w:val="16"/>
                <w:lang w:val="en-US"/>
              </w:rPr>
              <w:t>5000</w:t>
            </w:r>
          </w:p>
        </w:tc>
        <w:tc>
          <w:tcPr>
            <w:tcW w:w="1701" w:type="dxa"/>
          </w:tcPr>
          <w:p w14:paraId="195D0206" w14:textId="77777777" w:rsidR="009E6567" w:rsidRPr="00ED4D49" w:rsidRDefault="009E6567" w:rsidP="009E6567">
            <w:pPr>
              <w:autoSpaceDE w:val="0"/>
              <w:autoSpaceDN w:val="0"/>
              <w:adjustRightInd w:val="0"/>
              <w:spacing w:before="0"/>
              <w:rPr>
                <w:rFonts w:asciiTheme="minorHAnsi" w:hAnsiTheme="minorHAnsi" w:cstheme="minorHAnsi"/>
                <w:color w:val="000000"/>
                <w:sz w:val="16"/>
                <w:szCs w:val="16"/>
                <w:lang w:val="en-US"/>
              </w:rPr>
            </w:pPr>
            <w:r w:rsidRPr="00ED4D49">
              <w:rPr>
                <w:rFonts w:asciiTheme="minorHAnsi" w:hAnsiTheme="minorHAnsi" w:cstheme="minorHAnsi"/>
                <w:color w:val="000000"/>
                <w:sz w:val="16"/>
                <w:szCs w:val="16"/>
                <w:lang w:val="en-US"/>
              </w:rPr>
              <w:t>II</w:t>
            </w:r>
          </w:p>
        </w:tc>
        <w:tc>
          <w:tcPr>
            <w:tcW w:w="4615" w:type="dxa"/>
          </w:tcPr>
          <w:p w14:paraId="20235BE6" w14:textId="77777777" w:rsidR="009E6567" w:rsidRPr="00ED4D49" w:rsidRDefault="009E6567" w:rsidP="009E6567">
            <w:pPr>
              <w:autoSpaceDE w:val="0"/>
              <w:autoSpaceDN w:val="0"/>
              <w:adjustRightInd w:val="0"/>
              <w:spacing w:before="0"/>
              <w:rPr>
                <w:rFonts w:asciiTheme="minorHAnsi" w:hAnsiTheme="minorHAnsi" w:cstheme="minorHAnsi"/>
                <w:color w:val="000000"/>
                <w:sz w:val="16"/>
                <w:szCs w:val="16"/>
                <w:lang w:val="en-US"/>
              </w:rPr>
            </w:pPr>
            <w:r w:rsidRPr="00ED4D49">
              <w:rPr>
                <w:rFonts w:asciiTheme="minorHAnsi" w:hAnsiTheme="minorHAnsi" w:cstheme="minorHAnsi"/>
                <w:color w:val="000000"/>
                <w:sz w:val="16"/>
                <w:szCs w:val="16"/>
                <w:lang w:val="en-US"/>
              </w:rPr>
              <w:t xml:space="preserve">Ongoing. Contracting in progress. </w:t>
            </w:r>
          </w:p>
        </w:tc>
      </w:tr>
      <w:tr w:rsidR="009E6567" w:rsidRPr="00ED4D49" w14:paraId="3C7144A5" w14:textId="77777777" w:rsidTr="009E6567">
        <w:trPr>
          <w:trHeight w:val="284"/>
        </w:trPr>
        <w:tc>
          <w:tcPr>
            <w:tcW w:w="1696" w:type="dxa"/>
          </w:tcPr>
          <w:p w14:paraId="3AEDC3C1" w14:textId="288223F0" w:rsidR="009E6567" w:rsidRPr="00ED4D49" w:rsidRDefault="009E6567" w:rsidP="009E6567">
            <w:pPr>
              <w:autoSpaceDE w:val="0"/>
              <w:autoSpaceDN w:val="0"/>
              <w:adjustRightInd w:val="0"/>
              <w:spacing w:before="0"/>
              <w:rPr>
                <w:rFonts w:asciiTheme="minorHAnsi" w:hAnsiTheme="minorHAnsi" w:cstheme="minorHAnsi"/>
                <w:color w:val="000000"/>
                <w:sz w:val="16"/>
                <w:szCs w:val="16"/>
                <w:lang w:val="en-US"/>
              </w:rPr>
            </w:pPr>
            <w:proofErr w:type="spellStart"/>
            <w:r w:rsidRPr="00ED4D49">
              <w:rPr>
                <w:rFonts w:asciiTheme="minorHAnsi" w:hAnsiTheme="minorHAnsi" w:cstheme="minorHAnsi"/>
                <w:color w:val="000000"/>
                <w:sz w:val="16"/>
                <w:szCs w:val="16"/>
                <w:lang w:val="en-US"/>
              </w:rPr>
              <w:t>Orasje</w:t>
            </w:r>
            <w:proofErr w:type="spellEnd"/>
          </w:p>
        </w:tc>
        <w:tc>
          <w:tcPr>
            <w:tcW w:w="1276" w:type="dxa"/>
          </w:tcPr>
          <w:p w14:paraId="4E7B942F" w14:textId="77777777" w:rsidR="009E6567" w:rsidRPr="00ED4D49" w:rsidRDefault="009E6567" w:rsidP="009E6567">
            <w:pPr>
              <w:autoSpaceDE w:val="0"/>
              <w:autoSpaceDN w:val="0"/>
              <w:adjustRightInd w:val="0"/>
              <w:spacing w:before="0"/>
              <w:jc w:val="center"/>
              <w:rPr>
                <w:rFonts w:asciiTheme="minorHAnsi" w:hAnsiTheme="minorHAnsi" w:cstheme="minorHAnsi"/>
                <w:color w:val="000000"/>
                <w:sz w:val="16"/>
                <w:szCs w:val="16"/>
                <w:lang w:val="en-US"/>
              </w:rPr>
            </w:pPr>
            <w:r w:rsidRPr="00ED4D49">
              <w:rPr>
                <w:rFonts w:asciiTheme="minorHAnsi" w:hAnsiTheme="minorHAnsi" w:cstheme="minorHAnsi"/>
                <w:color w:val="000000"/>
                <w:sz w:val="16"/>
                <w:szCs w:val="16"/>
                <w:lang w:val="en-US"/>
              </w:rPr>
              <w:t>12,000</w:t>
            </w:r>
          </w:p>
        </w:tc>
        <w:tc>
          <w:tcPr>
            <w:tcW w:w="1701" w:type="dxa"/>
          </w:tcPr>
          <w:p w14:paraId="75F0BD71" w14:textId="77777777" w:rsidR="009E6567" w:rsidRPr="00ED4D49" w:rsidRDefault="009E6567" w:rsidP="009E6567">
            <w:pPr>
              <w:autoSpaceDE w:val="0"/>
              <w:autoSpaceDN w:val="0"/>
              <w:adjustRightInd w:val="0"/>
              <w:spacing w:before="0"/>
              <w:rPr>
                <w:rFonts w:asciiTheme="minorHAnsi" w:hAnsiTheme="minorHAnsi" w:cstheme="minorHAnsi"/>
                <w:color w:val="000000"/>
                <w:sz w:val="16"/>
                <w:szCs w:val="16"/>
                <w:lang w:val="en-US"/>
              </w:rPr>
            </w:pPr>
            <w:r w:rsidRPr="00ED4D49">
              <w:rPr>
                <w:rFonts w:asciiTheme="minorHAnsi" w:hAnsiTheme="minorHAnsi" w:cstheme="minorHAnsi"/>
                <w:color w:val="000000"/>
                <w:sz w:val="16"/>
                <w:szCs w:val="16"/>
                <w:lang w:val="en-US"/>
              </w:rPr>
              <w:t>II</w:t>
            </w:r>
          </w:p>
        </w:tc>
        <w:tc>
          <w:tcPr>
            <w:tcW w:w="4615" w:type="dxa"/>
          </w:tcPr>
          <w:p w14:paraId="2FA0873F" w14:textId="77777777" w:rsidR="009E6567" w:rsidRPr="00ED4D49" w:rsidRDefault="009E6567" w:rsidP="009E6567">
            <w:pPr>
              <w:autoSpaceDE w:val="0"/>
              <w:autoSpaceDN w:val="0"/>
              <w:adjustRightInd w:val="0"/>
              <w:spacing w:before="0"/>
              <w:rPr>
                <w:rFonts w:asciiTheme="minorHAnsi" w:hAnsiTheme="minorHAnsi" w:cstheme="minorHAnsi"/>
                <w:sz w:val="16"/>
                <w:szCs w:val="16"/>
                <w:lang w:val="en-US"/>
              </w:rPr>
            </w:pPr>
            <w:r w:rsidRPr="00ED4D49">
              <w:rPr>
                <w:rFonts w:asciiTheme="minorHAnsi" w:hAnsiTheme="minorHAnsi" w:cstheme="minorHAnsi"/>
                <w:color w:val="000000"/>
                <w:sz w:val="16"/>
                <w:szCs w:val="16"/>
                <w:lang w:val="en-US"/>
              </w:rPr>
              <w:t xml:space="preserve">Ongoing. </w:t>
            </w:r>
            <w:r w:rsidRPr="00ED4D49">
              <w:rPr>
                <w:rFonts w:asciiTheme="minorHAnsi" w:hAnsiTheme="minorHAnsi" w:cstheme="minorHAnsi"/>
                <w:sz w:val="16"/>
                <w:szCs w:val="16"/>
                <w:lang w:val="en-US"/>
              </w:rPr>
              <w:t xml:space="preserve">Tender documentation for WWTP construction is ready. A lack of funds. </w:t>
            </w:r>
          </w:p>
        </w:tc>
      </w:tr>
      <w:tr w:rsidR="009E6567" w:rsidRPr="00ED4D49" w14:paraId="1095539C" w14:textId="77777777" w:rsidTr="009E6567">
        <w:trPr>
          <w:trHeight w:val="284"/>
        </w:trPr>
        <w:tc>
          <w:tcPr>
            <w:tcW w:w="1696" w:type="dxa"/>
          </w:tcPr>
          <w:p w14:paraId="60632FBA" w14:textId="77777777" w:rsidR="009E6567" w:rsidRPr="00ED4D49" w:rsidRDefault="009E6567" w:rsidP="009E6567">
            <w:pPr>
              <w:autoSpaceDE w:val="0"/>
              <w:autoSpaceDN w:val="0"/>
              <w:adjustRightInd w:val="0"/>
              <w:spacing w:before="0"/>
              <w:rPr>
                <w:rFonts w:asciiTheme="minorHAnsi" w:hAnsiTheme="minorHAnsi" w:cstheme="minorHAnsi"/>
                <w:color w:val="000000"/>
                <w:sz w:val="16"/>
                <w:szCs w:val="16"/>
                <w:lang w:val="en-US"/>
              </w:rPr>
            </w:pPr>
            <w:proofErr w:type="spellStart"/>
            <w:r w:rsidRPr="00ED4D49">
              <w:rPr>
                <w:rFonts w:asciiTheme="minorHAnsi" w:hAnsiTheme="minorHAnsi" w:cstheme="minorHAnsi"/>
                <w:color w:val="000000"/>
                <w:sz w:val="16"/>
                <w:szCs w:val="16"/>
                <w:lang w:val="en-US"/>
              </w:rPr>
              <w:lastRenderedPageBreak/>
              <w:t>Lukavac</w:t>
            </w:r>
            <w:proofErr w:type="spellEnd"/>
          </w:p>
        </w:tc>
        <w:tc>
          <w:tcPr>
            <w:tcW w:w="1276" w:type="dxa"/>
          </w:tcPr>
          <w:p w14:paraId="582ADED7" w14:textId="77777777" w:rsidR="009E6567" w:rsidRPr="00ED4D49" w:rsidRDefault="009E6567" w:rsidP="009E6567">
            <w:pPr>
              <w:autoSpaceDE w:val="0"/>
              <w:autoSpaceDN w:val="0"/>
              <w:adjustRightInd w:val="0"/>
              <w:spacing w:before="0"/>
              <w:jc w:val="center"/>
              <w:rPr>
                <w:rFonts w:asciiTheme="minorHAnsi" w:hAnsiTheme="minorHAnsi" w:cstheme="minorHAnsi"/>
                <w:color w:val="000000"/>
                <w:sz w:val="16"/>
                <w:szCs w:val="16"/>
                <w:lang w:val="en-US"/>
              </w:rPr>
            </w:pPr>
            <w:r w:rsidRPr="00ED4D49">
              <w:rPr>
                <w:rFonts w:asciiTheme="minorHAnsi" w:hAnsiTheme="minorHAnsi" w:cstheme="minorHAnsi"/>
                <w:color w:val="000000"/>
                <w:sz w:val="16"/>
                <w:szCs w:val="16"/>
                <w:lang w:val="en-US"/>
              </w:rPr>
              <w:t>16,000</w:t>
            </w:r>
          </w:p>
        </w:tc>
        <w:tc>
          <w:tcPr>
            <w:tcW w:w="1701" w:type="dxa"/>
          </w:tcPr>
          <w:p w14:paraId="7FB3CA00" w14:textId="77777777" w:rsidR="009E6567" w:rsidRPr="00ED4D49" w:rsidRDefault="009E6567" w:rsidP="009E6567">
            <w:pPr>
              <w:autoSpaceDE w:val="0"/>
              <w:autoSpaceDN w:val="0"/>
              <w:adjustRightInd w:val="0"/>
              <w:spacing w:before="0"/>
              <w:rPr>
                <w:rFonts w:asciiTheme="minorHAnsi" w:hAnsiTheme="minorHAnsi" w:cstheme="minorHAnsi"/>
                <w:color w:val="000000"/>
                <w:sz w:val="16"/>
                <w:szCs w:val="16"/>
                <w:lang w:val="en-US"/>
              </w:rPr>
            </w:pPr>
            <w:r w:rsidRPr="00ED4D49">
              <w:rPr>
                <w:rFonts w:asciiTheme="minorHAnsi" w:hAnsiTheme="minorHAnsi" w:cstheme="minorHAnsi"/>
                <w:color w:val="000000"/>
                <w:sz w:val="16"/>
                <w:szCs w:val="16"/>
                <w:lang w:val="en-US"/>
              </w:rPr>
              <w:t>II</w:t>
            </w:r>
          </w:p>
        </w:tc>
        <w:tc>
          <w:tcPr>
            <w:tcW w:w="4615" w:type="dxa"/>
          </w:tcPr>
          <w:p w14:paraId="2F59516B" w14:textId="01EC6F49" w:rsidR="009E6567" w:rsidRPr="00ED4D49" w:rsidRDefault="009E6567" w:rsidP="009E6567">
            <w:pPr>
              <w:autoSpaceDE w:val="0"/>
              <w:autoSpaceDN w:val="0"/>
              <w:adjustRightInd w:val="0"/>
              <w:spacing w:before="0"/>
              <w:rPr>
                <w:rFonts w:asciiTheme="minorHAnsi" w:hAnsiTheme="minorHAnsi" w:cstheme="minorHAnsi"/>
                <w:color w:val="000000"/>
                <w:sz w:val="16"/>
                <w:szCs w:val="16"/>
                <w:lang w:val="en-US"/>
              </w:rPr>
            </w:pPr>
            <w:r w:rsidRPr="00ED4D49">
              <w:rPr>
                <w:rFonts w:asciiTheme="minorHAnsi" w:hAnsiTheme="minorHAnsi" w:cstheme="minorHAnsi"/>
                <w:color w:val="000000"/>
                <w:sz w:val="16"/>
                <w:szCs w:val="16"/>
                <w:lang w:val="en-US"/>
              </w:rPr>
              <w:t xml:space="preserve">Ongoing. </w:t>
            </w:r>
            <w:r w:rsidRPr="00ED4D49">
              <w:rPr>
                <w:rFonts w:asciiTheme="minorHAnsi" w:hAnsiTheme="minorHAnsi" w:cstheme="minorHAnsi"/>
                <w:sz w:val="16"/>
                <w:szCs w:val="16"/>
                <w:lang w:val="en-US"/>
              </w:rPr>
              <w:t xml:space="preserve">Tender documentation for WWTP construction is ready. </w:t>
            </w:r>
            <w:r w:rsidR="0054177A" w:rsidRPr="00ED4D49">
              <w:rPr>
                <w:rFonts w:asciiTheme="minorHAnsi" w:hAnsiTheme="minorHAnsi" w:cstheme="minorHAnsi"/>
                <w:sz w:val="16"/>
                <w:szCs w:val="16"/>
                <w:lang w:val="en-US"/>
              </w:rPr>
              <w:t>L</w:t>
            </w:r>
            <w:r w:rsidRPr="00ED4D49">
              <w:rPr>
                <w:rFonts w:asciiTheme="minorHAnsi" w:hAnsiTheme="minorHAnsi" w:cstheme="minorHAnsi"/>
                <w:sz w:val="16"/>
                <w:szCs w:val="16"/>
                <w:lang w:val="en-US"/>
              </w:rPr>
              <w:t>ack of funds.</w:t>
            </w:r>
          </w:p>
        </w:tc>
      </w:tr>
      <w:tr w:rsidR="009E6567" w:rsidRPr="00ED4D49" w14:paraId="7699FFA1" w14:textId="77777777" w:rsidTr="009E6567">
        <w:trPr>
          <w:trHeight w:val="284"/>
        </w:trPr>
        <w:tc>
          <w:tcPr>
            <w:tcW w:w="1696" w:type="dxa"/>
          </w:tcPr>
          <w:p w14:paraId="4BB54410" w14:textId="74E0D65B" w:rsidR="009E6567" w:rsidRPr="00ED4D49" w:rsidRDefault="009E6567" w:rsidP="009E6567">
            <w:pPr>
              <w:autoSpaceDE w:val="0"/>
              <w:autoSpaceDN w:val="0"/>
              <w:adjustRightInd w:val="0"/>
              <w:spacing w:before="0"/>
              <w:rPr>
                <w:rFonts w:asciiTheme="minorHAnsi" w:hAnsiTheme="minorHAnsi" w:cstheme="minorHAnsi"/>
                <w:color w:val="000000"/>
                <w:sz w:val="16"/>
                <w:szCs w:val="16"/>
                <w:lang w:val="en-US"/>
              </w:rPr>
            </w:pPr>
            <w:proofErr w:type="spellStart"/>
            <w:r w:rsidRPr="00ED4D49">
              <w:rPr>
                <w:rFonts w:asciiTheme="minorHAnsi" w:hAnsiTheme="minorHAnsi" w:cstheme="minorHAnsi"/>
                <w:color w:val="000000"/>
                <w:sz w:val="16"/>
                <w:szCs w:val="16"/>
                <w:lang w:val="en-US"/>
              </w:rPr>
              <w:t>Tesanj</w:t>
            </w:r>
            <w:proofErr w:type="spellEnd"/>
          </w:p>
        </w:tc>
        <w:tc>
          <w:tcPr>
            <w:tcW w:w="1276" w:type="dxa"/>
          </w:tcPr>
          <w:p w14:paraId="04010317" w14:textId="77777777" w:rsidR="009E6567" w:rsidRPr="00ED4D49" w:rsidRDefault="009E6567" w:rsidP="009E6567">
            <w:pPr>
              <w:autoSpaceDE w:val="0"/>
              <w:autoSpaceDN w:val="0"/>
              <w:adjustRightInd w:val="0"/>
              <w:spacing w:before="0"/>
              <w:jc w:val="center"/>
              <w:rPr>
                <w:rFonts w:asciiTheme="minorHAnsi" w:hAnsiTheme="minorHAnsi" w:cstheme="minorHAnsi"/>
                <w:color w:val="000000"/>
                <w:sz w:val="16"/>
                <w:szCs w:val="16"/>
                <w:lang w:val="en-US"/>
              </w:rPr>
            </w:pPr>
            <w:r w:rsidRPr="00ED4D49">
              <w:rPr>
                <w:rFonts w:asciiTheme="minorHAnsi" w:hAnsiTheme="minorHAnsi" w:cstheme="minorHAnsi"/>
                <w:color w:val="000000"/>
                <w:sz w:val="16"/>
                <w:szCs w:val="16"/>
                <w:lang w:val="en-US"/>
              </w:rPr>
              <w:t>30,000</w:t>
            </w:r>
          </w:p>
        </w:tc>
        <w:tc>
          <w:tcPr>
            <w:tcW w:w="1701" w:type="dxa"/>
          </w:tcPr>
          <w:p w14:paraId="35E044B3" w14:textId="77777777" w:rsidR="009E6567" w:rsidRPr="00ED4D49" w:rsidRDefault="009E6567" w:rsidP="009E6567">
            <w:pPr>
              <w:autoSpaceDE w:val="0"/>
              <w:autoSpaceDN w:val="0"/>
              <w:adjustRightInd w:val="0"/>
              <w:spacing w:before="0"/>
              <w:rPr>
                <w:rFonts w:asciiTheme="minorHAnsi" w:hAnsiTheme="minorHAnsi" w:cstheme="minorHAnsi"/>
                <w:color w:val="000000"/>
                <w:sz w:val="16"/>
                <w:szCs w:val="16"/>
                <w:lang w:val="en-US"/>
              </w:rPr>
            </w:pPr>
            <w:r w:rsidRPr="00ED4D49">
              <w:rPr>
                <w:rFonts w:asciiTheme="minorHAnsi" w:hAnsiTheme="minorHAnsi" w:cstheme="minorHAnsi"/>
                <w:color w:val="000000"/>
                <w:sz w:val="16"/>
                <w:szCs w:val="16"/>
                <w:lang w:val="en-US"/>
              </w:rPr>
              <w:t>II</w:t>
            </w:r>
          </w:p>
        </w:tc>
        <w:tc>
          <w:tcPr>
            <w:tcW w:w="4615" w:type="dxa"/>
          </w:tcPr>
          <w:p w14:paraId="77B85B78" w14:textId="24FF4142" w:rsidR="009E6567" w:rsidRPr="00ED4D49" w:rsidRDefault="009E6567" w:rsidP="009E6567">
            <w:pPr>
              <w:autoSpaceDE w:val="0"/>
              <w:autoSpaceDN w:val="0"/>
              <w:adjustRightInd w:val="0"/>
              <w:spacing w:before="0"/>
              <w:rPr>
                <w:rFonts w:asciiTheme="minorHAnsi" w:hAnsiTheme="minorHAnsi" w:cstheme="minorHAnsi"/>
                <w:sz w:val="16"/>
                <w:szCs w:val="16"/>
                <w:lang w:val="en-US"/>
              </w:rPr>
            </w:pPr>
            <w:r w:rsidRPr="00ED4D49">
              <w:rPr>
                <w:rFonts w:asciiTheme="minorHAnsi" w:hAnsiTheme="minorHAnsi" w:cstheme="minorHAnsi"/>
                <w:color w:val="000000"/>
                <w:sz w:val="16"/>
                <w:szCs w:val="16"/>
                <w:lang w:val="en-US"/>
              </w:rPr>
              <w:t xml:space="preserve">Ongoing. </w:t>
            </w:r>
            <w:r w:rsidRPr="00ED4D49">
              <w:rPr>
                <w:rFonts w:asciiTheme="minorHAnsi" w:hAnsiTheme="minorHAnsi" w:cstheme="minorHAnsi"/>
                <w:sz w:val="16"/>
                <w:szCs w:val="16"/>
                <w:lang w:val="en-US"/>
              </w:rPr>
              <w:t xml:space="preserve">Preliminary design was prepared on 28 April 2017 and a </w:t>
            </w:r>
            <w:r w:rsidR="0054177A" w:rsidRPr="00ED4D49">
              <w:rPr>
                <w:rFonts w:asciiTheme="minorHAnsi" w:hAnsiTheme="minorHAnsi" w:cstheme="minorHAnsi"/>
                <w:sz w:val="16"/>
                <w:szCs w:val="16"/>
                <w:lang w:val="en-US"/>
              </w:rPr>
              <w:t>c</w:t>
            </w:r>
            <w:r w:rsidRPr="00ED4D49">
              <w:rPr>
                <w:rFonts w:asciiTheme="minorHAnsi" w:hAnsiTheme="minorHAnsi" w:cstheme="minorHAnsi"/>
                <w:sz w:val="16"/>
                <w:szCs w:val="16"/>
                <w:lang w:val="en-US"/>
              </w:rPr>
              <w:t xml:space="preserve">ontract with the </w:t>
            </w:r>
            <w:r w:rsidR="0054177A" w:rsidRPr="00ED4D49">
              <w:rPr>
                <w:rFonts w:asciiTheme="minorHAnsi" w:hAnsiTheme="minorHAnsi" w:cstheme="minorHAnsi"/>
                <w:sz w:val="16"/>
                <w:szCs w:val="16"/>
                <w:lang w:val="en-US"/>
              </w:rPr>
              <w:t>c</w:t>
            </w:r>
            <w:r w:rsidRPr="00ED4D49">
              <w:rPr>
                <w:rFonts w:asciiTheme="minorHAnsi" w:hAnsiTheme="minorHAnsi" w:cstheme="minorHAnsi"/>
                <w:sz w:val="16"/>
                <w:szCs w:val="16"/>
                <w:lang w:val="en-US"/>
              </w:rPr>
              <w:t>ontractor was signed concerning the development of project documentation.</w:t>
            </w:r>
          </w:p>
        </w:tc>
      </w:tr>
      <w:tr w:rsidR="009E6567" w:rsidRPr="00ED4D49" w14:paraId="5996D1BE" w14:textId="77777777" w:rsidTr="009E6567">
        <w:trPr>
          <w:trHeight w:val="284"/>
        </w:trPr>
        <w:tc>
          <w:tcPr>
            <w:tcW w:w="1696" w:type="dxa"/>
          </w:tcPr>
          <w:p w14:paraId="0CF0B934" w14:textId="601731DD" w:rsidR="009E6567" w:rsidRPr="00ED4D49" w:rsidRDefault="009E6567" w:rsidP="009E6567">
            <w:pPr>
              <w:autoSpaceDE w:val="0"/>
              <w:autoSpaceDN w:val="0"/>
              <w:adjustRightInd w:val="0"/>
              <w:spacing w:before="0"/>
              <w:rPr>
                <w:rFonts w:asciiTheme="minorHAnsi" w:hAnsiTheme="minorHAnsi" w:cstheme="minorHAnsi"/>
                <w:color w:val="000000"/>
                <w:sz w:val="16"/>
                <w:szCs w:val="16"/>
                <w:lang w:val="en-US"/>
              </w:rPr>
            </w:pPr>
            <w:r w:rsidRPr="00ED4D49">
              <w:rPr>
                <w:rFonts w:asciiTheme="minorHAnsi" w:hAnsiTheme="minorHAnsi" w:cstheme="minorHAnsi"/>
                <w:color w:val="000000"/>
                <w:sz w:val="16"/>
                <w:szCs w:val="16"/>
                <w:lang w:val="en-US"/>
              </w:rPr>
              <w:t>Doboj Jug</w:t>
            </w:r>
          </w:p>
        </w:tc>
        <w:tc>
          <w:tcPr>
            <w:tcW w:w="1276" w:type="dxa"/>
          </w:tcPr>
          <w:p w14:paraId="09FDC128" w14:textId="77777777" w:rsidR="009E6567" w:rsidRPr="00ED4D49" w:rsidRDefault="009E6567" w:rsidP="009E6567">
            <w:pPr>
              <w:autoSpaceDE w:val="0"/>
              <w:autoSpaceDN w:val="0"/>
              <w:adjustRightInd w:val="0"/>
              <w:spacing w:before="0"/>
              <w:jc w:val="center"/>
              <w:rPr>
                <w:rFonts w:asciiTheme="minorHAnsi" w:hAnsiTheme="minorHAnsi" w:cstheme="minorHAnsi"/>
                <w:color w:val="000000"/>
                <w:sz w:val="16"/>
                <w:szCs w:val="16"/>
                <w:lang w:val="en-US"/>
              </w:rPr>
            </w:pPr>
            <w:r w:rsidRPr="00ED4D49">
              <w:rPr>
                <w:rFonts w:asciiTheme="minorHAnsi" w:hAnsiTheme="minorHAnsi" w:cstheme="minorHAnsi"/>
                <w:color w:val="000000"/>
                <w:sz w:val="16"/>
                <w:szCs w:val="16"/>
                <w:lang w:val="en-US"/>
              </w:rPr>
              <w:t>2,000</w:t>
            </w:r>
          </w:p>
        </w:tc>
        <w:tc>
          <w:tcPr>
            <w:tcW w:w="1701" w:type="dxa"/>
          </w:tcPr>
          <w:p w14:paraId="66E7D706" w14:textId="77777777" w:rsidR="009E6567" w:rsidRPr="00ED4D49" w:rsidRDefault="009E6567" w:rsidP="009E6567">
            <w:pPr>
              <w:autoSpaceDE w:val="0"/>
              <w:autoSpaceDN w:val="0"/>
              <w:adjustRightInd w:val="0"/>
              <w:spacing w:before="0"/>
              <w:rPr>
                <w:rFonts w:asciiTheme="minorHAnsi" w:hAnsiTheme="minorHAnsi" w:cstheme="minorHAnsi"/>
                <w:color w:val="000000"/>
                <w:sz w:val="16"/>
                <w:szCs w:val="16"/>
                <w:lang w:val="en-US"/>
              </w:rPr>
            </w:pPr>
            <w:r w:rsidRPr="00ED4D49">
              <w:rPr>
                <w:rFonts w:asciiTheme="minorHAnsi" w:hAnsiTheme="minorHAnsi" w:cstheme="minorHAnsi"/>
                <w:color w:val="000000"/>
                <w:sz w:val="16"/>
                <w:szCs w:val="16"/>
                <w:lang w:val="en-US"/>
              </w:rPr>
              <w:t>II</w:t>
            </w:r>
          </w:p>
        </w:tc>
        <w:tc>
          <w:tcPr>
            <w:tcW w:w="4615" w:type="dxa"/>
          </w:tcPr>
          <w:p w14:paraId="6730E38F" w14:textId="77777777" w:rsidR="009E6567" w:rsidRPr="00ED4D49" w:rsidRDefault="009E6567" w:rsidP="009E6567">
            <w:pPr>
              <w:autoSpaceDE w:val="0"/>
              <w:autoSpaceDN w:val="0"/>
              <w:adjustRightInd w:val="0"/>
              <w:spacing w:before="0"/>
              <w:rPr>
                <w:rFonts w:asciiTheme="minorHAnsi" w:hAnsiTheme="minorHAnsi" w:cstheme="minorHAnsi"/>
                <w:color w:val="000000"/>
                <w:sz w:val="16"/>
                <w:szCs w:val="16"/>
                <w:lang w:val="en-US"/>
              </w:rPr>
            </w:pPr>
            <w:r w:rsidRPr="00ED4D49">
              <w:rPr>
                <w:rFonts w:asciiTheme="minorHAnsi" w:hAnsiTheme="minorHAnsi" w:cstheme="minorHAnsi"/>
                <w:color w:val="000000"/>
                <w:sz w:val="16"/>
                <w:szCs w:val="16"/>
                <w:lang w:val="en-US"/>
              </w:rPr>
              <w:t xml:space="preserve">Ongoing. Preparation of tender documents still ongoing. </w:t>
            </w:r>
          </w:p>
        </w:tc>
      </w:tr>
      <w:tr w:rsidR="009E6567" w:rsidRPr="00ED4D49" w14:paraId="06630D59" w14:textId="77777777" w:rsidTr="009E6567">
        <w:trPr>
          <w:trHeight w:val="284"/>
        </w:trPr>
        <w:tc>
          <w:tcPr>
            <w:tcW w:w="1696" w:type="dxa"/>
          </w:tcPr>
          <w:p w14:paraId="09F95C57" w14:textId="77777777" w:rsidR="009E6567" w:rsidRPr="00ED4D49" w:rsidRDefault="009E6567" w:rsidP="009E6567">
            <w:pPr>
              <w:autoSpaceDE w:val="0"/>
              <w:autoSpaceDN w:val="0"/>
              <w:adjustRightInd w:val="0"/>
              <w:spacing w:before="0"/>
              <w:rPr>
                <w:rFonts w:asciiTheme="minorHAnsi" w:hAnsiTheme="minorHAnsi" w:cstheme="minorHAnsi"/>
                <w:color w:val="000000"/>
                <w:sz w:val="16"/>
                <w:szCs w:val="16"/>
                <w:lang w:val="en-US"/>
              </w:rPr>
            </w:pPr>
            <w:proofErr w:type="spellStart"/>
            <w:r w:rsidRPr="00ED4D49">
              <w:rPr>
                <w:rFonts w:asciiTheme="minorHAnsi" w:hAnsiTheme="minorHAnsi" w:cstheme="minorHAnsi"/>
                <w:color w:val="000000"/>
                <w:sz w:val="16"/>
                <w:szCs w:val="16"/>
                <w:lang w:val="en-US"/>
              </w:rPr>
              <w:t>Usora</w:t>
            </w:r>
            <w:proofErr w:type="spellEnd"/>
          </w:p>
        </w:tc>
        <w:tc>
          <w:tcPr>
            <w:tcW w:w="1276" w:type="dxa"/>
          </w:tcPr>
          <w:p w14:paraId="3E5821D0" w14:textId="77777777" w:rsidR="009E6567" w:rsidRPr="00ED4D49" w:rsidRDefault="009E6567" w:rsidP="009E6567">
            <w:pPr>
              <w:autoSpaceDE w:val="0"/>
              <w:autoSpaceDN w:val="0"/>
              <w:adjustRightInd w:val="0"/>
              <w:spacing w:before="0"/>
              <w:jc w:val="center"/>
              <w:rPr>
                <w:rFonts w:asciiTheme="minorHAnsi" w:hAnsiTheme="minorHAnsi" w:cstheme="minorHAnsi"/>
                <w:color w:val="000000"/>
                <w:sz w:val="16"/>
                <w:szCs w:val="16"/>
                <w:lang w:val="en-US"/>
              </w:rPr>
            </w:pPr>
            <w:r w:rsidRPr="00ED4D49">
              <w:rPr>
                <w:rFonts w:asciiTheme="minorHAnsi" w:hAnsiTheme="minorHAnsi" w:cstheme="minorHAnsi"/>
                <w:color w:val="000000"/>
                <w:sz w:val="16"/>
                <w:szCs w:val="16"/>
                <w:lang w:val="en-US"/>
              </w:rPr>
              <w:t>1,000</w:t>
            </w:r>
          </w:p>
        </w:tc>
        <w:tc>
          <w:tcPr>
            <w:tcW w:w="1701" w:type="dxa"/>
          </w:tcPr>
          <w:p w14:paraId="561608D8" w14:textId="77777777" w:rsidR="009E6567" w:rsidRPr="00ED4D49" w:rsidRDefault="009E6567" w:rsidP="009E6567">
            <w:pPr>
              <w:autoSpaceDE w:val="0"/>
              <w:autoSpaceDN w:val="0"/>
              <w:adjustRightInd w:val="0"/>
              <w:spacing w:before="0"/>
              <w:rPr>
                <w:rFonts w:asciiTheme="minorHAnsi" w:hAnsiTheme="minorHAnsi" w:cstheme="minorHAnsi"/>
                <w:color w:val="000000"/>
                <w:sz w:val="16"/>
                <w:szCs w:val="16"/>
                <w:lang w:val="en-US"/>
              </w:rPr>
            </w:pPr>
            <w:r w:rsidRPr="00ED4D49">
              <w:rPr>
                <w:rFonts w:asciiTheme="minorHAnsi" w:hAnsiTheme="minorHAnsi" w:cstheme="minorHAnsi"/>
                <w:color w:val="000000"/>
                <w:sz w:val="16"/>
                <w:szCs w:val="16"/>
                <w:lang w:val="en-US"/>
              </w:rPr>
              <w:t>II</w:t>
            </w:r>
          </w:p>
        </w:tc>
        <w:tc>
          <w:tcPr>
            <w:tcW w:w="4615" w:type="dxa"/>
          </w:tcPr>
          <w:p w14:paraId="265E2FF8" w14:textId="160D51A3" w:rsidR="009E6567" w:rsidRPr="00ED4D49" w:rsidRDefault="009E6567" w:rsidP="009E6567">
            <w:pPr>
              <w:autoSpaceDE w:val="0"/>
              <w:autoSpaceDN w:val="0"/>
              <w:adjustRightInd w:val="0"/>
              <w:spacing w:before="0"/>
              <w:rPr>
                <w:rFonts w:asciiTheme="minorHAnsi" w:hAnsiTheme="minorHAnsi" w:cstheme="minorHAnsi"/>
                <w:color w:val="000000"/>
                <w:sz w:val="16"/>
                <w:szCs w:val="16"/>
                <w:lang w:val="en-US"/>
              </w:rPr>
            </w:pPr>
            <w:r w:rsidRPr="00ED4D49">
              <w:rPr>
                <w:rFonts w:asciiTheme="minorHAnsi" w:hAnsiTheme="minorHAnsi" w:cstheme="minorHAnsi"/>
                <w:color w:val="000000"/>
                <w:sz w:val="16"/>
                <w:szCs w:val="16"/>
                <w:lang w:val="en-US"/>
              </w:rPr>
              <w:t xml:space="preserve">Ongoing. Tender documents have not been prepared. According to the available information, the wastewater of </w:t>
            </w:r>
            <w:proofErr w:type="spellStart"/>
            <w:r w:rsidRPr="00ED4D49">
              <w:rPr>
                <w:rFonts w:asciiTheme="minorHAnsi" w:hAnsiTheme="minorHAnsi" w:cstheme="minorHAnsi"/>
                <w:color w:val="000000"/>
                <w:sz w:val="16"/>
                <w:szCs w:val="16"/>
                <w:lang w:val="en-US"/>
              </w:rPr>
              <w:t>Usora</w:t>
            </w:r>
            <w:proofErr w:type="spellEnd"/>
            <w:r w:rsidRPr="00ED4D49">
              <w:rPr>
                <w:rFonts w:asciiTheme="minorHAnsi" w:hAnsiTheme="minorHAnsi" w:cstheme="minorHAnsi"/>
                <w:color w:val="000000"/>
                <w:sz w:val="16"/>
                <w:szCs w:val="16"/>
                <w:lang w:val="en-US"/>
              </w:rPr>
              <w:t xml:space="preserve"> will be directed to WWTP </w:t>
            </w:r>
            <w:proofErr w:type="spellStart"/>
            <w:r w:rsidRPr="00ED4D49">
              <w:rPr>
                <w:rFonts w:asciiTheme="minorHAnsi" w:hAnsiTheme="minorHAnsi" w:cstheme="minorHAnsi"/>
                <w:color w:val="000000"/>
                <w:sz w:val="16"/>
                <w:szCs w:val="16"/>
                <w:lang w:val="en-US"/>
              </w:rPr>
              <w:t>Tešanj</w:t>
            </w:r>
            <w:proofErr w:type="spellEnd"/>
            <w:r w:rsidRPr="00ED4D49">
              <w:rPr>
                <w:rFonts w:asciiTheme="minorHAnsi" w:hAnsiTheme="minorHAnsi" w:cstheme="minorHAnsi"/>
                <w:color w:val="000000"/>
                <w:sz w:val="16"/>
                <w:szCs w:val="16"/>
                <w:lang w:val="en-US"/>
              </w:rPr>
              <w:t xml:space="preserve">. </w:t>
            </w:r>
          </w:p>
        </w:tc>
      </w:tr>
      <w:tr w:rsidR="009E6567" w:rsidRPr="00ED4D49" w14:paraId="1E40403F" w14:textId="77777777" w:rsidTr="009E6567">
        <w:trPr>
          <w:trHeight w:val="284"/>
        </w:trPr>
        <w:tc>
          <w:tcPr>
            <w:tcW w:w="1696" w:type="dxa"/>
          </w:tcPr>
          <w:p w14:paraId="2103B10D" w14:textId="60B37833" w:rsidR="009E6567" w:rsidRPr="00ED4D49" w:rsidRDefault="009E6567" w:rsidP="009E6567">
            <w:pPr>
              <w:autoSpaceDE w:val="0"/>
              <w:autoSpaceDN w:val="0"/>
              <w:adjustRightInd w:val="0"/>
              <w:spacing w:before="0"/>
              <w:rPr>
                <w:rFonts w:asciiTheme="minorHAnsi" w:hAnsiTheme="minorHAnsi" w:cstheme="minorHAnsi"/>
                <w:color w:val="000000"/>
                <w:sz w:val="16"/>
                <w:szCs w:val="16"/>
                <w:lang w:val="en-US"/>
              </w:rPr>
            </w:pPr>
            <w:r w:rsidRPr="00ED4D49">
              <w:rPr>
                <w:rFonts w:asciiTheme="minorHAnsi" w:hAnsiTheme="minorHAnsi" w:cstheme="minorHAnsi"/>
                <w:color w:val="000000"/>
                <w:sz w:val="16"/>
                <w:szCs w:val="16"/>
                <w:lang w:val="en-US"/>
              </w:rPr>
              <w:t xml:space="preserve">Velika </w:t>
            </w:r>
            <w:proofErr w:type="spellStart"/>
            <w:r w:rsidRPr="00ED4D49">
              <w:rPr>
                <w:rFonts w:asciiTheme="minorHAnsi" w:hAnsiTheme="minorHAnsi" w:cstheme="minorHAnsi"/>
                <w:color w:val="000000"/>
                <w:sz w:val="16"/>
                <w:szCs w:val="16"/>
                <w:lang w:val="en-US"/>
              </w:rPr>
              <w:t>Kladusa</w:t>
            </w:r>
            <w:proofErr w:type="spellEnd"/>
          </w:p>
        </w:tc>
        <w:tc>
          <w:tcPr>
            <w:tcW w:w="1276" w:type="dxa"/>
          </w:tcPr>
          <w:p w14:paraId="25AC0F86" w14:textId="77777777" w:rsidR="009E6567" w:rsidRPr="00ED4D49" w:rsidRDefault="009E6567" w:rsidP="009E6567">
            <w:pPr>
              <w:autoSpaceDE w:val="0"/>
              <w:autoSpaceDN w:val="0"/>
              <w:adjustRightInd w:val="0"/>
              <w:spacing w:before="0"/>
              <w:jc w:val="center"/>
              <w:rPr>
                <w:rFonts w:asciiTheme="minorHAnsi" w:hAnsiTheme="minorHAnsi" w:cstheme="minorHAnsi"/>
                <w:color w:val="000000"/>
                <w:sz w:val="16"/>
                <w:szCs w:val="16"/>
                <w:lang w:val="en-US"/>
              </w:rPr>
            </w:pPr>
            <w:r w:rsidRPr="00ED4D49">
              <w:rPr>
                <w:rFonts w:asciiTheme="minorHAnsi" w:hAnsiTheme="minorHAnsi" w:cstheme="minorHAnsi"/>
                <w:color w:val="000000"/>
                <w:sz w:val="16"/>
                <w:szCs w:val="16"/>
                <w:lang w:val="en-US"/>
              </w:rPr>
              <w:t>15,000</w:t>
            </w:r>
          </w:p>
        </w:tc>
        <w:tc>
          <w:tcPr>
            <w:tcW w:w="1701" w:type="dxa"/>
          </w:tcPr>
          <w:p w14:paraId="54DC4C50" w14:textId="77777777" w:rsidR="009E6567" w:rsidRPr="00ED4D49" w:rsidRDefault="009E6567" w:rsidP="009E6567">
            <w:pPr>
              <w:autoSpaceDE w:val="0"/>
              <w:autoSpaceDN w:val="0"/>
              <w:adjustRightInd w:val="0"/>
              <w:spacing w:before="0"/>
              <w:rPr>
                <w:rFonts w:asciiTheme="minorHAnsi" w:hAnsiTheme="minorHAnsi" w:cstheme="minorHAnsi"/>
                <w:color w:val="000000"/>
                <w:sz w:val="16"/>
                <w:szCs w:val="16"/>
                <w:lang w:val="en-US"/>
              </w:rPr>
            </w:pPr>
            <w:r w:rsidRPr="00ED4D49">
              <w:rPr>
                <w:rFonts w:asciiTheme="minorHAnsi" w:hAnsiTheme="minorHAnsi" w:cstheme="minorHAnsi"/>
                <w:color w:val="000000"/>
                <w:sz w:val="16"/>
                <w:szCs w:val="16"/>
                <w:lang w:val="en-US"/>
              </w:rPr>
              <w:t>II</w:t>
            </w:r>
          </w:p>
        </w:tc>
        <w:tc>
          <w:tcPr>
            <w:tcW w:w="4615" w:type="dxa"/>
          </w:tcPr>
          <w:p w14:paraId="22688197" w14:textId="74172D58" w:rsidR="009E6567" w:rsidRPr="00ED4D49" w:rsidRDefault="009E6567" w:rsidP="009E6567">
            <w:pPr>
              <w:autoSpaceDE w:val="0"/>
              <w:autoSpaceDN w:val="0"/>
              <w:adjustRightInd w:val="0"/>
              <w:spacing w:before="0"/>
              <w:rPr>
                <w:rFonts w:asciiTheme="minorHAnsi" w:hAnsiTheme="minorHAnsi" w:cstheme="minorHAnsi"/>
                <w:color w:val="000000"/>
                <w:sz w:val="16"/>
                <w:szCs w:val="16"/>
                <w:lang w:val="en-US"/>
              </w:rPr>
            </w:pPr>
            <w:r w:rsidRPr="00ED4D49">
              <w:rPr>
                <w:rFonts w:asciiTheme="minorHAnsi" w:hAnsiTheme="minorHAnsi" w:cstheme="minorHAnsi"/>
                <w:color w:val="000000"/>
                <w:sz w:val="16"/>
                <w:szCs w:val="16"/>
                <w:lang w:val="en-US"/>
              </w:rPr>
              <w:t>Ongoing.</w:t>
            </w:r>
            <w:r w:rsidRPr="00ED4D49">
              <w:rPr>
                <w:rFonts w:asciiTheme="minorHAnsi" w:hAnsiTheme="minorHAnsi" w:cstheme="minorHAnsi"/>
                <w:sz w:val="16"/>
                <w:szCs w:val="16"/>
                <w:lang w:val="en-US"/>
              </w:rPr>
              <w:t xml:space="preserve"> Tender documentation for WWTP construction is ready. </w:t>
            </w:r>
            <w:r w:rsidR="00071E57" w:rsidRPr="00ED4D49">
              <w:rPr>
                <w:rFonts w:asciiTheme="minorHAnsi" w:hAnsiTheme="minorHAnsi" w:cstheme="minorHAnsi"/>
                <w:sz w:val="16"/>
                <w:szCs w:val="16"/>
                <w:lang w:val="en-US"/>
              </w:rPr>
              <w:t>L</w:t>
            </w:r>
            <w:r w:rsidRPr="00ED4D49">
              <w:rPr>
                <w:rFonts w:asciiTheme="minorHAnsi" w:hAnsiTheme="minorHAnsi" w:cstheme="minorHAnsi"/>
                <w:sz w:val="16"/>
                <w:szCs w:val="16"/>
                <w:lang w:val="en-US"/>
              </w:rPr>
              <w:t>ack of funds.</w:t>
            </w:r>
          </w:p>
        </w:tc>
      </w:tr>
      <w:tr w:rsidR="009E6567" w:rsidRPr="00ED4D49" w14:paraId="67480F13" w14:textId="77777777" w:rsidTr="009E6567">
        <w:trPr>
          <w:trHeight w:val="284"/>
        </w:trPr>
        <w:tc>
          <w:tcPr>
            <w:tcW w:w="1696" w:type="dxa"/>
          </w:tcPr>
          <w:p w14:paraId="21ED61D1" w14:textId="77777777" w:rsidR="009E6567" w:rsidRPr="00ED4D49" w:rsidRDefault="009E6567" w:rsidP="009E6567">
            <w:pPr>
              <w:autoSpaceDE w:val="0"/>
              <w:autoSpaceDN w:val="0"/>
              <w:adjustRightInd w:val="0"/>
              <w:spacing w:before="0"/>
              <w:rPr>
                <w:rFonts w:asciiTheme="minorHAnsi" w:hAnsiTheme="minorHAnsi" w:cstheme="minorHAnsi"/>
                <w:color w:val="000000"/>
                <w:sz w:val="16"/>
                <w:szCs w:val="16"/>
                <w:lang w:val="en-US"/>
              </w:rPr>
            </w:pPr>
            <w:proofErr w:type="spellStart"/>
            <w:r w:rsidRPr="00ED4D49">
              <w:rPr>
                <w:rFonts w:asciiTheme="minorHAnsi" w:hAnsiTheme="minorHAnsi" w:cstheme="minorHAnsi"/>
                <w:color w:val="000000"/>
                <w:sz w:val="16"/>
                <w:szCs w:val="16"/>
                <w:lang w:val="en-US"/>
              </w:rPr>
              <w:t>Jajce</w:t>
            </w:r>
            <w:proofErr w:type="spellEnd"/>
          </w:p>
        </w:tc>
        <w:tc>
          <w:tcPr>
            <w:tcW w:w="1276" w:type="dxa"/>
          </w:tcPr>
          <w:p w14:paraId="2ACE59DB" w14:textId="77777777" w:rsidR="009E6567" w:rsidRPr="00ED4D49" w:rsidRDefault="009E6567" w:rsidP="009E6567">
            <w:pPr>
              <w:autoSpaceDE w:val="0"/>
              <w:autoSpaceDN w:val="0"/>
              <w:adjustRightInd w:val="0"/>
              <w:spacing w:before="0"/>
              <w:jc w:val="center"/>
              <w:rPr>
                <w:rFonts w:asciiTheme="minorHAnsi" w:hAnsiTheme="minorHAnsi" w:cstheme="minorHAnsi"/>
                <w:color w:val="000000"/>
                <w:sz w:val="16"/>
                <w:szCs w:val="16"/>
                <w:lang w:val="en-US"/>
              </w:rPr>
            </w:pPr>
            <w:r w:rsidRPr="00ED4D49">
              <w:rPr>
                <w:rFonts w:asciiTheme="minorHAnsi" w:hAnsiTheme="minorHAnsi" w:cstheme="minorHAnsi"/>
                <w:color w:val="000000"/>
                <w:sz w:val="16"/>
                <w:szCs w:val="16"/>
                <w:lang w:val="en-US"/>
              </w:rPr>
              <w:t>6,000</w:t>
            </w:r>
          </w:p>
        </w:tc>
        <w:tc>
          <w:tcPr>
            <w:tcW w:w="1701" w:type="dxa"/>
          </w:tcPr>
          <w:p w14:paraId="4959F29C" w14:textId="77777777" w:rsidR="009E6567" w:rsidRPr="00ED4D49" w:rsidRDefault="009E6567" w:rsidP="009E6567">
            <w:pPr>
              <w:autoSpaceDE w:val="0"/>
              <w:autoSpaceDN w:val="0"/>
              <w:adjustRightInd w:val="0"/>
              <w:spacing w:before="0"/>
              <w:rPr>
                <w:rFonts w:asciiTheme="minorHAnsi" w:hAnsiTheme="minorHAnsi" w:cstheme="minorHAnsi"/>
                <w:color w:val="000000"/>
                <w:sz w:val="16"/>
                <w:szCs w:val="16"/>
                <w:lang w:val="en-US"/>
              </w:rPr>
            </w:pPr>
            <w:r w:rsidRPr="00ED4D49">
              <w:rPr>
                <w:rFonts w:asciiTheme="minorHAnsi" w:hAnsiTheme="minorHAnsi" w:cstheme="minorHAnsi"/>
                <w:color w:val="000000"/>
                <w:sz w:val="16"/>
                <w:szCs w:val="16"/>
                <w:lang w:val="en-US"/>
              </w:rPr>
              <w:t>II</w:t>
            </w:r>
          </w:p>
        </w:tc>
        <w:tc>
          <w:tcPr>
            <w:tcW w:w="4615" w:type="dxa"/>
          </w:tcPr>
          <w:p w14:paraId="1ABD3286" w14:textId="06357997" w:rsidR="009E6567" w:rsidRPr="00ED4D49" w:rsidRDefault="009E6567" w:rsidP="009E6567">
            <w:pPr>
              <w:autoSpaceDE w:val="0"/>
              <w:autoSpaceDN w:val="0"/>
              <w:adjustRightInd w:val="0"/>
              <w:spacing w:before="0"/>
              <w:rPr>
                <w:rFonts w:asciiTheme="minorHAnsi" w:hAnsiTheme="minorHAnsi" w:cstheme="minorHAnsi"/>
                <w:color w:val="000000"/>
                <w:sz w:val="16"/>
                <w:szCs w:val="16"/>
                <w:lang w:val="en-US"/>
              </w:rPr>
            </w:pPr>
            <w:r w:rsidRPr="00ED4D49">
              <w:rPr>
                <w:rFonts w:asciiTheme="minorHAnsi" w:hAnsiTheme="minorHAnsi" w:cstheme="minorHAnsi"/>
                <w:color w:val="000000"/>
                <w:sz w:val="16"/>
                <w:szCs w:val="16"/>
                <w:lang w:val="en-US"/>
              </w:rPr>
              <w:t xml:space="preserve">Ongoing. Tender documents were drafted in 2016. Lack of funds for implementation of </w:t>
            </w:r>
            <w:r w:rsidR="00071E57" w:rsidRPr="00ED4D49">
              <w:rPr>
                <w:rFonts w:asciiTheme="minorHAnsi" w:hAnsiTheme="minorHAnsi" w:cstheme="minorHAnsi"/>
                <w:color w:val="000000"/>
                <w:sz w:val="16"/>
                <w:szCs w:val="16"/>
                <w:lang w:val="en-US"/>
              </w:rPr>
              <w:t xml:space="preserve">the </w:t>
            </w:r>
            <w:r w:rsidRPr="00ED4D49">
              <w:rPr>
                <w:rFonts w:asciiTheme="minorHAnsi" w:hAnsiTheme="minorHAnsi" w:cstheme="minorHAnsi"/>
                <w:color w:val="000000"/>
                <w:sz w:val="16"/>
                <w:szCs w:val="16"/>
                <w:lang w:val="en-US"/>
              </w:rPr>
              <w:t xml:space="preserve">tender procedure. </w:t>
            </w:r>
          </w:p>
        </w:tc>
      </w:tr>
    </w:tbl>
    <w:p w14:paraId="2B52FFEA" w14:textId="77777777" w:rsidR="009E6567" w:rsidRPr="00ED4D49" w:rsidRDefault="009E6567" w:rsidP="008C16E9">
      <w:pPr>
        <w:rPr>
          <w:lang w:val="en-US"/>
        </w:rPr>
      </w:pPr>
    </w:p>
    <w:p w14:paraId="53EC75FF" w14:textId="27714CA4" w:rsidR="008C16E9" w:rsidRPr="00ED4D49" w:rsidRDefault="008C16E9" w:rsidP="00071E57">
      <w:pPr>
        <w:jc w:val="both"/>
        <w:rPr>
          <w:lang w:val="en-US"/>
        </w:rPr>
      </w:pPr>
      <w:r w:rsidRPr="00ED4D49">
        <w:rPr>
          <w:lang w:val="en-US"/>
        </w:rPr>
        <w:t xml:space="preserve">There are 7 monitoring stations located on the Sava River, two in FBiH (settlements Svilaj and </w:t>
      </w:r>
      <w:proofErr w:type="spellStart"/>
      <w:r w:rsidRPr="00ED4D49">
        <w:rPr>
          <w:lang w:val="en-US"/>
        </w:rPr>
        <w:t>Vidovice</w:t>
      </w:r>
      <w:proofErr w:type="spellEnd"/>
      <w:r w:rsidRPr="00ED4D49">
        <w:rPr>
          <w:lang w:val="en-US"/>
        </w:rPr>
        <w:t>), two in RS (settlements Ra</w:t>
      </w:r>
      <w:r w:rsidR="001A6DE7" w:rsidRPr="00ED4D49">
        <w:rPr>
          <w:lang w:val="en-US"/>
        </w:rPr>
        <w:t>c</w:t>
      </w:r>
      <w:r w:rsidRPr="00ED4D49">
        <w:rPr>
          <w:lang w:val="en-US"/>
        </w:rPr>
        <w:t xml:space="preserve">a and </w:t>
      </w:r>
      <w:proofErr w:type="spellStart"/>
      <w:r w:rsidRPr="00ED4D49">
        <w:rPr>
          <w:lang w:val="en-US"/>
        </w:rPr>
        <w:t>Gradi</w:t>
      </w:r>
      <w:r w:rsidR="001A6DE7" w:rsidRPr="00ED4D49">
        <w:rPr>
          <w:lang w:val="en-US"/>
        </w:rPr>
        <w:t>s</w:t>
      </w:r>
      <w:r w:rsidRPr="00ED4D49">
        <w:rPr>
          <w:lang w:val="en-US"/>
        </w:rPr>
        <w:t>ka</w:t>
      </w:r>
      <w:proofErr w:type="spellEnd"/>
      <w:r w:rsidRPr="00ED4D49">
        <w:rPr>
          <w:lang w:val="en-US"/>
        </w:rPr>
        <w:t>) and t</w:t>
      </w:r>
      <w:r w:rsidR="00071E57" w:rsidRPr="00ED4D49">
        <w:rPr>
          <w:lang w:val="en-US"/>
        </w:rPr>
        <w:t>h</w:t>
      </w:r>
      <w:r w:rsidRPr="00ED4D49">
        <w:rPr>
          <w:lang w:val="en-US"/>
        </w:rPr>
        <w:t xml:space="preserve">ree in </w:t>
      </w:r>
      <w:r w:rsidR="00071E57" w:rsidRPr="00ED4D49">
        <w:rPr>
          <w:lang w:val="en-US"/>
        </w:rPr>
        <w:t>BD</w:t>
      </w:r>
      <w:r w:rsidRPr="00ED4D49">
        <w:rPr>
          <w:lang w:val="en-US"/>
        </w:rPr>
        <w:t>. The frequency of the surface water quality testing at selected reference stations is presented in the following table</w:t>
      </w:r>
      <w:r w:rsidR="00071E57" w:rsidRPr="00ED4D49">
        <w:rPr>
          <w:lang w:val="en-US"/>
        </w:rPr>
        <w:t>.</w:t>
      </w:r>
    </w:p>
    <w:p w14:paraId="31779D9E" w14:textId="054AEF38" w:rsidR="008C16E9" w:rsidRPr="00ED4D49" w:rsidRDefault="008C16E9" w:rsidP="008C16E9">
      <w:pPr>
        <w:pStyle w:val="Caption"/>
        <w:rPr>
          <w:b w:val="0"/>
          <w:bCs w:val="0"/>
          <w:i/>
        </w:rPr>
      </w:pPr>
      <w:bookmarkStart w:id="71" w:name="tb43"/>
      <w:bookmarkStart w:id="72" w:name="_Toc28188030"/>
      <w:r w:rsidRPr="00ED4D49">
        <w:rPr>
          <w:b w:val="0"/>
          <w:i/>
          <w:color w:val="2F5496"/>
          <w:sz w:val="16"/>
          <w:szCs w:val="16"/>
        </w:rPr>
        <w:t xml:space="preserve">Table </w:t>
      </w:r>
      <w:r w:rsidRPr="00ED4D49">
        <w:rPr>
          <w:b w:val="0"/>
          <w:i/>
          <w:color w:val="2F5496"/>
          <w:sz w:val="16"/>
          <w:szCs w:val="16"/>
        </w:rPr>
        <w:fldChar w:fldCharType="begin"/>
      </w:r>
      <w:r w:rsidRPr="00ED4D49">
        <w:rPr>
          <w:b w:val="0"/>
          <w:i/>
          <w:color w:val="2F5496"/>
          <w:sz w:val="16"/>
          <w:szCs w:val="16"/>
        </w:rPr>
        <w:instrText xml:space="preserve"> SEQ Table \* ARABIC </w:instrText>
      </w:r>
      <w:r w:rsidRPr="00ED4D49">
        <w:rPr>
          <w:b w:val="0"/>
          <w:i/>
          <w:color w:val="2F5496"/>
          <w:sz w:val="16"/>
          <w:szCs w:val="16"/>
        </w:rPr>
        <w:fldChar w:fldCharType="separate"/>
      </w:r>
      <w:r w:rsidR="00F60130" w:rsidRPr="00ED4D49">
        <w:rPr>
          <w:b w:val="0"/>
          <w:i/>
          <w:noProof/>
          <w:color w:val="2F5496"/>
          <w:sz w:val="16"/>
          <w:szCs w:val="16"/>
        </w:rPr>
        <w:t>5</w:t>
      </w:r>
      <w:r w:rsidRPr="00ED4D49">
        <w:rPr>
          <w:b w:val="0"/>
          <w:i/>
          <w:color w:val="2F5496"/>
          <w:sz w:val="16"/>
          <w:szCs w:val="16"/>
        </w:rPr>
        <w:fldChar w:fldCharType="end"/>
      </w:r>
      <w:bookmarkEnd w:id="71"/>
      <w:r w:rsidRPr="00ED4D49">
        <w:rPr>
          <w:b w:val="0"/>
          <w:i/>
          <w:color w:val="2F5496"/>
          <w:sz w:val="16"/>
          <w:szCs w:val="16"/>
        </w:rPr>
        <w:t>:</w:t>
      </w:r>
      <w:r w:rsidRPr="00ED4D49">
        <w:rPr>
          <w:i/>
        </w:rPr>
        <w:t xml:space="preserve"> </w:t>
      </w:r>
      <w:r w:rsidRPr="00ED4D49">
        <w:rPr>
          <w:b w:val="0"/>
          <w:bCs w:val="0"/>
          <w:i/>
          <w:color w:val="auto"/>
          <w:sz w:val="16"/>
          <w:szCs w:val="16"/>
        </w:rPr>
        <w:t>Frequency of Sava River Surface Water Quality Testing at Selected Reference Stations in BiH</w:t>
      </w:r>
      <w:bookmarkEnd w:id="72"/>
    </w:p>
    <w:tbl>
      <w:tblPr>
        <w:tblStyle w:val="TableGridLight"/>
        <w:tblW w:w="5000" w:type="pct"/>
        <w:tblLook w:val="04A0" w:firstRow="1" w:lastRow="0" w:firstColumn="1" w:lastColumn="0" w:noHBand="0" w:noVBand="1"/>
      </w:tblPr>
      <w:tblGrid>
        <w:gridCol w:w="1795"/>
        <w:gridCol w:w="3035"/>
        <w:gridCol w:w="829"/>
        <w:gridCol w:w="864"/>
        <w:gridCol w:w="829"/>
        <w:gridCol w:w="829"/>
        <w:gridCol w:w="829"/>
      </w:tblGrid>
      <w:tr w:rsidR="008C16E9" w:rsidRPr="00ED4D49" w14:paraId="5639D60D" w14:textId="77777777" w:rsidTr="00BA236B">
        <w:trPr>
          <w:tblHeader/>
        </w:trPr>
        <w:tc>
          <w:tcPr>
            <w:tcW w:w="1902" w:type="dxa"/>
            <w:vMerge w:val="restart"/>
          </w:tcPr>
          <w:p w14:paraId="27B1D9F4" w14:textId="77777777" w:rsidR="008C16E9" w:rsidRPr="00ED4D49" w:rsidRDefault="008C16E9" w:rsidP="00BA236B">
            <w:pPr>
              <w:spacing w:before="0" w:after="0"/>
              <w:ind w:left="144" w:right="144"/>
              <w:jc w:val="center"/>
              <w:rPr>
                <w:rFonts w:cs="Calibri"/>
                <w:color w:val="336699"/>
                <w:sz w:val="16"/>
                <w:szCs w:val="16"/>
                <w:lang w:val="en-US"/>
              </w:rPr>
            </w:pPr>
            <w:r w:rsidRPr="00ED4D49">
              <w:rPr>
                <w:rFonts w:cs="Calibri"/>
                <w:color w:val="336699"/>
                <w:sz w:val="16"/>
                <w:szCs w:val="16"/>
                <w:lang w:val="en-US"/>
              </w:rPr>
              <w:t>Water body code/TNMN code</w:t>
            </w:r>
          </w:p>
        </w:tc>
        <w:tc>
          <w:tcPr>
            <w:tcW w:w="3373" w:type="dxa"/>
            <w:vMerge w:val="restart"/>
          </w:tcPr>
          <w:p w14:paraId="6D0323D4" w14:textId="5E54734F" w:rsidR="008C16E9" w:rsidRPr="00ED4D49" w:rsidRDefault="008C16E9" w:rsidP="00BA236B">
            <w:pPr>
              <w:spacing w:before="0" w:after="0"/>
              <w:ind w:left="144" w:right="144"/>
              <w:jc w:val="center"/>
              <w:rPr>
                <w:rFonts w:cs="Calibri"/>
                <w:color w:val="336699"/>
                <w:sz w:val="16"/>
                <w:szCs w:val="16"/>
                <w:lang w:val="en-US"/>
              </w:rPr>
            </w:pPr>
            <w:r w:rsidRPr="00ED4D49">
              <w:rPr>
                <w:rFonts w:cs="Calibri"/>
                <w:color w:val="336699"/>
                <w:sz w:val="16"/>
                <w:szCs w:val="16"/>
                <w:lang w:val="en-US"/>
              </w:rPr>
              <w:t>Watercourse name</w:t>
            </w:r>
            <w:r w:rsidR="00BA236B" w:rsidRPr="00ED4D49">
              <w:rPr>
                <w:rFonts w:cs="Calibri"/>
                <w:color w:val="336699"/>
                <w:sz w:val="16"/>
                <w:szCs w:val="16"/>
                <w:lang w:val="en-US"/>
              </w:rPr>
              <w:t>/</w:t>
            </w:r>
          </w:p>
          <w:p w14:paraId="2C827314" w14:textId="41ECC354" w:rsidR="008C16E9" w:rsidRPr="00ED4D49" w:rsidRDefault="00BA236B" w:rsidP="00BA236B">
            <w:pPr>
              <w:spacing w:before="0" w:after="0"/>
              <w:ind w:left="144" w:right="144"/>
              <w:jc w:val="center"/>
              <w:rPr>
                <w:rFonts w:cs="Calibri"/>
                <w:color w:val="336699"/>
                <w:sz w:val="16"/>
                <w:szCs w:val="16"/>
                <w:lang w:val="en-US"/>
              </w:rPr>
            </w:pPr>
            <w:r w:rsidRPr="00ED4D49">
              <w:rPr>
                <w:rFonts w:cs="Calibri"/>
                <w:color w:val="336699"/>
                <w:sz w:val="16"/>
                <w:szCs w:val="16"/>
                <w:lang w:val="en-US"/>
              </w:rPr>
              <w:t>Sampling point</w:t>
            </w:r>
            <w:r w:rsidR="008C16E9" w:rsidRPr="00ED4D49">
              <w:rPr>
                <w:rFonts w:cs="Calibri"/>
                <w:color w:val="336699"/>
                <w:sz w:val="16"/>
                <w:szCs w:val="16"/>
                <w:lang w:val="en-US"/>
              </w:rPr>
              <w:t>/Entity</w:t>
            </w:r>
          </w:p>
        </w:tc>
        <w:tc>
          <w:tcPr>
            <w:tcW w:w="3735" w:type="dxa"/>
            <w:gridSpan w:val="5"/>
          </w:tcPr>
          <w:p w14:paraId="238591DF" w14:textId="77777777" w:rsidR="008C16E9" w:rsidRPr="00ED4D49" w:rsidRDefault="008C16E9" w:rsidP="00BA236B">
            <w:pPr>
              <w:spacing w:before="0" w:after="0"/>
              <w:ind w:left="144" w:right="144"/>
              <w:jc w:val="center"/>
              <w:rPr>
                <w:rFonts w:cs="Calibri"/>
                <w:color w:val="336699"/>
                <w:sz w:val="16"/>
                <w:szCs w:val="16"/>
                <w:lang w:val="en-US"/>
              </w:rPr>
            </w:pPr>
            <w:r w:rsidRPr="00ED4D49">
              <w:rPr>
                <w:rFonts w:cs="Calibri"/>
                <w:color w:val="336699"/>
                <w:sz w:val="16"/>
                <w:szCs w:val="16"/>
                <w:lang w:val="en-US"/>
              </w:rPr>
              <w:t>Number of tests</w:t>
            </w:r>
          </w:p>
        </w:tc>
      </w:tr>
      <w:tr w:rsidR="008C16E9" w:rsidRPr="00ED4D49" w14:paraId="38B4C788" w14:textId="77777777" w:rsidTr="00BA236B">
        <w:trPr>
          <w:tblHeader/>
        </w:trPr>
        <w:tc>
          <w:tcPr>
            <w:tcW w:w="1902" w:type="dxa"/>
            <w:vMerge/>
          </w:tcPr>
          <w:p w14:paraId="03D599DA" w14:textId="77777777" w:rsidR="008C16E9" w:rsidRPr="00ED4D49" w:rsidRDefault="008C16E9" w:rsidP="00BA236B">
            <w:pPr>
              <w:spacing w:before="0" w:after="0"/>
              <w:ind w:left="144" w:right="144"/>
              <w:jc w:val="both"/>
              <w:rPr>
                <w:rFonts w:cs="Calibri"/>
                <w:color w:val="336699"/>
                <w:sz w:val="16"/>
                <w:szCs w:val="16"/>
                <w:lang w:val="en-US"/>
              </w:rPr>
            </w:pPr>
          </w:p>
        </w:tc>
        <w:tc>
          <w:tcPr>
            <w:tcW w:w="3373" w:type="dxa"/>
            <w:vMerge/>
          </w:tcPr>
          <w:p w14:paraId="347BED9A" w14:textId="77777777" w:rsidR="008C16E9" w:rsidRPr="00ED4D49" w:rsidRDefault="008C16E9" w:rsidP="00BA236B">
            <w:pPr>
              <w:spacing w:before="0" w:after="0"/>
              <w:ind w:left="144" w:right="144"/>
              <w:jc w:val="both"/>
              <w:rPr>
                <w:rFonts w:cs="Calibri"/>
                <w:color w:val="336699"/>
                <w:sz w:val="16"/>
                <w:szCs w:val="16"/>
                <w:lang w:val="en-US"/>
              </w:rPr>
            </w:pPr>
          </w:p>
        </w:tc>
        <w:tc>
          <w:tcPr>
            <w:tcW w:w="702" w:type="dxa"/>
          </w:tcPr>
          <w:p w14:paraId="115709A3" w14:textId="77777777" w:rsidR="008C16E9" w:rsidRPr="00ED4D49" w:rsidRDefault="008C16E9" w:rsidP="00BA236B">
            <w:pPr>
              <w:spacing w:before="0" w:after="0"/>
              <w:ind w:left="144" w:right="144"/>
              <w:jc w:val="both"/>
              <w:rPr>
                <w:rFonts w:cs="Calibri"/>
                <w:color w:val="336699"/>
                <w:sz w:val="16"/>
                <w:szCs w:val="16"/>
                <w:lang w:val="en-US"/>
              </w:rPr>
            </w:pPr>
            <w:r w:rsidRPr="00ED4D49">
              <w:rPr>
                <w:rFonts w:cs="Calibri"/>
                <w:color w:val="336699"/>
                <w:sz w:val="16"/>
                <w:szCs w:val="16"/>
                <w:lang w:val="en-US"/>
              </w:rPr>
              <w:t>2013</w:t>
            </w:r>
          </w:p>
        </w:tc>
        <w:tc>
          <w:tcPr>
            <w:tcW w:w="872" w:type="dxa"/>
          </w:tcPr>
          <w:p w14:paraId="531959C7" w14:textId="77777777" w:rsidR="008C16E9" w:rsidRPr="00ED4D49" w:rsidRDefault="008C16E9" w:rsidP="00BA236B">
            <w:pPr>
              <w:spacing w:before="0" w:after="0"/>
              <w:ind w:left="144" w:right="144"/>
              <w:jc w:val="both"/>
              <w:rPr>
                <w:rFonts w:cs="Calibri"/>
                <w:color w:val="336699"/>
                <w:sz w:val="16"/>
                <w:szCs w:val="16"/>
                <w:lang w:val="en-US"/>
              </w:rPr>
            </w:pPr>
            <w:r w:rsidRPr="00ED4D49">
              <w:rPr>
                <w:rFonts w:cs="Calibri"/>
                <w:color w:val="336699"/>
                <w:sz w:val="16"/>
                <w:szCs w:val="16"/>
                <w:lang w:val="en-US"/>
              </w:rPr>
              <w:t>2014</w:t>
            </w:r>
          </w:p>
        </w:tc>
        <w:tc>
          <w:tcPr>
            <w:tcW w:w="702" w:type="dxa"/>
          </w:tcPr>
          <w:p w14:paraId="0E95FD8A" w14:textId="77777777" w:rsidR="008C16E9" w:rsidRPr="00ED4D49" w:rsidRDefault="008C16E9" w:rsidP="00BA236B">
            <w:pPr>
              <w:spacing w:before="0" w:after="0"/>
              <w:ind w:left="144" w:right="144"/>
              <w:jc w:val="both"/>
              <w:rPr>
                <w:rFonts w:cs="Calibri"/>
                <w:color w:val="336699"/>
                <w:sz w:val="16"/>
                <w:szCs w:val="16"/>
                <w:lang w:val="en-US"/>
              </w:rPr>
            </w:pPr>
            <w:r w:rsidRPr="00ED4D49">
              <w:rPr>
                <w:rFonts w:cs="Calibri"/>
                <w:color w:val="336699"/>
                <w:sz w:val="16"/>
                <w:szCs w:val="16"/>
                <w:lang w:val="en-US"/>
              </w:rPr>
              <w:t>2015</w:t>
            </w:r>
          </w:p>
        </w:tc>
        <w:tc>
          <w:tcPr>
            <w:tcW w:w="707" w:type="dxa"/>
          </w:tcPr>
          <w:p w14:paraId="2B2C4D3C" w14:textId="77777777" w:rsidR="008C16E9" w:rsidRPr="00ED4D49" w:rsidRDefault="008C16E9" w:rsidP="00BA236B">
            <w:pPr>
              <w:spacing w:before="0" w:after="0"/>
              <w:ind w:left="144" w:right="144"/>
              <w:jc w:val="both"/>
              <w:rPr>
                <w:rFonts w:cs="Calibri"/>
                <w:color w:val="336699"/>
                <w:sz w:val="16"/>
                <w:szCs w:val="16"/>
                <w:lang w:val="en-US"/>
              </w:rPr>
            </w:pPr>
            <w:r w:rsidRPr="00ED4D49">
              <w:rPr>
                <w:rFonts w:cs="Calibri"/>
                <w:color w:val="336699"/>
                <w:sz w:val="16"/>
                <w:szCs w:val="16"/>
                <w:lang w:val="en-US"/>
              </w:rPr>
              <w:t>2016</w:t>
            </w:r>
          </w:p>
        </w:tc>
        <w:tc>
          <w:tcPr>
            <w:tcW w:w="752" w:type="dxa"/>
          </w:tcPr>
          <w:p w14:paraId="5D9BAFD1" w14:textId="77777777" w:rsidR="008C16E9" w:rsidRPr="00ED4D49" w:rsidRDefault="008C16E9" w:rsidP="00BA236B">
            <w:pPr>
              <w:spacing w:before="0" w:after="0"/>
              <w:ind w:left="144" w:right="144"/>
              <w:jc w:val="both"/>
              <w:rPr>
                <w:rFonts w:cs="Calibri"/>
                <w:color w:val="336699"/>
                <w:sz w:val="16"/>
                <w:szCs w:val="16"/>
                <w:lang w:val="en-US"/>
              </w:rPr>
            </w:pPr>
            <w:r w:rsidRPr="00ED4D49">
              <w:rPr>
                <w:rFonts w:cs="Calibri"/>
                <w:color w:val="336699"/>
                <w:sz w:val="16"/>
                <w:szCs w:val="16"/>
                <w:lang w:val="en-US"/>
              </w:rPr>
              <w:t>2017</w:t>
            </w:r>
          </w:p>
        </w:tc>
      </w:tr>
      <w:tr w:rsidR="008C16E9" w:rsidRPr="00ED4D49" w14:paraId="5AFF6DF9" w14:textId="77777777" w:rsidTr="008C16E9">
        <w:tc>
          <w:tcPr>
            <w:tcW w:w="9010" w:type="dxa"/>
            <w:gridSpan w:val="7"/>
          </w:tcPr>
          <w:p w14:paraId="0A5787BF" w14:textId="77777777" w:rsidR="008C16E9" w:rsidRPr="00ED4D49" w:rsidRDefault="008C16E9" w:rsidP="008C16E9">
            <w:pPr>
              <w:jc w:val="center"/>
              <w:rPr>
                <w:bCs/>
                <w:color w:val="000000"/>
                <w:sz w:val="16"/>
                <w:szCs w:val="16"/>
                <w:lang w:val="en-US"/>
              </w:rPr>
            </w:pPr>
            <w:r w:rsidRPr="00ED4D49">
              <w:rPr>
                <w:bCs/>
                <w:color w:val="000000"/>
                <w:sz w:val="16"/>
                <w:szCs w:val="16"/>
                <w:lang w:val="en-US"/>
              </w:rPr>
              <w:t>Black Sea Basin-Danube Sub-basin, Sava- Drina River</w:t>
            </w:r>
          </w:p>
        </w:tc>
      </w:tr>
      <w:tr w:rsidR="008C16E9" w:rsidRPr="00ED4D49" w14:paraId="7AB142F1" w14:textId="77777777" w:rsidTr="008C16E9">
        <w:tc>
          <w:tcPr>
            <w:tcW w:w="1902" w:type="dxa"/>
          </w:tcPr>
          <w:p w14:paraId="142ABD28" w14:textId="77777777" w:rsidR="008C16E9" w:rsidRPr="00ED4D49" w:rsidRDefault="008C16E9" w:rsidP="008C16E9">
            <w:pPr>
              <w:rPr>
                <w:rFonts w:eastAsia="Times New Roman" w:cs="Arial"/>
                <w:bCs/>
                <w:color w:val="000000"/>
                <w:sz w:val="16"/>
                <w:szCs w:val="16"/>
                <w:lang w:val="en-US"/>
              </w:rPr>
            </w:pPr>
            <w:r w:rsidRPr="00ED4D49">
              <w:rPr>
                <w:bCs/>
                <w:color w:val="000000"/>
                <w:sz w:val="16"/>
                <w:szCs w:val="16"/>
                <w:lang w:val="en-US"/>
              </w:rPr>
              <w:t>BA_SA_1</w:t>
            </w:r>
          </w:p>
        </w:tc>
        <w:tc>
          <w:tcPr>
            <w:tcW w:w="3373" w:type="dxa"/>
          </w:tcPr>
          <w:p w14:paraId="46A756E3" w14:textId="77777777" w:rsidR="008C16E9" w:rsidRPr="00ED4D49" w:rsidRDefault="008C16E9" w:rsidP="008C16E9">
            <w:pPr>
              <w:rPr>
                <w:rFonts w:eastAsia="Times New Roman" w:cs="Arial"/>
                <w:color w:val="000000"/>
                <w:sz w:val="16"/>
                <w:szCs w:val="16"/>
                <w:lang w:val="en-US"/>
              </w:rPr>
            </w:pPr>
            <w:r w:rsidRPr="00ED4D49">
              <w:rPr>
                <w:color w:val="000000"/>
                <w:sz w:val="16"/>
                <w:szCs w:val="16"/>
                <w:lang w:val="en-US"/>
              </w:rPr>
              <w:t>Sava/Svilaj/FBiH</w:t>
            </w:r>
          </w:p>
        </w:tc>
        <w:tc>
          <w:tcPr>
            <w:tcW w:w="702" w:type="dxa"/>
          </w:tcPr>
          <w:p w14:paraId="1CBD1484" w14:textId="77777777" w:rsidR="008C16E9" w:rsidRPr="00ED4D49" w:rsidRDefault="008C16E9" w:rsidP="008C16E9">
            <w:pPr>
              <w:jc w:val="center"/>
              <w:rPr>
                <w:color w:val="000000"/>
                <w:sz w:val="16"/>
                <w:szCs w:val="16"/>
                <w:lang w:val="en-US"/>
              </w:rPr>
            </w:pPr>
            <w:r w:rsidRPr="00ED4D49">
              <w:rPr>
                <w:color w:val="000000"/>
                <w:sz w:val="16"/>
                <w:szCs w:val="16"/>
                <w:lang w:val="en-US"/>
              </w:rPr>
              <w:t>4</w:t>
            </w:r>
          </w:p>
        </w:tc>
        <w:tc>
          <w:tcPr>
            <w:tcW w:w="872" w:type="dxa"/>
          </w:tcPr>
          <w:p w14:paraId="1CC8BB76" w14:textId="77777777" w:rsidR="008C16E9" w:rsidRPr="00ED4D49" w:rsidRDefault="008C16E9" w:rsidP="008C16E9">
            <w:pPr>
              <w:jc w:val="center"/>
              <w:rPr>
                <w:color w:val="000000"/>
                <w:sz w:val="16"/>
                <w:szCs w:val="16"/>
                <w:lang w:val="en-US"/>
              </w:rPr>
            </w:pPr>
            <w:r w:rsidRPr="00ED4D49">
              <w:rPr>
                <w:color w:val="000000"/>
                <w:sz w:val="16"/>
                <w:szCs w:val="16"/>
                <w:lang w:val="en-US"/>
              </w:rPr>
              <w:t>4</w:t>
            </w:r>
          </w:p>
        </w:tc>
        <w:tc>
          <w:tcPr>
            <w:tcW w:w="702" w:type="dxa"/>
          </w:tcPr>
          <w:p w14:paraId="5BCC577C" w14:textId="77777777" w:rsidR="008C16E9" w:rsidRPr="00ED4D49" w:rsidRDefault="008C16E9" w:rsidP="008C16E9">
            <w:pPr>
              <w:jc w:val="center"/>
              <w:rPr>
                <w:color w:val="000000"/>
                <w:sz w:val="16"/>
                <w:szCs w:val="16"/>
                <w:lang w:val="en-US"/>
              </w:rPr>
            </w:pPr>
            <w:r w:rsidRPr="00ED4D49">
              <w:rPr>
                <w:color w:val="000000"/>
                <w:sz w:val="16"/>
                <w:szCs w:val="16"/>
                <w:lang w:val="en-US"/>
              </w:rPr>
              <w:t>-</w:t>
            </w:r>
          </w:p>
        </w:tc>
        <w:tc>
          <w:tcPr>
            <w:tcW w:w="707" w:type="dxa"/>
          </w:tcPr>
          <w:p w14:paraId="49452409" w14:textId="77777777" w:rsidR="008C16E9" w:rsidRPr="00ED4D49" w:rsidRDefault="008C16E9" w:rsidP="008C16E9">
            <w:pPr>
              <w:jc w:val="center"/>
              <w:rPr>
                <w:color w:val="000000"/>
                <w:sz w:val="16"/>
                <w:szCs w:val="16"/>
                <w:lang w:val="en-US"/>
              </w:rPr>
            </w:pPr>
            <w:r w:rsidRPr="00ED4D49">
              <w:rPr>
                <w:color w:val="000000"/>
                <w:sz w:val="16"/>
                <w:szCs w:val="16"/>
                <w:lang w:val="en-US"/>
              </w:rPr>
              <w:t>4</w:t>
            </w:r>
          </w:p>
        </w:tc>
        <w:tc>
          <w:tcPr>
            <w:tcW w:w="752" w:type="dxa"/>
          </w:tcPr>
          <w:p w14:paraId="7C844E00" w14:textId="77777777" w:rsidR="008C16E9" w:rsidRPr="00ED4D49" w:rsidRDefault="008C16E9" w:rsidP="008C16E9">
            <w:pPr>
              <w:jc w:val="center"/>
              <w:rPr>
                <w:color w:val="000000"/>
                <w:sz w:val="16"/>
                <w:szCs w:val="16"/>
                <w:lang w:val="en-US"/>
              </w:rPr>
            </w:pPr>
            <w:r w:rsidRPr="00ED4D49">
              <w:rPr>
                <w:color w:val="000000"/>
                <w:sz w:val="16"/>
                <w:szCs w:val="16"/>
                <w:lang w:val="en-US"/>
              </w:rPr>
              <w:t>4</w:t>
            </w:r>
          </w:p>
        </w:tc>
      </w:tr>
      <w:tr w:rsidR="008C16E9" w:rsidRPr="00ED4D49" w14:paraId="60B985FE" w14:textId="77777777" w:rsidTr="008C16E9">
        <w:tc>
          <w:tcPr>
            <w:tcW w:w="1902" w:type="dxa"/>
          </w:tcPr>
          <w:p w14:paraId="7D621BF2" w14:textId="77777777" w:rsidR="008C16E9" w:rsidRPr="00ED4D49" w:rsidRDefault="008C16E9" w:rsidP="008C16E9">
            <w:pPr>
              <w:rPr>
                <w:rFonts w:eastAsia="Times New Roman" w:cs="Arial"/>
                <w:bCs/>
                <w:color w:val="000000"/>
                <w:sz w:val="16"/>
                <w:szCs w:val="16"/>
                <w:lang w:val="en-US"/>
              </w:rPr>
            </w:pPr>
            <w:r w:rsidRPr="00ED4D49">
              <w:rPr>
                <w:bCs/>
                <w:color w:val="000000"/>
                <w:sz w:val="16"/>
                <w:szCs w:val="16"/>
                <w:lang w:val="en-US"/>
              </w:rPr>
              <w:t>RS_SA_1A</w:t>
            </w:r>
          </w:p>
        </w:tc>
        <w:tc>
          <w:tcPr>
            <w:tcW w:w="3373" w:type="dxa"/>
          </w:tcPr>
          <w:p w14:paraId="37D7119E" w14:textId="22C34FD9" w:rsidR="008C16E9" w:rsidRPr="00ED4D49" w:rsidRDefault="008C16E9" w:rsidP="008C16E9">
            <w:pPr>
              <w:rPr>
                <w:rFonts w:eastAsia="Times New Roman" w:cs="Arial"/>
                <w:color w:val="000000"/>
                <w:sz w:val="16"/>
                <w:szCs w:val="16"/>
                <w:lang w:val="en-US"/>
              </w:rPr>
            </w:pPr>
            <w:r w:rsidRPr="00ED4D49">
              <w:rPr>
                <w:color w:val="000000"/>
                <w:sz w:val="16"/>
                <w:szCs w:val="16"/>
                <w:lang w:val="en-US"/>
              </w:rPr>
              <w:t>Sava/Ra</w:t>
            </w:r>
            <w:r w:rsidR="001A6DE7" w:rsidRPr="00ED4D49">
              <w:rPr>
                <w:color w:val="000000"/>
                <w:sz w:val="16"/>
                <w:szCs w:val="16"/>
                <w:lang w:val="en-US"/>
              </w:rPr>
              <w:t>c</w:t>
            </w:r>
            <w:r w:rsidRPr="00ED4D49">
              <w:rPr>
                <w:color w:val="000000"/>
                <w:sz w:val="16"/>
                <w:szCs w:val="16"/>
                <w:lang w:val="en-US"/>
              </w:rPr>
              <w:t>a/RS</w:t>
            </w:r>
          </w:p>
        </w:tc>
        <w:tc>
          <w:tcPr>
            <w:tcW w:w="702" w:type="dxa"/>
          </w:tcPr>
          <w:p w14:paraId="50CBBA3B" w14:textId="77777777" w:rsidR="008C16E9" w:rsidRPr="00ED4D49" w:rsidRDefault="008C16E9" w:rsidP="008C16E9">
            <w:pPr>
              <w:jc w:val="center"/>
              <w:rPr>
                <w:color w:val="000000"/>
                <w:sz w:val="16"/>
                <w:szCs w:val="16"/>
                <w:lang w:val="en-US"/>
              </w:rPr>
            </w:pPr>
            <w:r w:rsidRPr="00ED4D49">
              <w:rPr>
                <w:color w:val="000000"/>
                <w:sz w:val="16"/>
                <w:szCs w:val="16"/>
                <w:lang w:val="en-US"/>
              </w:rPr>
              <w:t>12</w:t>
            </w:r>
          </w:p>
        </w:tc>
        <w:tc>
          <w:tcPr>
            <w:tcW w:w="872" w:type="dxa"/>
          </w:tcPr>
          <w:p w14:paraId="32B44F7D" w14:textId="77777777" w:rsidR="008C16E9" w:rsidRPr="00ED4D49" w:rsidRDefault="008C16E9" w:rsidP="008C16E9">
            <w:pPr>
              <w:jc w:val="center"/>
              <w:rPr>
                <w:color w:val="000000"/>
                <w:sz w:val="16"/>
                <w:szCs w:val="16"/>
                <w:lang w:val="en-US"/>
              </w:rPr>
            </w:pPr>
            <w:r w:rsidRPr="00ED4D49">
              <w:rPr>
                <w:color w:val="000000"/>
                <w:sz w:val="16"/>
                <w:szCs w:val="16"/>
                <w:lang w:val="en-US"/>
              </w:rPr>
              <w:t>12</w:t>
            </w:r>
          </w:p>
        </w:tc>
        <w:tc>
          <w:tcPr>
            <w:tcW w:w="702" w:type="dxa"/>
          </w:tcPr>
          <w:p w14:paraId="4A5A3105" w14:textId="77777777" w:rsidR="008C16E9" w:rsidRPr="00ED4D49" w:rsidRDefault="008C16E9" w:rsidP="008C16E9">
            <w:pPr>
              <w:jc w:val="center"/>
              <w:rPr>
                <w:color w:val="000000"/>
                <w:sz w:val="16"/>
                <w:szCs w:val="16"/>
                <w:lang w:val="en-US"/>
              </w:rPr>
            </w:pPr>
            <w:r w:rsidRPr="00ED4D49">
              <w:rPr>
                <w:color w:val="000000"/>
                <w:sz w:val="16"/>
                <w:szCs w:val="16"/>
                <w:lang w:val="en-US"/>
              </w:rPr>
              <w:t>12</w:t>
            </w:r>
          </w:p>
        </w:tc>
        <w:tc>
          <w:tcPr>
            <w:tcW w:w="707" w:type="dxa"/>
          </w:tcPr>
          <w:p w14:paraId="01177904" w14:textId="77777777" w:rsidR="008C16E9" w:rsidRPr="00ED4D49" w:rsidRDefault="008C16E9" w:rsidP="008C16E9">
            <w:pPr>
              <w:jc w:val="center"/>
              <w:rPr>
                <w:color w:val="000000"/>
                <w:sz w:val="16"/>
                <w:szCs w:val="16"/>
                <w:lang w:val="en-US"/>
              </w:rPr>
            </w:pPr>
            <w:r w:rsidRPr="00ED4D49">
              <w:rPr>
                <w:color w:val="000000"/>
                <w:sz w:val="16"/>
                <w:szCs w:val="16"/>
                <w:lang w:val="en-US"/>
              </w:rPr>
              <w:t>12</w:t>
            </w:r>
          </w:p>
        </w:tc>
        <w:tc>
          <w:tcPr>
            <w:tcW w:w="752" w:type="dxa"/>
          </w:tcPr>
          <w:p w14:paraId="7C8A4D04" w14:textId="77777777" w:rsidR="008C16E9" w:rsidRPr="00ED4D49" w:rsidRDefault="008C16E9" w:rsidP="008C16E9">
            <w:pPr>
              <w:jc w:val="center"/>
              <w:rPr>
                <w:color w:val="000000"/>
                <w:sz w:val="16"/>
                <w:szCs w:val="16"/>
                <w:lang w:val="en-US"/>
              </w:rPr>
            </w:pPr>
            <w:r w:rsidRPr="00ED4D49">
              <w:rPr>
                <w:color w:val="000000"/>
                <w:sz w:val="16"/>
                <w:szCs w:val="16"/>
                <w:lang w:val="en-US"/>
              </w:rPr>
              <w:t>10</w:t>
            </w:r>
          </w:p>
        </w:tc>
      </w:tr>
      <w:tr w:rsidR="008C16E9" w:rsidRPr="00ED4D49" w14:paraId="3D001268" w14:textId="77777777" w:rsidTr="008C16E9">
        <w:tc>
          <w:tcPr>
            <w:tcW w:w="1902" w:type="dxa"/>
          </w:tcPr>
          <w:p w14:paraId="48564A19" w14:textId="77777777" w:rsidR="008C16E9" w:rsidRPr="00ED4D49" w:rsidRDefault="008C16E9" w:rsidP="008C16E9">
            <w:pPr>
              <w:rPr>
                <w:rFonts w:eastAsia="Times New Roman" w:cs="Arial"/>
                <w:bCs/>
                <w:color w:val="000000"/>
                <w:sz w:val="16"/>
                <w:szCs w:val="16"/>
                <w:lang w:val="en-US"/>
              </w:rPr>
            </w:pPr>
            <w:r w:rsidRPr="00ED4D49">
              <w:rPr>
                <w:bCs/>
                <w:color w:val="000000"/>
                <w:sz w:val="16"/>
                <w:szCs w:val="16"/>
                <w:lang w:val="en-US"/>
              </w:rPr>
              <w:t>BA_SA_2</w:t>
            </w:r>
          </w:p>
        </w:tc>
        <w:tc>
          <w:tcPr>
            <w:tcW w:w="3373" w:type="dxa"/>
          </w:tcPr>
          <w:p w14:paraId="31657F58" w14:textId="77777777" w:rsidR="008C16E9" w:rsidRPr="00ED4D49" w:rsidRDefault="008C16E9" w:rsidP="008C16E9">
            <w:pPr>
              <w:rPr>
                <w:rFonts w:eastAsia="Times New Roman" w:cs="Arial"/>
                <w:color w:val="000000"/>
                <w:sz w:val="16"/>
                <w:szCs w:val="16"/>
                <w:lang w:val="en-US"/>
              </w:rPr>
            </w:pPr>
            <w:r w:rsidRPr="00ED4D49">
              <w:rPr>
                <w:color w:val="000000"/>
                <w:sz w:val="16"/>
                <w:szCs w:val="16"/>
                <w:lang w:val="en-US"/>
              </w:rPr>
              <w:t>Sava/</w:t>
            </w:r>
            <w:proofErr w:type="spellStart"/>
            <w:r w:rsidRPr="00ED4D49">
              <w:rPr>
                <w:color w:val="000000"/>
                <w:sz w:val="16"/>
                <w:szCs w:val="16"/>
                <w:lang w:val="en-US"/>
              </w:rPr>
              <w:t>Vidovice</w:t>
            </w:r>
            <w:proofErr w:type="spellEnd"/>
            <w:r w:rsidRPr="00ED4D49">
              <w:rPr>
                <w:color w:val="000000"/>
                <w:sz w:val="16"/>
                <w:szCs w:val="16"/>
                <w:lang w:val="en-US"/>
              </w:rPr>
              <w:t>/FBiH</w:t>
            </w:r>
          </w:p>
        </w:tc>
        <w:tc>
          <w:tcPr>
            <w:tcW w:w="702" w:type="dxa"/>
          </w:tcPr>
          <w:p w14:paraId="1DD319C7" w14:textId="77777777" w:rsidR="008C16E9" w:rsidRPr="00ED4D49" w:rsidRDefault="008C16E9" w:rsidP="008C16E9">
            <w:pPr>
              <w:jc w:val="center"/>
              <w:rPr>
                <w:color w:val="000000"/>
                <w:sz w:val="16"/>
                <w:szCs w:val="16"/>
                <w:lang w:val="en-US"/>
              </w:rPr>
            </w:pPr>
            <w:r w:rsidRPr="00ED4D49">
              <w:rPr>
                <w:color w:val="000000"/>
                <w:sz w:val="16"/>
                <w:szCs w:val="16"/>
                <w:lang w:val="en-US"/>
              </w:rPr>
              <w:t>6</w:t>
            </w:r>
          </w:p>
        </w:tc>
        <w:tc>
          <w:tcPr>
            <w:tcW w:w="872" w:type="dxa"/>
          </w:tcPr>
          <w:p w14:paraId="4690B3B8" w14:textId="77777777" w:rsidR="008C16E9" w:rsidRPr="00ED4D49" w:rsidRDefault="008C16E9" w:rsidP="008C16E9">
            <w:pPr>
              <w:jc w:val="center"/>
              <w:rPr>
                <w:color w:val="000000"/>
                <w:sz w:val="16"/>
                <w:szCs w:val="16"/>
                <w:lang w:val="en-US"/>
              </w:rPr>
            </w:pPr>
            <w:r w:rsidRPr="00ED4D49">
              <w:rPr>
                <w:color w:val="000000"/>
                <w:sz w:val="16"/>
                <w:szCs w:val="16"/>
                <w:lang w:val="en-US"/>
              </w:rPr>
              <w:t>4</w:t>
            </w:r>
          </w:p>
        </w:tc>
        <w:tc>
          <w:tcPr>
            <w:tcW w:w="702" w:type="dxa"/>
          </w:tcPr>
          <w:p w14:paraId="384B7E2C" w14:textId="77777777" w:rsidR="008C16E9" w:rsidRPr="00ED4D49" w:rsidRDefault="008C16E9" w:rsidP="008C16E9">
            <w:pPr>
              <w:jc w:val="center"/>
              <w:rPr>
                <w:color w:val="000000"/>
                <w:sz w:val="16"/>
                <w:szCs w:val="16"/>
                <w:lang w:val="en-US"/>
              </w:rPr>
            </w:pPr>
            <w:r w:rsidRPr="00ED4D49">
              <w:rPr>
                <w:color w:val="000000"/>
                <w:sz w:val="16"/>
                <w:szCs w:val="16"/>
                <w:lang w:val="en-US"/>
              </w:rPr>
              <w:t>4</w:t>
            </w:r>
          </w:p>
        </w:tc>
        <w:tc>
          <w:tcPr>
            <w:tcW w:w="707" w:type="dxa"/>
          </w:tcPr>
          <w:p w14:paraId="43344024" w14:textId="77777777" w:rsidR="008C16E9" w:rsidRPr="00ED4D49" w:rsidRDefault="008C16E9" w:rsidP="008C16E9">
            <w:pPr>
              <w:jc w:val="center"/>
              <w:rPr>
                <w:color w:val="000000"/>
                <w:sz w:val="16"/>
                <w:szCs w:val="16"/>
                <w:lang w:val="en-US"/>
              </w:rPr>
            </w:pPr>
            <w:r w:rsidRPr="00ED4D49">
              <w:rPr>
                <w:color w:val="000000"/>
                <w:sz w:val="16"/>
                <w:szCs w:val="16"/>
                <w:lang w:val="en-US"/>
              </w:rPr>
              <w:t>4</w:t>
            </w:r>
          </w:p>
        </w:tc>
        <w:tc>
          <w:tcPr>
            <w:tcW w:w="752" w:type="dxa"/>
          </w:tcPr>
          <w:p w14:paraId="468D7CF8" w14:textId="77777777" w:rsidR="008C16E9" w:rsidRPr="00ED4D49" w:rsidRDefault="008C16E9" w:rsidP="008C16E9">
            <w:pPr>
              <w:jc w:val="center"/>
              <w:rPr>
                <w:color w:val="000000"/>
                <w:sz w:val="16"/>
                <w:szCs w:val="16"/>
                <w:lang w:val="en-US"/>
              </w:rPr>
            </w:pPr>
            <w:r w:rsidRPr="00ED4D49">
              <w:rPr>
                <w:color w:val="000000"/>
                <w:sz w:val="16"/>
                <w:szCs w:val="16"/>
                <w:lang w:val="en-US"/>
              </w:rPr>
              <w:t>4</w:t>
            </w:r>
          </w:p>
        </w:tc>
      </w:tr>
      <w:tr w:rsidR="008C16E9" w:rsidRPr="00ED4D49" w14:paraId="7797110F" w14:textId="77777777" w:rsidTr="008C16E9">
        <w:tc>
          <w:tcPr>
            <w:tcW w:w="1902" w:type="dxa"/>
          </w:tcPr>
          <w:p w14:paraId="46CEF13A" w14:textId="77777777" w:rsidR="008C16E9" w:rsidRPr="00ED4D49" w:rsidRDefault="008C16E9" w:rsidP="008C16E9">
            <w:pPr>
              <w:rPr>
                <w:rFonts w:eastAsia="Times New Roman" w:cs="Arial"/>
                <w:bCs/>
                <w:color w:val="000000"/>
                <w:sz w:val="16"/>
                <w:szCs w:val="16"/>
                <w:lang w:val="en-US"/>
              </w:rPr>
            </w:pPr>
            <w:r w:rsidRPr="00ED4D49">
              <w:rPr>
                <w:bCs/>
                <w:color w:val="000000"/>
                <w:sz w:val="16"/>
                <w:szCs w:val="16"/>
                <w:lang w:val="en-US"/>
              </w:rPr>
              <w:t>RS_SA_3</w:t>
            </w:r>
          </w:p>
        </w:tc>
        <w:tc>
          <w:tcPr>
            <w:tcW w:w="3373" w:type="dxa"/>
          </w:tcPr>
          <w:p w14:paraId="0C0928EC" w14:textId="1B5662E0" w:rsidR="008C16E9" w:rsidRPr="00ED4D49" w:rsidRDefault="008C16E9" w:rsidP="008C16E9">
            <w:pPr>
              <w:rPr>
                <w:rFonts w:eastAsia="Times New Roman" w:cs="Arial"/>
                <w:color w:val="000000"/>
                <w:sz w:val="16"/>
                <w:szCs w:val="16"/>
                <w:lang w:val="en-US"/>
              </w:rPr>
            </w:pPr>
            <w:r w:rsidRPr="00ED4D49">
              <w:rPr>
                <w:color w:val="000000"/>
                <w:sz w:val="16"/>
                <w:szCs w:val="16"/>
                <w:lang w:val="en-US"/>
              </w:rPr>
              <w:t>Sava/</w:t>
            </w:r>
            <w:proofErr w:type="spellStart"/>
            <w:r w:rsidRPr="00ED4D49">
              <w:rPr>
                <w:color w:val="000000"/>
                <w:sz w:val="16"/>
                <w:szCs w:val="16"/>
                <w:lang w:val="en-US"/>
              </w:rPr>
              <w:t>Gradi</w:t>
            </w:r>
            <w:r w:rsidR="001A6DE7" w:rsidRPr="00ED4D49">
              <w:rPr>
                <w:color w:val="000000"/>
                <w:sz w:val="16"/>
                <w:szCs w:val="16"/>
                <w:lang w:val="en-US"/>
              </w:rPr>
              <w:t>s</w:t>
            </w:r>
            <w:r w:rsidRPr="00ED4D49">
              <w:rPr>
                <w:color w:val="000000"/>
                <w:sz w:val="16"/>
                <w:szCs w:val="16"/>
                <w:lang w:val="en-US"/>
              </w:rPr>
              <w:t>ka</w:t>
            </w:r>
            <w:proofErr w:type="spellEnd"/>
            <w:r w:rsidRPr="00ED4D49">
              <w:rPr>
                <w:color w:val="000000"/>
                <w:sz w:val="16"/>
                <w:szCs w:val="16"/>
                <w:lang w:val="en-US"/>
              </w:rPr>
              <w:t>/RS</w:t>
            </w:r>
          </w:p>
        </w:tc>
        <w:tc>
          <w:tcPr>
            <w:tcW w:w="702" w:type="dxa"/>
          </w:tcPr>
          <w:p w14:paraId="567399F5" w14:textId="77777777" w:rsidR="008C16E9" w:rsidRPr="00ED4D49" w:rsidRDefault="008C16E9" w:rsidP="008C16E9">
            <w:pPr>
              <w:jc w:val="center"/>
              <w:rPr>
                <w:color w:val="000000"/>
                <w:sz w:val="16"/>
                <w:szCs w:val="16"/>
                <w:lang w:val="en-US"/>
              </w:rPr>
            </w:pPr>
            <w:r w:rsidRPr="00ED4D49">
              <w:rPr>
                <w:color w:val="000000"/>
                <w:sz w:val="16"/>
                <w:szCs w:val="16"/>
                <w:lang w:val="en-US"/>
              </w:rPr>
              <w:t>12</w:t>
            </w:r>
          </w:p>
        </w:tc>
        <w:tc>
          <w:tcPr>
            <w:tcW w:w="872" w:type="dxa"/>
          </w:tcPr>
          <w:p w14:paraId="2BE63CFF" w14:textId="77777777" w:rsidR="008C16E9" w:rsidRPr="00ED4D49" w:rsidRDefault="008C16E9" w:rsidP="008C16E9">
            <w:pPr>
              <w:jc w:val="center"/>
              <w:rPr>
                <w:color w:val="000000"/>
                <w:sz w:val="16"/>
                <w:szCs w:val="16"/>
                <w:lang w:val="en-US"/>
              </w:rPr>
            </w:pPr>
            <w:r w:rsidRPr="00ED4D49">
              <w:rPr>
                <w:color w:val="000000"/>
                <w:sz w:val="16"/>
                <w:szCs w:val="16"/>
                <w:lang w:val="en-US"/>
              </w:rPr>
              <w:t>12</w:t>
            </w:r>
          </w:p>
        </w:tc>
        <w:tc>
          <w:tcPr>
            <w:tcW w:w="702" w:type="dxa"/>
          </w:tcPr>
          <w:p w14:paraId="3ABED92E" w14:textId="77777777" w:rsidR="008C16E9" w:rsidRPr="00ED4D49" w:rsidRDefault="008C16E9" w:rsidP="008C16E9">
            <w:pPr>
              <w:jc w:val="center"/>
              <w:rPr>
                <w:color w:val="000000"/>
                <w:sz w:val="16"/>
                <w:szCs w:val="16"/>
                <w:lang w:val="en-US"/>
              </w:rPr>
            </w:pPr>
            <w:r w:rsidRPr="00ED4D49">
              <w:rPr>
                <w:color w:val="000000"/>
                <w:sz w:val="16"/>
                <w:szCs w:val="16"/>
                <w:lang w:val="en-US"/>
              </w:rPr>
              <w:t>12</w:t>
            </w:r>
          </w:p>
        </w:tc>
        <w:tc>
          <w:tcPr>
            <w:tcW w:w="707" w:type="dxa"/>
          </w:tcPr>
          <w:p w14:paraId="469E8BAF" w14:textId="77777777" w:rsidR="008C16E9" w:rsidRPr="00ED4D49" w:rsidRDefault="008C16E9" w:rsidP="008C16E9">
            <w:pPr>
              <w:jc w:val="center"/>
              <w:rPr>
                <w:color w:val="000000"/>
                <w:sz w:val="16"/>
                <w:szCs w:val="16"/>
                <w:lang w:val="en-US"/>
              </w:rPr>
            </w:pPr>
            <w:r w:rsidRPr="00ED4D49">
              <w:rPr>
                <w:color w:val="000000"/>
                <w:sz w:val="16"/>
                <w:szCs w:val="16"/>
                <w:lang w:val="en-US"/>
              </w:rPr>
              <w:t>12</w:t>
            </w:r>
          </w:p>
        </w:tc>
        <w:tc>
          <w:tcPr>
            <w:tcW w:w="752" w:type="dxa"/>
          </w:tcPr>
          <w:p w14:paraId="4B618779" w14:textId="77777777" w:rsidR="008C16E9" w:rsidRPr="00ED4D49" w:rsidRDefault="008C16E9" w:rsidP="008C16E9">
            <w:pPr>
              <w:jc w:val="center"/>
              <w:rPr>
                <w:color w:val="000000"/>
                <w:sz w:val="16"/>
                <w:szCs w:val="16"/>
                <w:lang w:val="en-US"/>
              </w:rPr>
            </w:pPr>
            <w:r w:rsidRPr="00ED4D49">
              <w:rPr>
                <w:color w:val="000000"/>
                <w:sz w:val="16"/>
                <w:szCs w:val="16"/>
                <w:lang w:val="en-US"/>
              </w:rPr>
              <w:t>10</w:t>
            </w:r>
          </w:p>
        </w:tc>
      </w:tr>
      <w:tr w:rsidR="008C16E9" w:rsidRPr="00ED4D49" w14:paraId="6FE02815" w14:textId="77777777" w:rsidTr="008C16E9">
        <w:tc>
          <w:tcPr>
            <w:tcW w:w="1902" w:type="dxa"/>
          </w:tcPr>
          <w:p w14:paraId="7976600F" w14:textId="77777777" w:rsidR="008C16E9" w:rsidRPr="00ED4D49" w:rsidRDefault="008C16E9" w:rsidP="008C16E9">
            <w:pPr>
              <w:rPr>
                <w:rFonts w:eastAsia="Times New Roman" w:cs="Arial"/>
                <w:bCs/>
                <w:color w:val="000000"/>
                <w:sz w:val="16"/>
                <w:szCs w:val="16"/>
                <w:lang w:val="en-US"/>
              </w:rPr>
            </w:pPr>
            <w:r w:rsidRPr="00ED4D49">
              <w:rPr>
                <w:bCs/>
                <w:color w:val="000000"/>
                <w:sz w:val="16"/>
                <w:szCs w:val="16"/>
                <w:lang w:val="en-US"/>
              </w:rPr>
              <w:t>T-1</w:t>
            </w:r>
          </w:p>
        </w:tc>
        <w:tc>
          <w:tcPr>
            <w:tcW w:w="3373" w:type="dxa"/>
          </w:tcPr>
          <w:p w14:paraId="4D502A24" w14:textId="34D3BC46" w:rsidR="008C16E9" w:rsidRPr="00ED4D49" w:rsidRDefault="008C16E9" w:rsidP="008C16E9">
            <w:pPr>
              <w:rPr>
                <w:rFonts w:eastAsia="Times New Roman" w:cs="Arial"/>
                <w:color w:val="000000"/>
                <w:sz w:val="16"/>
                <w:szCs w:val="16"/>
                <w:lang w:val="en-US"/>
              </w:rPr>
            </w:pPr>
            <w:r w:rsidRPr="00ED4D49">
              <w:rPr>
                <w:color w:val="000000"/>
                <w:sz w:val="16"/>
                <w:szCs w:val="16"/>
                <w:lang w:val="en-US"/>
              </w:rPr>
              <w:t>Tinja/Br</w:t>
            </w:r>
            <w:r w:rsidR="001A6DE7" w:rsidRPr="00ED4D49">
              <w:rPr>
                <w:color w:val="000000"/>
                <w:sz w:val="16"/>
                <w:szCs w:val="16"/>
                <w:lang w:val="en-US"/>
              </w:rPr>
              <w:t>c</w:t>
            </w:r>
            <w:r w:rsidRPr="00ED4D49">
              <w:rPr>
                <w:color w:val="000000"/>
                <w:sz w:val="16"/>
                <w:szCs w:val="16"/>
                <w:lang w:val="en-US"/>
              </w:rPr>
              <w:t>ko/DB</w:t>
            </w:r>
          </w:p>
        </w:tc>
        <w:tc>
          <w:tcPr>
            <w:tcW w:w="702" w:type="dxa"/>
          </w:tcPr>
          <w:p w14:paraId="176D8950" w14:textId="77777777" w:rsidR="008C16E9" w:rsidRPr="00ED4D49" w:rsidRDefault="008C16E9" w:rsidP="008C16E9">
            <w:pPr>
              <w:jc w:val="center"/>
              <w:rPr>
                <w:color w:val="000000"/>
                <w:sz w:val="16"/>
                <w:szCs w:val="16"/>
                <w:lang w:val="en-US"/>
              </w:rPr>
            </w:pPr>
            <w:r w:rsidRPr="00ED4D49">
              <w:rPr>
                <w:color w:val="000000"/>
                <w:sz w:val="16"/>
                <w:szCs w:val="16"/>
                <w:lang w:val="en-US"/>
              </w:rPr>
              <w:t>2</w:t>
            </w:r>
          </w:p>
        </w:tc>
        <w:tc>
          <w:tcPr>
            <w:tcW w:w="872" w:type="dxa"/>
          </w:tcPr>
          <w:p w14:paraId="60397A8F" w14:textId="77777777" w:rsidR="008C16E9" w:rsidRPr="00ED4D49" w:rsidRDefault="008C16E9" w:rsidP="008C16E9">
            <w:pPr>
              <w:jc w:val="center"/>
              <w:rPr>
                <w:color w:val="000000"/>
                <w:sz w:val="16"/>
                <w:szCs w:val="16"/>
                <w:lang w:val="en-US"/>
              </w:rPr>
            </w:pPr>
            <w:r w:rsidRPr="00ED4D49">
              <w:rPr>
                <w:color w:val="000000"/>
                <w:sz w:val="16"/>
                <w:szCs w:val="16"/>
                <w:lang w:val="en-US"/>
              </w:rPr>
              <w:t>2</w:t>
            </w:r>
          </w:p>
        </w:tc>
        <w:tc>
          <w:tcPr>
            <w:tcW w:w="702" w:type="dxa"/>
          </w:tcPr>
          <w:p w14:paraId="181F9825" w14:textId="77777777" w:rsidR="008C16E9" w:rsidRPr="00ED4D49" w:rsidRDefault="008C16E9" w:rsidP="008C16E9">
            <w:pPr>
              <w:jc w:val="center"/>
              <w:rPr>
                <w:color w:val="000000"/>
                <w:sz w:val="16"/>
                <w:szCs w:val="16"/>
                <w:lang w:val="en-US"/>
              </w:rPr>
            </w:pPr>
            <w:r w:rsidRPr="00ED4D49">
              <w:rPr>
                <w:color w:val="000000"/>
                <w:sz w:val="16"/>
                <w:szCs w:val="16"/>
                <w:lang w:val="en-US"/>
              </w:rPr>
              <w:t>2</w:t>
            </w:r>
          </w:p>
        </w:tc>
        <w:tc>
          <w:tcPr>
            <w:tcW w:w="707" w:type="dxa"/>
          </w:tcPr>
          <w:p w14:paraId="0F1C6EE7" w14:textId="77777777" w:rsidR="008C16E9" w:rsidRPr="00ED4D49" w:rsidRDefault="008C16E9" w:rsidP="008C16E9">
            <w:pPr>
              <w:jc w:val="center"/>
              <w:rPr>
                <w:color w:val="000000"/>
                <w:sz w:val="16"/>
                <w:szCs w:val="16"/>
                <w:lang w:val="en-US"/>
              </w:rPr>
            </w:pPr>
            <w:r w:rsidRPr="00ED4D49">
              <w:rPr>
                <w:color w:val="000000"/>
                <w:sz w:val="16"/>
                <w:szCs w:val="16"/>
                <w:lang w:val="en-US"/>
              </w:rPr>
              <w:t>2</w:t>
            </w:r>
          </w:p>
        </w:tc>
        <w:tc>
          <w:tcPr>
            <w:tcW w:w="752" w:type="dxa"/>
          </w:tcPr>
          <w:p w14:paraId="50D754E1" w14:textId="77777777" w:rsidR="008C16E9" w:rsidRPr="00ED4D49" w:rsidRDefault="008C16E9" w:rsidP="008C16E9">
            <w:pPr>
              <w:jc w:val="center"/>
              <w:rPr>
                <w:color w:val="000000"/>
                <w:sz w:val="16"/>
                <w:szCs w:val="16"/>
                <w:lang w:val="en-US"/>
              </w:rPr>
            </w:pPr>
            <w:r w:rsidRPr="00ED4D49">
              <w:rPr>
                <w:color w:val="000000"/>
                <w:sz w:val="16"/>
                <w:szCs w:val="16"/>
                <w:lang w:val="en-US"/>
              </w:rPr>
              <w:t>2</w:t>
            </w:r>
          </w:p>
        </w:tc>
      </w:tr>
      <w:tr w:rsidR="008C16E9" w:rsidRPr="00ED4D49" w14:paraId="20E503D4" w14:textId="77777777" w:rsidTr="008C16E9">
        <w:tc>
          <w:tcPr>
            <w:tcW w:w="1902" w:type="dxa"/>
          </w:tcPr>
          <w:p w14:paraId="056EA07F" w14:textId="77777777" w:rsidR="008C16E9" w:rsidRPr="00ED4D49" w:rsidRDefault="008C16E9" w:rsidP="008C16E9">
            <w:pPr>
              <w:rPr>
                <w:rFonts w:eastAsia="Times New Roman" w:cs="Arial"/>
                <w:bCs/>
                <w:color w:val="000000"/>
                <w:sz w:val="16"/>
                <w:szCs w:val="16"/>
                <w:lang w:val="en-US"/>
              </w:rPr>
            </w:pPr>
            <w:r w:rsidRPr="00ED4D49">
              <w:rPr>
                <w:bCs/>
                <w:color w:val="000000"/>
                <w:sz w:val="16"/>
                <w:szCs w:val="16"/>
                <w:lang w:val="en-US"/>
              </w:rPr>
              <w:t>B-1</w:t>
            </w:r>
          </w:p>
        </w:tc>
        <w:tc>
          <w:tcPr>
            <w:tcW w:w="3373" w:type="dxa"/>
          </w:tcPr>
          <w:p w14:paraId="000FED26" w14:textId="76B4E032" w:rsidR="008C16E9" w:rsidRPr="00ED4D49" w:rsidRDefault="008C16E9" w:rsidP="008C16E9">
            <w:pPr>
              <w:rPr>
                <w:rFonts w:eastAsia="Times New Roman" w:cs="Arial"/>
                <w:color w:val="000000"/>
                <w:sz w:val="16"/>
                <w:szCs w:val="16"/>
                <w:lang w:val="en-US"/>
              </w:rPr>
            </w:pPr>
            <w:proofErr w:type="spellStart"/>
            <w:r w:rsidRPr="00ED4D49">
              <w:rPr>
                <w:color w:val="000000"/>
                <w:sz w:val="16"/>
                <w:szCs w:val="16"/>
                <w:lang w:val="en-US"/>
              </w:rPr>
              <w:t>Brka</w:t>
            </w:r>
            <w:proofErr w:type="spellEnd"/>
            <w:r w:rsidRPr="00ED4D49">
              <w:rPr>
                <w:color w:val="000000"/>
                <w:sz w:val="16"/>
                <w:szCs w:val="16"/>
                <w:lang w:val="en-US"/>
              </w:rPr>
              <w:t>/Br</w:t>
            </w:r>
            <w:r w:rsidR="001A6DE7" w:rsidRPr="00ED4D49">
              <w:rPr>
                <w:color w:val="000000"/>
                <w:sz w:val="16"/>
                <w:szCs w:val="16"/>
                <w:lang w:val="en-US"/>
              </w:rPr>
              <w:t>c</w:t>
            </w:r>
            <w:r w:rsidRPr="00ED4D49">
              <w:rPr>
                <w:color w:val="000000"/>
                <w:sz w:val="16"/>
                <w:szCs w:val="16"/>
                <w:lang w:val="en-US"/>
              </w:rPr>
              <w:t>ko/DB</w:t>
            </w:r>
          </w:p>
        </w:tc>
        <w:tc>
          <w:tcPr>
            <w:tcW w:w="702" w:type="dxa"/>
          </w:tcPr>
          <w:p w14:paraId="7E098971" w14:textId="77777777" w:rsidR="008C16E9" w:rsidRPr="00ED4D49" w:rsidRDefault="008C16E9" w:rsidP="008C16E9">
            <w:pPr>
              <w:jc w:val="center"/>
              <w:rPr>
                <w:color w:val="000000"/>
                <w:sz w:val="16"/>
                <w:szCs w:val="16"/>
                <w:lang w:val="en-US"/>
              </w:rPr>
            </w:pPr>
            <w:r w:rsidRPr="00ED4D49">
              <w:rPr>
                <w:color w:val="000000"/>
                <w:sz w:val="16"/>
                <w:szCs w:val="16"/>
                <w:lang w:val="en-US"/>
              </w:rPr>
              <w:t>2</w:t>
            </w:r>
          </w:p>
        </w:tc>
        <w:tc>
          <w:tcPr>
            <w:tcW w:w="872" w:type="dxa"/>
          </w:tcPr>
          <w:p w14:paraId="4EEAAE8F" w14:textId="77777777" w:rsidR="008C16E9" w:rsidRPr="00ED4D49" w:rsidRDefault="008C16E9" w:rsidP="008C16E9">
            <w:pPr>
              <w:jc w:val="center"/>
              <w:rPr>
                <w:color w:val="000000"/>
                <w:sz w:val="16"/>
                <w:szCs w:val="16"/>
                <w:lang w:val="en-US"/>
              </w:rPr>
            </w:pPr>
            <w:r w:rsidRPr="00ED4D49">
              <w:rPr>
                <w:color w:val="000000"/>
                <w:sz w:val="16"/>
                <w:szCs w:val="16"/>
                <w:lang w:val="en-US"/>
              </w:rPr>
              <w:t>2</w:t>
            </w:r>
          </w:p>
        </w:tc>
        <w:tc>
          <w:tcPr>
            <w:tcW w:w="702" w:type="dxa"/>
          </w:tcPr>
          <w:p w14:paraId="1C378AD4" w14:textId="77777777" w:rsidR="008C16E9" w:rsidRPr="00ED4D49" w:rsidRDefault="008C16E9" w:rsidP="008C16E9">
            <w:pPr>
              <w:jc w:val="center"/>
              <w:rPr>
                <w:color w:val="000000"/>
                <w:sz w:val="16"/>
                <w:szCs w:val="16"/>
                <w:lang w:val="en-US"/>
              </w:rPr>
            </w:pPr>
            <w:r w:rsidRPr="00ED4D49">
              <w:rPr>
                <w:color w:val="000000"/>
                <w:sz w:val="16"/>
                <w:szCs w:val="16"/>
                <w:lang w:val="en-US"/>
              </w:rPr>
              <w:t>2</w:t>
            </w:r>
          </w:p>
        </w:tc>
        <w:tc>
          <w:tcPr>
            <w:tcW w:w="707" w:type="dxa"/>
          </w:tcPr>
          <w:p w14:paraId="19D5A98E" w14:textId="77777777" w:rsidR="008C16E9" w:rsidRPr="00ED4D49" w:rsidRDefault="008C16E9" w:rsidP="008C16E9">
            <w:pPr>
              <w:jc w:val="center"/>
              <w:rPr>
                <w:color w:val="000000"/>
                <w:sz w:val="16"/>
                <w:szCs w:val="16"/>
                <w:lang w:val="en-US"/>
              </w:rPr>
            </w:pPr>
            <w:r w:rsidRPr="00ED4D49">
              <w:rPr>
                <w:color w:val="000000"/>
                <w:sz w:val="16"/>
                <w:szCs w:val="16"/>
                <w:lang w:val="en-US"/>
              </w:rPr>
              <w:t>2</w:t>
            </w:r>
          </w:p>
        </w:tc>
        <w:tc>
          <w:tcPr>
            <w:tcW w:w="752" w:type="dxa"/>
          </w:tcPr>
          <w:p w14:paraId="34D66B74" w14:textId="77777777" w:rsidR="008C16E9" w:rsidRPr="00ED4D49" w:rsidRDefault="008C16E9" w:rsidP="008C16E9">
            <w:pPr>
              <w:jc w:val="center"/>
              <w:rPr>
                <w:color w:val="000000"/>
                <w:sz w:val="16"/>
                <w:szCs w:val="16"/>
                <w:lang w:val="en-US"/>
              </w:rPr>
            </w:pPr>
            <w:r w:rsidRPr="00ED4D49">
              <w:rPr>
                <w:color w:val="000000"/>
                <w:sz w:val="16"/>
                <w:szCs w:val="16"/>
                <w:lang w:val="en-US"/>
              </w:rPr>
              <w:t>2</w:t>
            </w:r>
          </w:p>
        </w:tc>
      </w:tr>
      <w:tr w:rsidR="008C16E9" w:rsidRPr="00ED4D49" w14:paraId="519EC528" w14:textId="77777777" w:rsidTr="008C16E9">
        <w:tc>
          <w:tcPr>
            <w:tcW w:w="1902" w:type="dxa"/>
          </w:tcPr>
          <w:p w14:paraId="0CD0A8D2" w14:textId="77777777" w:rsidR="008C16E9" w:rsidRPr="00ED4D49" w:rsidRDefault="008C16E9" w:rsidP="008C16E9">
            <w:pPr>
              <w:rPr>
                <w:rFonts w:eastAsia="Times New Roman" w:cs="Arial"/>
                <w:bCs/>
                <w:color w:val="000000"/>
                <w:sz w:val="16"/>
                <w:szCs w:val="16"/>
                <w:lang w:val="en-US"/>
              </w:rPr>
            </w:pPr>
            <w:r w:rsidRPr="00ED4D49">
              <w:rPr>
                <w:bCs/>
                <w:color w:val="000000"/>
                <w:sz w:val="16"/>
                <w:szCs w:val="16"/>
                <w:lang w:val="en-US"/>
              </w:rPr>
              <w:t>S-1</w:t>
            </w:r>
          </w:p>
        </w:tc>
        <w:tc>
          <w:tcPr>
            <w:tcW w:w="3373" w:type="dxa"/>
          </w:tcPr>
          <w:p w14:paraId="3BE93ABC" w14:textId="595CB134" w:rsidR="008C16E9" w:rsidRPr="00ED4D49" w:rsidRDefault="008C16E9" w:rsidP="008C16E9">
            <w:pPr>
              <w:rPr>
                <w:rFonts w:eastAsia="Times New Roman" w:cs="Arial"/>
                <w:color w:val="000000"/>
                <w:sz w:val="16"/>
                <w:szCs w:val="16"/>
                <w:lang w:val="en-US"/>
              </w:rPr>
            </w:pPr>
            <w:r w:rsidRPr="00ED4D49">
              <w:rPr>
                <w:color w:val="000000"/>
                <w:sz w:val="16"/>
                <w:szCs w:val="16"/>
                <w:lang w:val="en-US"/>
              </w:rPr>
              <w:t>Sava/Br</w:t>
            </w:r>
            <w:r w:rsidR="001A6DE7" w:rsidRPr="00ED4D49">
              <w:rPr>
                <w:color w:val="000000"/>
                <w:sz w:val="16"/>
                <w:szCs w:val="16"/>
                <w:lang w:val="en-US"/>
              </w:rPr>
              <w:t>c</w:t>
            </w:r>
            <w:r w:rsidRPr="00ED4D49">
              <w:rPr>
                <w:color w:val="000000"/>
                <w:sz w:val="16"/>
                <w:szCs w:val="16"/>
                <w:lang w:val="en-US"/>
              </w:rPr>
              <w:t>ko/DB</w:t>
            </w:r>
          </w:p>
        </w:tc>
        <w:tc>
          <w:tcPr>
            <w:tcW w:w="702" w:type="dxa"/>
          </w:tcPr>
          <w:p w14:paraId="7D7F0BD8" w14:textId="77777777" w:rsidR="008C16E9" w:rsidRPr="00ED4D49" w:rsidRDefault="008C16E9" w:rsidP="008C16E9">
            <w:pPr>
              <w:jc w:val="center"/>
              <w:rPr>
                <w:color w:val="000000"/>
                <w:sz w:val="16"/>
                <w:szCs w:val="16"/>
                <w:lang w:val="en-US"/>
              </w:rPr>
            </w:pPr>
            <w:r w:rsidRPr="00ED4D49">
              <w:rPr>
                <w:color w:val="000000"/>
                <w:sz w:val="16"/>
                <w:szCs w:val="16"/>
                <w:lang w:val="en-US"/>
              </w:rPr>
              <w:t>2</w:t>
            </w:r>
          </w:p>
        </w:tc>
        <w:tc>
          <w:tcPr>
            <w:tcW w:w="872" w:type="dxa"/>
          </w:tcPr>
          <w:p w14:paraId="0DF65D99" w14:textId="77777777" w:rsidR="008C16E9" w:rsidRPr="00ED4D49" w:rsidRDefault="008C16E9" w:rsidP="008C16E9">
            <w:pPr>
              <w:jc w:val="center"/>
              <w:rPr>
                <w:color w:val="000000"/>
                <w:sz w:val="16"/>
                <w:szCs w:val="16"/>
                <w:lang w:val="en-US"/>
              </w:rPr>
            </w:pPr>
            <w:r w:rsidRPr="00ED4D49">
              <w:rPr>
                <w:color w:val="000000"/>
                <w:sz w:val="16"/>
                <w:szCs w:val="16"/>
                <w:lang w:val="en-US"/>
              </w:rPr>
              <w:t>2</w:t>
            </w:r>
          </w:p>
        </w:tc>
        <w:tc>
          <w:tcPr>
            <w:tcW w:w="702" w:type="dxa"/>
          </w:tcPr>
          <w:p w14:paraId="3F718170" w14:textId="77777777" w:rsidR="008C16E9" w:rsidRPr="00ED4D49" w:rsidRDefault="008C16E9" w:rsidP="008C16E9">
            <w:pPr>
              <w:jc w:val="center"/>
              <w:rPr>
                <w:color w:val="000000"/>
                <w:sz w:val="16"/>
                <w:szCs w:val="16"/>
                <w:lang w:val="en-US"/>
              </w:rPr>
            </w:pPr>
            <w:r w:rsidRPr="00ED4D49">
              <w:rPr>
                <w:color w:val="000000"/>
                <w:sz w:val="16"/>
                <w:szCs w:val="16"/>
                <w:lang w:val="en-US"/>
              </w:rPr>
              <w:t>2</w:t>
            </w:r>
          </w:p>
        </w:tc>
        <w:tc>
          <w:tcPr>
            <w:tcW w:w="707" w:type="dxa"/>
          </w:tcPr>
          <w:p w14:paraId="007F6AC7" w14:textId="77777777" w:rsidR="008C16E9" w:rsidRPr="00ED4D49" w:rsidRDefault="008C16E9" w:rsidP="008C16E9">
            <w:pPr>
              <w:jc w:val="center"/>
              <w:rPr>
                <w:color w:val="000000"/>
                <w:sz w:val="16"/>
                <w:szCs w:val="16"/>
                <w:lang w:val="en-US"/>
              </w:rPr>
            </w:pPr>
            <w:r w:rsidRPr="00ED4D49">
              <w:rPr>
                <w:color w:val="000000"/>
                <w:sz w:val="16"/>
                <w:szCs w:val="16"/>
                <w:lang w:val="en-US"/>
              </w:rPr>
              <w:t>/</w:t>
            </w:r>
          </w:p>
        </w:tc>
        <w:tc>
          <w:tcPr>
            <w:tcW w:w="752" w:type="dxa"/>
          </w:tcPr>
          <w:p w14:paraId="332FF38A" w14:textId="77777777" w:rsidR="008C16E9" w:rsidRPr="00ED4D49" w:rsidRDefault="008C16E9" w:rsidP="008C16E9">
            <w:pPr>
              <w:jc w:val="center"/>
              <w:rPr>
                <w:color w:val="000000"/>
                <w:sz w:val="16"/>
                <w:szCs w:val="16"/>
                <w:lang w:val="en-US"/>
              </w:rPr>
            </w:pPr>
            <w:r w:rsidRPr="00ED4D49">
              <w:rPr>
                <w:color w:val="000000"/>
                <w:sz w:val="16"/>
                <w:szCs w:val="16"/>
                <w:lang w:val="en-US"/>
              </w:rPr>
              <w:t>2</w:t>
            </w:r>
          </w:p>
        </w:tc>
      </w:tr>
      <w:tr w:rsidR="008C16E9" w:rsidRPr="00ED4D49" w14:paraId="7374DB11" w14:textId="77777777" w:rsidTr="008C16E9">
        <w:tc>
          <w:tcPr>
            <w:tcW w:w="5275" w:type="dxa"/>
            <w:gridSpan w:val="2"/>
          </w:tcPr>
          <w:p w14:paraId="52FE7492" w14:textId="77777777" w:rsidR="008C16E9" w:rsidRPr="00ED4D49" w:rsidRDefault="008C16E9" w:rsidP="008C16E9">
            <w:pPr>
              <w:rPr>
                <w:color w:val="000000"/>
                <w:sz w:val="16"/>
                <w:szCs w:val="16"/>
                <w:lang w:val="en-US"/>
              </w:rPr>
            </w:pPr>
            <w:r w:rsidRPr="00ED4D49">
              <w:rPr>
                <w:color w:val="000000"/>
                <w:sz w:val="16"/>
                <w:szCs w:val="16"/>
                <w:lang w:val="en-US"/>
              </w:rPr>
              <w:t>Total</w:t>
            </w:r>
          </w:p>
        </w:tc>
        <w:tc>
          <w:tcPr>
            <w:tcW w:w="702" w:type="dxa"/>
          </w:tcPr>
          <w:p w14:paraId="06CAEFE4" w14:textId="77777777" w:rsidR="008C16E9" w:rsidRPr="00ED4D49" w:rsidRDefault="008C16E9" w:rsidP="008C16E9">
            <w:pPr>
              <w:jc w:val="center"/>
              <w:rPr>
                <w:rFonts w:cs="Calibri"/>
                <w:color w:val="000000"/>
                <w:sz w:val="16"/>
                <w:szCs w:val="16"/>
                <w:lang w:val="en-US"/>
              </w:rPr>
            </w:pPr>
            <w:r w:rsidRPr="00ED4D49">
              <w:rPr>
                <w:color w:val="000000"/>
                <w:sz w:val="16"/>
                <w:szCs w:val="16"/>
                <w:lang w:val="en-US"/>
              </w:rPr>
              <w:t>40</w:t>
            </w:r>
          </w:p>
        </w:tc>
        <w:tc>
          <w:tcPr>
            <w:tcW w:w="872" w:type="dxa"/>
          </w:tcPr>
          <w:p w14:paraId="3261B20E" w14:textId="77777777" w:rsidR="008C16E9" w:rsidRPr="00ED4D49" w:rsidRDefault="008C16E9" w:rsidP="008C16E9">
            <w:pPr>
              <w:jc w:val="center"/>
              <w:rPr>
                <w:rFonts w:cs="Calibri"/>
                <w:color w:val="000000"/>
                <w:sz w:val="16"/>
                <w:szCs w:val="16"/>
                <w:lang w:val="en-US"/>
              </w:rPr>
            </w:pPr>
            <w:r w:rsidRPr="00ED4D49">
              <w:rPr>
                <w:color w:val="000000"/>
                <w:sz w:val="16"/>
                <w:szCs w:val="16"/>
                <w:lang w:val="en-US"/>
              </w:rPr>
              <w:t>38</w:t>
            </w:r>
          </w:p>
        </w:tc>
        <w:tc>
          <w:tcPr>
            <w:tcW w:w="702" w:type="dxa"/>
          </w:tcPr>
          <w:p w14:paraId="68F88DB6" w14:textId="77777777" w:rsidR="008C16E9" w:rsidRPr="00ED4D49" w:rsidRDefault="008C16E9" w:rsidP="008C16E9">
            <w:pPr>
              <w:jc w:val="center"/>
              <w:rPr>
                <w:rFonts w:cs="Calibri"/>
                <w:color w:val="000000"/>
                <w:sz w:val="16"/>
                <w:szCs w:val="16"/>
                <w:lang w:val="en-US"/>
              </w:rPr>
            </w:pPr>
            <w:r w:rsidRPr="00ED4D49">
              <w:rPr>
                <w:color w:val="000000"/>
                <w:sz w:val="16"/>
                <w:szCs w:val="16"/>
                <w:lang w:val="en-US"/>
              </w:rPr>
              <w:t>34</w:t>
            </w:r>
          </w:p>
        </w:tc>
        <w:tc>
          <w:tcPr>
            <w:tcW w:w="707" w:type="dxa"/>
          </w:tcPr>
          <w:p w14:paraId="22617C06" w14:textId="77777777" w:rsidR="008C16E9" w:rsidRPr="00ED4D49" w:rsidRDefault="008C16E9" w:rsidP="008C16E9">
            <w:pPr>
              <w:jc w:val="center"/>
              <w:rPr>
                <w:rFonts w:cs="Calibri"/>
                <w:color w:val="000000"/>
                <w:sz w:val="16"/>
                <w:szCs w:val="16"/>
                <w:lang w:val="en-US"/>
              </w:rPr>
            </w:pPr>
            <w:r w:rsidRPr="00ED4D49">
              <w:rPr>
                <w:color w:val="000000"/>
                <w:sz w:val="16"/>
                <w:szCs w:val="16"/>
                <w:lang w:val="en-US"/>
              </w:rPr>
              <w:t>36</w:t>
            </w:r>
          </w:p>
        </w:tc>
        <w:tc>
          <w:tcPr>
            <w:tcW w:w="752" w:type="dxa"/>
          </w:tcPr>
          <w:p w14:paraId="10DFC428" w14:textId="77777777" w:rsidR="008C16E9" w:rsidRPr="00ED4D49" w:rsidRDefault="008C16E9" w:rsidP="008C16E9">
            <w:pPr>
              <w:jc w:val="center"/>
              <w:rPr>
                <w:rFonts w:cs="Calibri"/>
                <w:color w:val="000000"/>
                <w:sz w:val="16"/>
                <w:szCs w:val="16"/>
                <w:lang w:val="en-US"/>
              </w:rPr>
            </w:pPr>
            <w:r w:rsidRPr="00ED4D49">
              <w:rPr>
                <w:color w:val="000000"/>
                <w:sz w:val="16"/>
                <w:szCs w:val="16"/>
                <w:lang w:val="en-US"/>
              </w:rPr>
              <w:t>34</w:t>
            </w:r>
          </w:p>
        </w:tc>
      </w:tr>
    </w:tbl>
    <w:p w14:paraId="6504FF47" w14:textId="0453F907" w:rsidR="008C16E9" w:rsidRPr="00ED4D49" w:rsidRDefault="008C16E9" w:rsidP="008C16E9">
      <w:pPr>
        <w:rPr>
          <w:lang w:val="en-US"/>
        </w:rPr>
      </w:pPr>
      <w:r w:rsidRPr="00ED4D49">
        <w:rPr>
          <w:i/>
          <w:sz w:val="16"/>
          <w:szCs w:val="16"/>
          <w:lang w:val="en-US"/>
        </w:rPr>
        <w:t>(Source: Sava River Basin District Agency, the Government of the Br</w:t>
      </w:r>
      <w:r w:rsidR="001A6DE7" w:rsidRPr="00ED4D49">
        <w:rPr>
          <w:i/>
          <w:sz w:val="16"/>
          <w:szCs w:val="16"/>
          <w:lang w:val="en-US"/>
        </w:rPr>
        <w:t>c</w:t>
      </w:r>
      <w:r w:rsidRPr="00ED4D49">
        <w:rPr>
          <w:i/>
          <w:sz w:val="16"/>
          <w:szCs w:val="16"/>
          <w:lang w:val="en-US"/>
        </w:rPr>
        <w:t xml:space="preserve">ko District of BiH, Public </w:t>
      </w:r>
      <w:proofErr w:type="gramStart"/>
      <w:r w:rsidRPr="00ED4D49">
        <w:rPr>
          <w:i/>
          <w:sz w:val="16"/>
          <w:szCs w:val="16"/>
          <w:lang w:val="en-US"/>
        </w:rPr>
        <w:t>Enterprise ”Vode</w:t>
      </w:r>
      <w:proofErr w:type="gramEnd"/>
      <w:r w:rsidRPr="00ED4D49">
        <w:rPr>
          <w:i/>
          <w:sz w:val="16"/>
          <w:szCs w:val="16"/>
          <w:lang w:val="en-US"/>
        </w:rPr>
        <w:t xml:space="preserve"> Srpske)</w:t>
      </w:r>
    </w:p>
    <w:p w14:paraId="2D740DF7" w14:textId="77777777" w:rsidR="007B7152" w:rsidRPr="00ED4D49" w:rsidRDefault="007B7152" w:rsidP="007B7152">
      <w:pPr>
        <w:jc w:val="both"/>
        <w:rPr>
          <w:lang w:val="en-US"/>
        </w:rPr>
      </w:pPr>
    </w:p>
    <w:p w14:paraId="0BC23A69" w14:textId="260CBF2A" w:rsidR="008C16E9" w:rsidRPr="00ED4D49" w:rsidRDefault="008C16E9" w:rsidP="007B7152">
      <w:pPr>
        <w:jc w:val="both"/>
        <w:rPr>
          <w:lang w:val="en-US"/>
        </w:rPr>
      </w:pPr>
      <w:r w:rsidRPr="00ED4D49">
        <w:rPr>
          <w:lang w:val="en-US"/>
        </w:rPr>
        <w:t>Based on the data collected by the institutions responsible for monitoring</w:t>
      </w:r>
      <w:r w:rsidR="00071E57" w:rsidRPr="00ED4D49">
        <w:rPr>
          <w:lang w:val="en-US"/>
        </w:rPr>
        <w:t xml:space="preserve"> of</w:t>
      </w:r>
      <w:r w:rsidRPr="00ED4D49">
        <w:rPr>
          <w:lang w:val="en-US"/>
        </w:rPr>
        <w:t xml:space="preserve"> surface water in BiH, the average values of BOD</w:t>
      </w:r>
      <w:r w:rsidRPr="00ED4D49">
        <w:rPr>
          <w:vertAlign w:val="subscript"/>
          <w:lang w:val="en-US"/>
        </w:rPr>
        <w:t>5</w:t>
      </w:r>
      <w:r w:rsidRPr="00ED4D49">
        <w:rPr>
          <w:lang w:val="en-US"/>
        </w:rPr>
        <w:t xml:space="preserve">, ammonium, nitrate and total phosphors for the related watercourse </w:t>
      </w:r>
      <w:r w:rsidR="007B7152" w:rsidRPr="00ED4D49">
        <w:rPr>
          <w:lang w:val="en-US"/>
        </w:rPr>
        <w:t>were</w:t>
      </w:r>
      <w:r w:rsidRPr="00ED4D49">
        <w:rPr>
          <w:lang w:val="en-US"/>
        </w:rPr>
        <w:t xml:space="preserve"> calculated and presented </w:t>
      </w:r>
      <w:r w:rsidR="00711A00" w:rsidRPr="00ED4D49">
        <w:rPr>
          <w:lang w:val="en-US"/>
        </w:rPr>
        <w:t>in</w:t>
      </w:r>
      <w:r w:rsidRPr="00ED4D49">
        <w:rPr>
          <w:lang w:val="en-US"/>
        </w:rPr>
        <w:t xml:space="preserve"> the figure</w:t>
      </w:r>
      <w:r w:rsidR="007B7152" w:rsidRPr="00ED4D49">
        <w:rPr>
          <w:lang w:val="en-US"/>
        </w:rPr>
        <w:t>s</w:t>
      </w:r>
      <w:r w:rsidRPr="00ED4D49">
        <w:rPr>
          <w:lang w:val="en-US"/>
        </w:rPr>
        <w:t xml:space="preserve"> below</w:t>
      </w:r>
      <w:r w:rsidR="007B7152" w:rsidRPr="00ED4D49">
        <w:rPr>
          <w:lang w:val="en-US"/>
        </w:rPr>
        <w:t>.</w:t>
      </w:r>
    </w:p>
    <w:p w14:paraId="29E5C4E2" w14:textId="77777777" w:rsidR="007B7152" w:rsidRPr="00ED4D49" w:rsidRDefault="007B7152" w:rsidP="007B7152">
      <w:pPr>
        <w:jc w:val="both"/>
        <w:rPr>
          <w:lang w:val="en-US"/>
        </w:rPr>
      </w:pPr>
    </w:p>
    <w:p w14:paraId="63EA4AB0" w14:textId="77777777" w:rsidR="005323C6" w:rsidRPr="00ED4D49" w:rsidRDefault="008C16E9" w:rsidP="005323C6">
      <w:pPr>
        <w:rPr>
          <w:b/>
          <w:i/>
          <w:color w:val="2F5496"/>
          <w:sz w:val="16"/>
          <w:szCs w:val="16"/>
          <w:lang w:val="en-US"/>
        </w:rPr>
      </w:pPr>
      <w:r w:rsidRPr="00ED4D49">
        <w:rPr>
          <w:noProof/>
          <w:lang w:val="bs-Latn-BA" w:eastAsia="bs-Latn-BA"/>
        </w:rPr>
        <w:lastRenderedPageBreak/>
        <w:drawing>
          <wp:inline distT="0" distB="0" distL="0" distR="0" wp14:anchorId="58FF363E" wp14:editId="51D0C4C2">
            <wp:extent cx="5638111" cy="3261973"/>
            <wp:effectExtent l="19050" t="0" r="689"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srcRect/>
                    <a:stretch>
                      <a:fillRect/>
                    </a:stretch>
                  </pic:blipFill>
                  <pic:spPr bwMode="auto">
                    <a:xfrm>
                      <a:off x="0" y="0"/>
                      <a:ext cx="5644271" cy="3265537"/>
                    </a:xfrm>
                    <a:prstGeom prst="rect">
                      <a:avLst/>
                    </a:prstGeom>
                    <a:noFill/>
                    <a:ln w="9525">
                      <a:noFill/>
                      <a:miter lim="800000"/>
                      <a:headEnd/>
                      <a:tailEnd/>
                    </a:ln>
                  </pic:spPr>
                </pic:pic>
              </a:graphicData>
            </a:graphic>
          </wp:inline>
        </w:drawing>
      </w:r>
    </w:p>
    <w:p w14:paraId="35478C09" w14:textId="641BDDA0" w:rsidR="008C16E9" w:rsidRPr="00ED4D49" w:rsidRDefault="008C16E9" w:rsidP="007B7152">
      <w:pPr>
        <w:pStyle w:val="Caption"/>
        <w:jc w:val="center"/>
        <w:rPr>
          <w:b w:val="0"/>
          <w:bCs w:val="0"/>
          <w:i/>
        </w:rPr>
      </w:pPr>
      <w:bookmarkStart w:id="73" w:name="_Toc25582653"/>
      <w:r w:rsidRPr="00ED4D49">
        <w:rPr>
          <w:b w:val="0"/>
          <w:i/>
          <w:color w:val="2F5496"/>
          <w:sz w:val="16"/>
          <w:szCs w:val="16"/>
        </w:rPr>
        <w:t xml:space="preserve">Figure </w:t>
      </w:r>
      <w:r w:rsidRPr="00ED4D49">
        <w:rPr>
          <w:b w:val="0"/>
          <w:i/>
          <w:color w:val="2F5496"/>
          <w:sz w:val="16"/>
          <w:szCs w:val="16"/>
        </w:rPr>
        <w:fldChar w:fldCharType="begin"/>
      </w:r>
      <w:r w:rsidRPr="00ED4D49">
        <w:rPr>
          <w:b w:val="0"/>
          <w:i/>
          <w:color w:val="2F5496"/>
          <w:sz w:val="16"/>
          <w:szCs w:val="16"/>
        </w:rPr>
        <w:instrText xml:space="preserve"> SEQ Figure \* ARABIC </w:instrText>
      </w:r>
      <w:r w:rsidRPr="00ED4D49">
        <w:rPr>
          <w:b w:val="0"/>
          <w:i/>
          <w:color w:val="2F5496"/>
          <w:sz w:val="16"/>
          <w:szCs w:val="16"/>
        </w:rPr>
        <w:fldChar w:fldCharType="separate"/>
      </w:r>
      <w:r w:rsidR="00F60130" w:rsidRPr="00ED4D49">
        <w:rPr>
          <w:b w:val="0"/>
          <w:i/>
          <w:noProof/>
          <w:color w:val="2F5496"/>
          <w:sz w:val="16"/>
          <w:szCs w:val="16"/>
        </w:rPr>
        <w:t>7</w:t>
      </w:r>
      <w:r w:rsidRPr="00ED4D49">
        <w:rPr>
          <w:b w:val="0"/>
          <w:i/>
          <w:color w:val="2F5496"/>
          <w:sz w:val="16"/>
          <w:szCs w:val="16"/>
        </w:rPr>
        <w:fldChar w:fldCharType="end"/>
      </w:r>
      <w:r w:rsidRPr="00ED4D49">
        <w:rPr>
          <w:b w:val="0"/>
          <w:i/>
          <w:color w:val="2F5496"/>
          <w:sz w:val="16"/>
          <w:szCs w:val="16"/>
        </w:rPr>
        <w:t>:</w:t>
      </w:r>
      <w:r w:rsidRPr="00ED4D49">
        <w:rPr>
          <w:i/>
        </w:rPr>
        <w:t xml:space="preserve"> </w:t>
      </w:r>
      <w:r w:rsidRPr="00ED4D49">
        <w:rPr>
          <w:b w:val="0"/>
          <w:bCs w:val="0"/>
          <w:i/>
          <w:color w:val="auto"/>
          <w:sz w:val="16"/>
          <w:szCs w:val="16"/>
        </w:rPr>
        <w:t>Average concentrations of BOD</w:t>
      </w:r>
      <w:r w:rsidRPr="00ED4D49">
        <w:rPr>
          <w:b w:val="0"/>
          <w:bCs w:val="0"/>
          <w:i/>
          <w:color w:val="auto"/>
          <w:sz w:val="16"/>
          <w:szCs w:val="16"/>
          <w:vertAlign w:val="subscript"/>
        </w:rPr>
        <w:t>5</w:t>
      </w:r>
      <w:r w:rsidRPr="00ED4D49">
        <w:rPr>
          <w:b w:val="0"/>
          <w:bCs w:val="0"/>
          <w:i/>
          <w:color w:val="auto"/>
          <w:sz w:val="16"/>
          <w:szCs w:val="16"/>
        </w:rPr>
        <w:t>, ammonia, phosphate and nitrate in Sava River</w:t>
      </w:r>
      <w:bookmarkEnd w:id="73"/>
    </w:p>
    <w:p w14:paraId="14D41076" w14:textId="573E1EAC" w:rsidR="008C16E9" w:rsidRPr="00ED4D49" w:rsidRDefault="008C16E9" w:rsidP="008C16E9">
      <w:pPr>
        <w:spacing w:after="60" w:line="240" w:lineRule="auto"/>
        <w:jc w:val="center"/>
        <w:rPr>
          <w:bCs/>
          <w:i/>
          <w:sz w:val="16"/>
          <w:szCs w:val="16"/>
          <w:lang w:val="en-US"/>
        </w:rPr>
      </w:pPr>
      <w:r w:rsidRPr="00ED4D49">
        <w:rPr>
          <w:bCs/>
          <w:i/>
          <w:sz w:val="16"/>
          <w:szCs w:val="16"/>
          <w:lang w:val="en-US"/>
        </w:rPr>
        <w:t xml:space="preserve">(Source: The calculation of the above average values was made using the water analysis results submitted by Sava River Basin District Agency, the Government of </w:t>
      </w:r>
      <w:r w:rsidR="0060205D" w:rsidRPr="00ED4D49">
        <w:rPr>
          <w:bCs/>
          <w:i/>
          <w:sz w:val="16"/>
          <w:szCs w:val="16"/>
          <w:lang w:val="en-US"/>
        </w:rPr>
        <w:t>BD</w:t>
      </w:r>
      <w:r w:rsidRPr="00ED4D49">
        <w:rPr>
          <w:bCs/>
          <w:i/>
          <w:sz w:val="16"/>
          <w:szCs w:val="16"/>
          <w:lang w:val="en-US"/>
        </w:rPr>
        <w:t xml:space="preserve"> and JU "Vode Srpske")</w:t>
      </w:r>
    </w:p>
    <w:p w14:paraId="26883485" w14:textId="77777777" w:rsidR="008C16E9" w:rsidRPr="00ED4D49" w:rsidRDefault="008C16E9" w:rsidP="008C16E9">
      <w:pPr>
        <w:rPr>
          <w:lang w:val="en-US"/>
        </w:rPr>
      </w:pPr>
    </w:p>
    <w:p w14:paraId="69910ACB" w14:textId="5D54667C" w:rsidR="008C16E9" w:rsidRPr="00ED4D49" w:rsidRDefault="008C16E9" w:rsidP="008C16E9">
      <w:pPr>
        <w:jc w:val="both"/>
        <w:rPr>
          <w:lang w:val="en-US"/>
        </w:rPr>
      </w:pPr>
      <w:r w:rsidRPr="00ED4D49">
        <w:rPr>
          <w:lang w:val="en-US"/>
        </w:rPr>
        <w:t>The European Environmental Agency</w:t>
      </w:r>
      <w:r w:rsidR="001A6DE7" w:rsidRPr="00ED4D49">
        <w:rPr>
          <w:lang w:val="en-US"/>
        </w:rPr>
        <w:t xml:space="preserve"> (EEA)</w:t>
      </w:r>
      <w:r w:rsidRPr="00ED4D49">
        <w:rPr>
          <w:lang w:val="en-US"/>
        </w:rPr>
        <w:t xml:space="preserve"> database</w:t>
      </w:r>
      <w:r w:rsidRPr="00ED4D49">
        <w:rPr>
          <w:rStyle w:val="FootnoteReference"/>
          <w:lang w:val="en-US"/>
        </w:rPr>
        <w:footnoteReference w:id="10"/>
      </w:r>
      <w:r w:rsidRPr="00ED4D49">
        <w:rPr>
          <w:lang w:val="en-US"/>
        </w:rPr>
        <w:t xml:space="preserve"> contains the average values of "oxygen-consuming substances in rivers" (BOD and ammonia) and “nutrients in fresh water” (nitrate and phosphate) calculated for the </w:t>
      </w:r>
      <w:r w:rsidR="007B7152" w:rsidRPr="00ED4D49">
        <w:rPr>
          <w:lang w:val="en-US"/>
        </w:rPr>
        <w:t>entire BiH</w:t>
      </w:r>
      <w:r w:rsidRPr="00ED4D49">
        <w:rPr>
          <w:lang w:val="en-US"/>
        </w:rPr>
        <w:t xml:space="preserve"> and Europe for the period 2000-2012. To better understand the calculated average values of BOD</w:t>
      </w:r>
      <w:r w:rsidRPr="00ED4D49">
        <w:rPr>
          <w:vertAlign w:val="subscript"/>
          <w:lang w:val="en-US"/>
        </w:rPr>
        <w:t>5</w:t>
      </w:r>
      <w:r w:rsidRPr="00ED4D49">
        <w:rPr>
          <w:lang w:val="en-US"/>
        </w:rPr>
        <w:t xml:space="preserve"> and ammonium, apart from the value trend for the period 2013 - 2017, a comparison was made with the values from the EEA database. According to the EEA database, for the indicator "oxygen-consuming substances in rivers", the value of BOD</w:t>
      </w:r>
      <w:r w:rsidRPr="00ED4D49">
        <w:rPr>
          <w:vertAlign w:val="subscript"/>
          <w:lang w:val="en-US"/>
        </w:rPr>
        <w:t>5</w:t>
      </w:r>
      <w:r w:rsidRPr="00ED4D49">
        <w:rPr>
          <w:lang w:val="en-US"/>
        </w:rPr>
        <w:t xml:space="preserve"> in 2012 for the whole of Europe was 2.19 mgO</w:t>
      </w:r>
      <w:r w:rsidRPr="00ED4D49">
        <w:rPr>
          <w:vertAlign w:val="subscript"/>
          <w:lang w:val="en-US"/>
        </w:rPr>
        <w:t xml:space="preserve">2 </w:t>
      </w:r>
      <w:r w:rsidRPr="00ED4D49">
        <w:rPr>
          <w:lang w:val="en-US"/>
        </w:rPr>
        <w:t>/l, and ammonium was 158 mg/m</w:t>
      </w:r>
      <w:r w:rsidRPr="00ED4D49">
        <w:rPr>
          <w:vertAlign w:val="superscript"/>
          <w:lang w:val="en-US"/>
        </w:rPr>
        <w:t>3</w:t>
      </w:r>
      <w:r w:rsidRPr="00ED4D49">
        <w:rPr>
          <w:lang w:val="en-US"/>
        </w:rPr>
        <w:t>. Concentration</w:t>
      </w:r>
      <w:r w:rsidR="007B7152" w:rsidRPr="00ED4D49">
        <w:rPr>
          <w:lang w:val="en-US"/>
        </w:rPr>
        <w:t>s</w:t>
      </w:r>
      <w:r w:rsidRPr="00ED4D49">
        <w:rPr>
          <w:lang w:val="en-US"/>
        </w:rPr>
        <w:t xml:space="preserve"> of BOD</w:t>
      </w:r>
      <w:r w:rsidR="007B7152" w:rsidRPr="00ED4D49">
        <w:rPr>
          <w:vertAlign w:val="subscript"/>
          <w:lang w:val="en-US"/>
        </w:rPr>
        <w:t>5</w:t>
      </w:r>
      <w:r w:rsidRPr="00ED4D49">
        <w:rPr>
          <w:lang w:val="en-US"/>
        </w:rPr>
        <w:t xml:space="preserve"> and ammonia in </w:t>
      </w:r>
      <w:r w:rsidR="007B7152" w:rsidRPr="00ED4D49">
        <w:rPr>
          <w:lang w:val="en-US"/>
        </w:rPr>
        <w:t xml:space="preserve">the </w:t>
      </w:r>
      <w:r w:rsidRPr="00ED4D49">
        <w:rPr>
          <w:lang w:val="en-US"/>
        </w:rPr>
        <w:t xml:space="preserve">Sava </w:t>
      </w:r>
      <w:r w:rsidR="007B7152" w:rsidRPr="00ED4D49">
        <w:rPr>
          <w:lang w:val="en-US"/>
        </w:rPr>
        <w:t>R</w:t>
      </w:r>
      <w:r w:rsidRPr="00ED4D49">
        <w:rPr>
          <w:lang w:val="en-US"/>
        </w:rPr>
        <w:t>iver for the period 2013</w:t>
      </w:r>
      <w:r w:rsidR="00137CCB" w:rsidRPr="00ED4D49">
        <w:rPr>
          <w:lang w:val="en-US"/>
        </w:rPr>
        <w:t>-</w:t>
      </w:r>
      <w:r w:rsidRPr="00ED4D49">
        <w:rPr>
          <w:lang w:val="en-US"/>
        </w:rPr>
        <w:t xml:space="preserve">2015 </w:t>
      </w:r>
      <w:r w:rsidR="007B7152" w:rsidRPr="00ED4D49">
        <w:rPr>
          <w:lang w:val="en-US"/>
        </w:rPr>
        <w:t>were</w:t>
      </w:r>
      <w:r w:rsidRPr="00ED4D49">
        <w:rPr>
          <w:lang w:val="en-US"/>
        </w:rPr>
        <w:t xml:space="preserve"> above </w:t>
      </w:r>
      <w:r w:rsidR="007B7152" w:rsidRPr="00ED4D49">
        <w:rPr>
          <w:lang w:val="en-US"/>
        </w:rPr>
        <w:t xml:space="preserve">the </w:t>
      </w:r>
      <w:r w:rsidRPr="00ED4D49">
        <w:rPr>
          <w:lang w:val="en-US"/>
        </w:rPr>
        <w:t xml:space="preserve">given European average only before 2015. Concentration of ammonia was below </w:t>
      </w:r>
      <w:r w:rsidR="00137CCB" w:rsidRPr="00ED4D49">
        <w:rPr>
          <w:lang w:val="en-US"/>
        </w:rPr>
        <w:t xml:space="preserve">the </w:t>
      </w:r>
      <w:r w:rsidRPr="00ED4D49">
        <w:rPr>
          <w:lang w:val="en-US"/>
        </w:rPr>
        <w:t xml:space="preserve">European average in the same period. </w:t>
      </w:r>
    </w:p>
    <w:p w14:paraId="39C08D4F" w14:textId="0D0727C1" w:rsidR="00ED57DC" w:rsidRPr="00ED4D49" w:rsidRDefault="008C16E9" w:rsidP="008C16E9">
      <w:pPr>
        <w:jc w:val="both"/>
        <w:rPr>
          <w:lang w:val="en-US"/>
        </w:rPr>
      </w:pPr>
      <w:r w:rsidRPr="00ED4D49">
        <w:rPr>
          <w:lang w:val="en-US"/>
        </w:rPr>
        <w:t xml:space="preserve">According to the EEA database, </w:t>
      </w:r>
      <w:r w:rsidR="007B7152" w:rsidRPr="00ED4D49">
        <w:rPr>
          <w:lang w:val="en-US"/>
        </w:rPr>
        <w:t xml:space="preserve">the </w:t>
      </w:r>
      <w:r w:rsidRPr="00ED4D49">
        <w:rPr>
          <w:lang w:val="en-US"/>
        </w:rPr>
        <w:t>average value for the phosphate and nitrate in European rivers during 2012 were: 0.04 mg PO</w:t>
      </w:r>
      <w:r w:rsidRPr="00ED4D49">
        <w:rPr>
          <w:vertAlign w:val="subscript"/>
          <w:lang w:val="en-US"/>
        </w:rPr>
        <w:t>4</w:t>
      </w:r>
      <w:r w:rsidRPr="00ED4D49">
        <w:rPr>
          <w:lang w:val="en-US"/>
        </w:rPr>
        <w:t>-P mg/l and nitrates 0.55 mg NO</w:t>
      </w:r>
      <w:r w:rsidRPr="00ED4D49">
        <w:rPr>
          <w:vertAlign w:val="subscript"/>
          <w:lang w:val="en-US"/>
        </w:rPr>
        <w:t>3</w:t>
      </w:r>
      <w:r w:rsidRPr="00ED4D49">
        <w:rPr>
          <w:lang w:val="en-US"/>
        </w:rPr>
        <w:t xml:space="preserve">-N mg/l. </w:t>
      </w:r>
      <w:r w:rsidR="007B7152" w:rsidRPr="00ED4D49">
        <w:rPr>
          <w:lang w:val="en-US"/>
        </w:rPr>
        <w:t>The c</w:t>
      </w:r>
      <w:r w:rsidRPr="00ED4D49">
        <w:rPr>
          <w:lang w:val="en-US"/>
        </w:rPr>
        <w:t>oncentration</w:t>
      </w:r>
      <w:r w:rsidR="007B7152" w:rsidRPr="00ED4D49">
        <w:rPr>
          <w:lang w:val="en-US"/>
        </w:rPr>
        <w:t>s</w:t>
      </w:r>
      <w:r w:rsidRPr="00ED4D49">
        <w:rPr>
          <w:lang w:val="en-US"/>
        </w:rPr>
        <w:t xml:space="preserve"> of phosphates and nitrates in the Sava </w:t>
      </w:r>
      <w:r w:rsidR="007B7152" w:rsidRPr="00ED4D49">
        <w:rPr>
          <w:lang w:val="en-US"/>
        </w:rPr>
        <w:t>R</w:t>
      </w:r>
      <w:r w:rsidRPr="00ED4D49">
        <w:rPr>
          <w:lang w:val="en-US"/>
        </w:rPr>
        <w:t xml:space="preserve">iver </w:t>
      </w:r>
      <w:r w:rsidR="007B7152" w:rsidRPr="00ED4D49">
        <w:rPr>
          <w:lang w:val="en-US"/>
        </w:rPr>
        <w:t>were</w:t>
      </w:r>
      <w:r w:rsidRPr="00ED4D49">
        <w:rPr>
          <w:lang w:val="en-US"/>
        </w:rPr>
        <w:t xml:space="preserve"> above </w:t>
      </w:r>
      <w:r w:rsidR="007B7152" w:rsidRPr="00ED4D49">
        <w:rPr>
          <w:lang w:val="en-US"/>
        </w:rPr>
        <w:t xml:space="preserve">the </w:t>
      </w:r>
      <w:r w:rsidRPr="00ED4D49">
        <w:rPr>
          <w:lang w:val="en-US"/>
        </w:rPr>
        <w:t>European average in the period 2013</w:t>
      </w:r>
      <w:r w:rsidR="00137CCB" w:rsidRPr="00ED4D49">
        <w:rPr>
          <w:lang w:val="en-US"/>
        </w:rPr>
        <w:t>-</w:t>
      </w:r>
      <w:r w:rsidRPr="00ED4D49">
        <w:rPr>
          <w:lang w:val="en-US"/>
        </w:rPr>
        <w:t>2017.</w:t>
      </w:r>
      <w:r w:rsidR="00ED57DC" w:rsidRPr="00ED4D49">
        <w:rPr>
          <w:lang w:val="en-US"/>
        </w:rPr>
        <w:tab/>
      </w:r>
    </w:p>
    <w:p w14:paraId="289509D3" w14:textId="77777777" w:rsidR="0024745F" w:rsidRPr="00ED4D49" w:rsidRDefault="00ED57DC" w:rsidP="00ED57DC">
      <w:pPr>
        <w:pStyle w:val="Heading3"/>
      </w:pPr>
      <w:bookmarkStart w:id="74" w:name="_Toc31811064"/>
      <w:r w:rsidRPr="00ED4D49">
        <w:t xml:space="preserve">Biodiversity and </w:t>
      </w:r>
      <w:r w:rsidR="00DA00BD" w:rsidRPr="00ED4D49">
        <w:t>P</w:t>
      </w:r>
      <w:r w:rsidRPr="00ED4D49">
        <w:t xml:space="preserve">rotected </w:t>
      </w:r>
      <w:r w:rsidR="00DA00BD" w:rsidRPr="00ED4D49">
        <w:t>A</w:t>
      </w:r>
      <w:r w:rsidRPr="00ED4D49">
        <w:t>reas</w:t>
      </w:r>
      <w:bookmarkEnd w:id="74"/>
    </w:p>
    <w:p w14:paraId="3774DBBF" w14:textId="5341657C" w:rsidR="0024745F" w:rsidRPr="00ED4D49" w:rsidRDefault="0024745F" w:rsidP="0024745F">
      <w:pPr>
        <w:jc w:val="both"/>
        <w:rPr>
          <w:rFonts w:cs="Calibri"/>
          <w:bCs/>
          <w:szCs w:val="20"/>
          <w:lang w:val="en-US" w:eastAsia="bs-Latn-BA"/>
        </w:rPr>
      </w:pPr>
      <w:r w:rsidRPr="00ED4D49">
        <w:rPr>
          <w:lang w:val="en-US"/>
        </w:rPr>
        <w:t>Sava Basin is characterized by diverse environmental conditions and consequently a complex bio-geographic feature, which is presented by division to eco-regions</w:t>
      </w:r>
      <w:r w:rsidRPr="00ED4D49">
        <w:rPr>
          <w:rStyle w:val="FootnoteReference"/>
          <w:lang w:val="en-US"/>
        </w:rPr>
        <w:footnoteReference w:id="11"/>
      </w:r>
      <w:r w:rsidRPr="00ED4D49">
        <w:rPr>
          <w:lang w:val="en-US"/>
        </w:rPr>
        <w:t xml:space="preserve">. Within the </w:t>
      </w:r>
      <w:r w:rsidR="00FE00FE" w:rsidRPr="00ED4D49">
        <w:rPr>
          <w:lang w:val="en-US"/>
        </w:rPr>
        <w:t>SRB,</w:t>
      </w:r>
      <w:r w:rsidRPr="00ED4D49">
        <w:rPr>
          <w:lang w:val="en-US"/>
        </w:rPr>
        <w:t xml:space="preserve"> there are four eco-regions: Alps, Dinaric western Balkan, Hellenic western Balkan and Hungarian lowlands</w:t>
      </w:r>
      <w:r w:rsidRPr="00ED4D49">
        <w:rPr>
          <w:rStyle w:val="FootnoteReference"/>
          <w:lang w:val="en-US"/>
        </w:rPr>
        <w:footnoteReference w:id="12"/>
      </w:r>
      <w:r w:rsidRPr="00ED4D49">
        <w:rPr>
          <w:lang w:val="en-US"/>
        </w:rPr>
        <w:t>. According to the</w:t>
      </w:r>
      <w:r w:rsidRPr="00ED4D49">
        <w:rPr>
          <w:i/>
          <w:lang w:val="en-US"/>
        </w:rPr>
        <w:t xml:space="preserve"> Second Sava River Basin Analysis Report</w:t>
      </w:r>
      <w:r w:rsidRPr="00ED4D49">
        <w:rPr>
          <w:rStyle w:val="FootnoteReference"/>
          <w:i/>
          <w:lang w:val="en-US"/>
        </w:rPr>
        <w:footnoteReference w:id="13"/>
      </w:r>
      <w:r w:rsidR="00FE00FE" w:rsidRPr="00ED4D49">
        <w:rPr>
          <w:i/>
          <w:lang w:val="en-US"/>
        </w:rPr>
        <w:t>,</w:t>
      </w:r>
      <w:r w:rsidRPr="00ED4D49">
        <w:rPr>
          <w:lang w:val="en-US"/>
        </w:rPr>
        <w:t xml:space="preserve"> all </w:t>
      </w:r>
      <w:r w:rsidR="00FE00FE" w:rsidRPr="00ED4D49">
        <w:rPr>
          <w:lang w:val="en-US"/>
        </w:rPr>
        <w:t>parts of BiH i</w:t>
      </w:r>
      <w:r w:rsidRPr="00ED4D49">
        <w:rPr>
          <w:lang w:val="en-US"/>
        </w:rPr>
        <w:t xml:space="preserve">n the </w:t>
      </w:r>
      <w:r w:rsidR="00FE00FE" w:rsidRPr="00ED4D49">
        <w:rPr>
          <w:lang w:val="en-US"/>
        </w:rPr>
        <w:t xml:space="preserve">SRB </w:t>
      </w:r>
      <w:r w:rsidRPr="00ED4D49">
        <w:rPr>
          <w:lang w:val="en-US"/>
        </w:rPr>
        <w:t xml:space="preserve">belong to eco-region 5. Concerning the altitude, area of </w:t>
      </w:r>
      <w:r w:rsidR="00FE00FE" w:rsidRPr="00ED4D49">
        <w:rPr>
          <w:lang w:val="en-US"/>
        </w:rPr>
        <w:t>BiH</w:t>
      </w:r>
      <w:r w:rsidRPr="00ED4D49">
        <w:rPr>
          <w:lang w:val="en-US"/>
        </w:rPr>
        <w:t xml:space="preserve"> is </w:t>
      </w:r>
      <w:r w:rsidRPr="00ED4D49">
        <w:rPr>
          <w:lang w:val="en-US"/>
        </w:rPr>
        <w:lastRenderedPageBreak/>
        <w:t xml:space="preserve">situated in between 90 m </w:t>
      </w:r>
      <w:proofErr w:type="spellStart"/>
      <w:r w:rsidRPr="00ED4D49">
        <w:rPr>
          <w:lang w:val="en-US"/>
        </w:rPr>
        <w:t>a.s.l</w:t>
      </w:r>
      <w:proofErr w:type="spellEnd"/>
      <w:r w:rsidRPr="00ED4D49">
        <w:rPr>
          <w:lang w:val="en-US"/>
        </w:rPr>
        <w:t xml:space="preserve">. in the area of </w:t>
      </w:r>
      <w:proofErr w:type="spellStart"/>
      <w:r w:rsidRPr="00ED4D49">
        <w:rPr>
          <w:lang w:val="en-US"/>
        </w:rPr>
        <w:t>Posavina</w:t>
      </w:r>
      <w:proofErr w:type="spellEnd"/>
      <w:r w:rsidRPr="00ED4D49">
        <w:rPr>
          <w:lang w:val="en-US"/>
        </w:rPr>
        <w:t xml:space="preserve"> and </w:t>
      </w:r>
      <w:proofErr w:type="spellStart"/>
      <w:r w:rsidRPr="00ED4D49">
        <w:rPr>
          <w:lang w:val="en-US"/>
        </w:rPr>
        <w:t>Semberija</w:t>
      </w:r>
      <w:proofErr w:type="spellEnd"/>
      <w:r w:rsidRPr="00ED4D49">
        <w:rPr>
          <w:lang w:val="en-US"/>
        </w:rPr>
        <w:t xml:space="preserve"> and over 2.100 m </w:t>
      </w:r>
      <w:proofErr w:type="spellStart"/>
      <w:r w:rsidRPr="00ED4D49">
        <w:rPr>
          <w:lang w:val="en-US"/>
        </w:rPr>
        <w:t>a.s.l</w:t>
      </w:r>
      <w:proofErr w:type="spellEnd"/>
      <w:r w:rsidRPr="00ED4D49">
        <w:rPr>
          <w:lang w:val="en-US"/>
        </w:rPr>
        <w:t xml:space="preserve">. on high mountains of the southeast and northwestern part. Fertile plains are mostly situated in the valleys of the Sava, Bosna, Drina, Vrbas and Una Rivers and the outstanding ones are </w:t>
      </w:r>
      <w:proofErr w:type="spellStart"/>
      <w:r w:rsidRPr="00ED4D49">
        <w:rPr>
          <w:lang w:val="en-US"/>
        </w:rPr>
        <w:t>Posavina</w:t>
      </w:r>
      <w:proofErr w:type="spellEnd"/>
      <w:r w:rsidRPr="00ED4D49">
        <w:rPr>
          <w:lang w:val="en-US"/>
        </w:rPr>
        <w:t xml:space="preserve">, </w:t>
      </w:r>
      <w:proofErr w:type="spellStart"/>
      <w:r w:rsidRPr="00ED4D49">
        <w:rPr>
          <w:lang w:val="en-US"/>
        </w:rPr>
        <w:t>Semberija</w:t>
      </w:r>
      <w:proofErr w:type="spellEnd"/>
      <w:r w:rsidRPr="00ED4D49">
        <w:rPr>
          <w:lang w:val="en-US"/>
        </w:rPr>
        <w:t xml:space="preserve">, </w:t>
      </w:r>
      <w:proofErr w:type="spellStart"/>
      <w:r w:rsidRPr="00ED4D49">
        <w:rPr>
          <w:lang w:val="en-US"/>
        </w:rPr>
        <w:t>Lijev</w:t>
      </w:r>
      <w:r w:rsidR="00A7018E" w:rsidRPr="00ED4D49">
        <w:rPr>
          <w:lang w:val="en-US"/>
        </w:rPr>
        <w:t>c</w:t>
      </w:r>
      <w:r w:rsidRPr="00ED4D49">
        <w:rPr>
          <w:lang w:val="en-US"/>
        </w:rPr>
        <w:t>e</w:t>
      </w:r>
      <w:proofErr w:type="spellEnd"/>
      <w:r w:rsidRPr="00ED4D49">
        <w:rPr>
          <w:lang w:val="en-US"/>
        </w:rPr>
        <w:t xml:space="preserve"> polje, etc.</w:t>
      </w:r>
    </w:p>
    <w:p w14:paraId="191F115F" w14:textId="0CA887FA" w:rsidR="0024745F" w:rsidRPr="00ED4D49" w:rsidRDefault="0024745F" w:rsidP="0024745F">
      <w:pPr>
        <w:jc w:val="both"/>
        <w:rPr>
          <w:rFonts w:cs="Calibri"/>
          <w:bCs/>
          <w:szCs w:val="20"/>
          <w:lang w:val="en-US" w:eastAsia="bs-Latn-BA"/>
        </w:rPr>
      </w:pPr>
      <w:r w:rsidRPr="00ED4D49">
        <w:rPr>
          <w:rFonts w:cs="Calibri"/>
          <w:bCs/>
          <w:szCs w:val="20"/>
          <w:lang w:val="en-US" w:eastAsia="bs-Latn-BA"/>
        </w:rPr>
        <w:t xml:space="preserve">Based on the </w:t>
      </w:r>
      <w:r w:rsidRPr="00ED4D49">
        <w:rPr>
          <w:rFonts w:cs="Calibri"/>
          <w:bCs/>
          <w:i/>
          <w:szCs w:val="20"/>
          <w:lang w:val="en-US" w:eastAsia="bs-Latn-BA"/>
        </w:rPr>
        <w:t>United Nations World Water Development Report</w:t>
      </w:r>
      <w:r w:rsidRPr="00ED4D49">
        <w:rPr>
          <w:rStyle w:val="FootnoteReference"/>
          <w:rFonts w:cs="Calibri"/>
          <w:bCs/>
          <w:szCs w:val="20"/>
          <w:lang w:val="en-US" w:eastAsia="bs-Latn-BA"/>
        </w:rPr>
        <w:footnoteReference w:id="14"/>
      </w:r>
      <w:r w:rsidRPr="00ED4D49">
        <w:rPr>
          <w:rFonts w:cs="Calibri"/>
          <w:bCs/>
          <w:szCs w:val="20"/>
          <w:lang w:val="en-US" w:eastAsia="bs-Latn-BA"/>
        </w:rPr>
        <w:t xml:space="preserve"> the </w:t>
      </w:r>
      <w:r w:rsidR="00FE00FE" w:rsidRPr="00ED4D49">
        <w:rPr>
          <w:rFonts w:cs="Calibri"/>
          <w:bCs/>
          <w:szCs w:val="20"/>
          <w:lang w:val="en-US" w:eastAsia="bs-Latn-BA"/>
        </w:rPr>
        <w:t>SRB</w:t>
      </w:r>
      <w:r w:rsidRPr="00ED4D49">
        <w:rPr>
          <w:rFonts w:cs="Calibri"/>
          <w:bCs/>
          <w:szCs w:val="20"/>
          <w:lang w:val="en-US" w:eastAsia="bs-Latn-BA"/>
        </w:rPr>
        <w:t xml:space="preserve"> is of</w:t>
      </w:r>
      <w:r w:rsidR="00FE00FE" w:rsidRPr="00ED4D49">
        <w:rPr>
          <w:rFonts w:cs="Calibri"/>
          <w:bCs/>
          <w:szCs w:val="20"/>
          <w:lang w:val="en-US" w:eastAsia="bs-Latn-BA"/>
        </w:rPr>
        <w:t xml:space="preserve"> great</w:t>
      </w:r>
      <w:r w:rsidRPr="00ED4D49">
        <w:rPr>
          <w:rFonts w:cs="Calibri"/>
          <w:bCs/>
          <w:szCs w:val="20"/>
          <w:lang w:val="en-US" w:eastAsia="bs-Latn-BA"/>
        </w:rPr>
        <w:t xml:space="preserve"> significance due to its outstanding biological and landscape diversity. It hosts the largest complexes of lowland forests as well as largest alluvial floodplain wetland site in the Danube basin. The vast lowland and alluvial forests serve multiple functions and are of economic significance: they provide valuable timber, store a significant amount of carbon and prevent soil erosion. </w:t>
      </w:r>
      <w:r w:rsidRPr="00ED4D49">
        <w:rPr>
          <w:lang w:val="en-US"/>
        </w:rPr>
        <w:t>Unfortunately, wetlands are among the most threatened ecosystems, owing mainly to ongoing drainage, conversion, pollution, and over-exploitation of their resources.</w:t>
      </w:r>
    </w:p>
    <w:p w14:paraId="57EA1AF7" w14:textId="77777777" w:rsidR="0024745F" w:rsidRPr="00ED4D49" w:rsidRDefault="0024745F" w:rsidP="0024745F">
      <w:pPr>
        <w:jc w:val="both"/>
        <w:rPr>
          <w:lang w:val="en-US"/>
        </w:rPr>
      </w:pPr>
      <w:r w:rsidRPr="00ED4D49">
        <w:rPr>
          <w:lang w:val="en-US"/>
        </w:rPr>
        <w:t>Lack of environmental infrastructure and institutional mechanisms for addressing transboundary impacts is causing serious environmental concerns in the basin</w:t>
      </w:r>
      <w:r w:rsidRPr="00ED4D49">
        <w:rPr>
          <w:rStyle w:val="FootnoteReference"/>
          <w:lang w:val="en-US"/>
        </w:rPr>
        <w:footnoteReference w:id="15"/>
      </w:r>
      <w:r w:rsidRPr="00ED4D49">
        <w:rPr>
          <w:lang w:val="en-US"/>
        </w:rPr>
        <w:t>.</w:t>
      </w:r>
    </w:p>
    <w:p w14:paraId="4B194B13" w14:textId="77777777" w:rsidR="0024745F" w:rsidRPr="00ED4D49" w:rsidRDefault="0024745F" w:rsidP="0024745F">
      <w:pPr>
        <w:spacing w:after="0"/>
        <w:jc w:val="both"/>
        <w:rPr>
          <w:rStyle w:val="tlid-translation"/>
          <w:color w:val="1F497D"/>
          <w:lang w:val="en-US"/>
        </w:rPr>
      </w:pPr>
      <w:r w:rsidRPr="00ED4D49">
        <w:rPr>
          <w:rStyle w:val="tlid-translation"/>
          <w:color w:val="1F497D"/>
          <w:lang w:val="en-US"/>
        </w:rPr>
        <w:t>Flora</w:t>
      </w:r>
    </w:p>
    <w:p w14:paraId="2461ED79" w14:textId="7FF6F20C" w:rsidR="0024745F" w:rsidRPr="00ED4D49" w:rsidRDefault="0024745F" w:rsidP="0024745F">
      <w:pPr>
        <w:jc w:val="both"/>
        <w:rPr>
          <w:rFonts w:cs="Calibri"/>
          <w:szCs w:val="20"/>
          <w:lang w:val="en-US" w:eastAsia="hr-HR"/>
        </w:rPr>
      </w:pPr>
      <w:r w:rsidRPr="00ED4D49">
        <w:rPr>
          <w:rFonts w:cs="Calibri"/>
          <w:szCs w:val="20"/>
          <w:lang w:val="en-US" w:eastAsia="hr-HR"/>
        </w:rPr>
        <w:t xml:space="preserve">According to the </w:t>
      </w:r>
      <w:r w:rsidRPr="00ED4D49">
        <w:rPr>
          <w:rFonts w:cs="Calibri"/>
          <w:i/>
          <w:szCs w:val="20"/>
          <w:lang w:val="en-US" w:eastAsia="hr-HR"/>
        </w:rPr>
        <w:t>Strategic Environmental Impact Study</w:t>
      </w:r>
      <w:r w:rsidRPr="00ED4D49">
        <w:rPr>
          <w:rFonts w:cs="Calibri"/>
          <w:szCs w:val="20"/>
          <w:lang w:val="en-US" w:eastAsia="hr-HR"/>
        </w:rPr>
        <w:t xml:space="preserve"> conducted within</w:t>
      </w:r>
      <w:r w:rsidR="00FE00FE" w:rsidRPr="00ED4D49">
        <w:rPr>
          <w:rFonts w:cs="Calibri"/>
          <w:szCs w:val="20"/>
          <w:lang w:val="en-US" w:eastAsia="hr-HR"/>
        </w:rPr>
        <w:t xml:space="preserve"> the</w:t>
      </w:r>
      <w:r w:rsidRPr="00ED4D49">
        <w:rPr>
          <w:rFonts w:cs="Calibri"/>
          <w:szCs w:val="20"/>
          <w:lang w:val="en-US" w:eastAsia="hr-HR"/>
        </w:rPr>
        <w:t xml:space="preserve"> Interreg IPA Cross-border Cooperation Program Croatia-</w:t>
      </w:r>
      <w:r w:rsidR="00FE00FE" w:rsidRPr="00ED4D49">
        <w:rPr>
          <w:rFonts w:cs="Calibri"/>
          <w:szCs w:val="20"/>
          <w:lang w:val="en-US" w:eastAsia="hr-HR"/>
        </w:rPr>
        <w:t>BiH</w:t>
      </w:r>
      <w:r w:rsidRPr="00ED4D49">
        <w:rPr>
          <w:rFonts w:cs="Calibri"/>
          <w:szCs w:val="20"/>
          <w:lang w:val="en-US" w:eastAsia="hr-HR"/>
        </w:rPr>
        <w:t xml:space="preserve">-Montenegro 2014-2020, </w:t>
      </w:r>
      <w:proofErr w:type="spellStart"/>
      <w:r w:rsidRPr="00ED4D49">
        <w:rPr>
          <w:rFonts w:cs="Calibri"/>
          <w:szCs w:val="20"/>
          <w:lang w:val="en-US" w:eastAsia="hr-HR"/>
        </w:rPr>
        <w:t>phytocoenosis</w:t>
      </w:r>
      <w:proofErr w:type="spellEnd"/>
      <w:r w:rsidRPr="00ED4D49">
        <w:rPr>
          <w:rFonts w:cs="Calibri"/>
          <w:szCs w:val="20"/>
          <w:lang w:val="en-US" w:eastAsia="hr-HR"/>
        </w:rPr>
        <w:t xml:space="preserve"> distribution is analogue to that described for Croatia, while the major tree species are common fir, Norway spruce, Scots pine, black pine, common beach, various oak species and a smaller amount of noble broadleaves (maples, chestnut, walnut, crab apple, European pear, cherries, lindens and elms) and various fruit trees. </w:t>
      </w:r>
    </w:p>
    <w:p w14:paraId="5BDFFF11" w14:textId="0F09B631" w:rsidR="0024745F" w:rsidRPr="00ED4D49" w:rsidRDefault="0024745F" w:rsidP="0024745F">
      <w:pPr>
        <w:jc w:val="both"/>
        <w:rPr>
          <w:lang w:val="en-US"/>
        </w:rPr>
      </w:pPr>
      <w:r w:rsidRPr="00ED4D49">
        <w:rPr>
          <w:lang w:val="en-US"/>
        </w:rPr>
        <w:t xml:space="preserve">Based on geomorphological units, </w:t>
      </w:r>
      <w:r w:rsidR="00FE00FE" w:rsidRPr="00ED4D49">
        <w:rPr>
          <w:lang w:val="en-US"/>
        </w:rPr>
        <w:t xml:space="preserve">the </w:t>
      </w:r>
      <w:r w:rsidRPr="00ED4D49">
        <w:rPr>
          <w:lang w:val="en-US"/>
        </w:rPr>
        <w:t>Sava River has three sections: upper, middle and lower Sava. Middle and lower Sava sections are situated in BiH.</w:t>
      </w:r>
      <w:r w:rsidRPr="00ED4D49">
        <w:rPr>
          <w:i/>
          <w:lang w:val="en-US"/>
        </w:rPr>
        <w:t xml:space="preserve"> </w:t>
      </w:r>
      <w:r w:rsidRPr="00ED4D49">
        <w:rPr>
          <w:lang w:val="en-US"/>
        </w:rPr>
        <w:t>Study prepared as part of the</w:t>
      </w:r>
      <w:r w:rsidRPr="00ED4D49">
        <w:rPr>
          <w:i/>
          <w:lang w:val="en-US"/>
        </w:rPr>
        <w:t xml:space="preserve"> Save the Blue Heart of Europe </w:t>
      </w:r>
      <w:r w:rsidRPr="00ED4D49">
        <w:rPr>
          <w:lang w:val="en-US"/>
        </w:rPr>
        <w:t xml:space="preserve">campaign and the project </w:t>
      </w:r>
      <w:r w:rsidRPr="00ED4D49">
        <w:rPr>
          <w:i/>
          <w:lang w:val="en-US"/>
        </w:rPr>
        <w:t xml:space="preserve">“Fostering the Protection of the Sava River and its Floodplains – </w:t>
      </w:r>
      <w:proofErr w:type="spellStart"/>
      <w:r w:rsidRPr="00ED4D49">
        <w:rPr>
          <w:i/>
          <w:lang w:val="en-US"/>
        </w:rPr>
        <w:t>SavaParks</w:t>
      </w:r>
      <w:proofErr w:type="spellEnd"/>
      <w:r w:rsidRPr="00ED4D49">
        <w:rPr>
          <w:i/>
          <w:lang w:val="en-US"/>
        </w:rPr>
        <w:t>”</w:t>
      </w:r>
      <w:r w:rsidRPr="00ED4D49">
        <w:rPr>
          <w:lang w:val="en-US"/>
        </w:rPr>
        <w:t xml:space="preserve"> acknowledge that these sections are very rich in aquatic vegetation. Swampy vegetation is widespread and richly developed in side-channels, smaller tributaries, and particularly in oxbows and backwaters. Frequently occurring protected species in the morphological floodplain include floating water moss (</w:t>
      </w:r>
      <w:r w:rsidRPr="00ED4D49">
        <w:rPr>
          <w:i/>
          <w:lang w:val="en-US"/>
        </w:rPr>
        <w:t xml:space="preserve">Salvinia </w:t>
      </w:r>
      <w:proofErr w:type="spellStart"/>
      <w:r w:rsidRPr="00ED4D49">
        <w:rPr>
          <w:i/>
          <w:lang w:val="en-US"/>
        </w:rPr>
        <w:t>natans</w:t>
      </w:r>
      <w:proofErr w:type="spellEnd"/>
      <w:r w:rsidRPr="00ED4D49">
        <w:rPr>
          <w:lang w:val="en-US"/>
        </w:rPr>
        <w:t>), water caltrop (</w:t>
      </w:r>
      <w:r w:rsidRPr="00ED4D49">
        <w:rPr>
          <w:i/>
          <w:lang w:val="en-US"/>
        </w:rPr>
        <w:t xml:space="preserve">Trapa </w:t>
      </w:r>
      <w:proofErr w:type="spellStart"/>
      <w:r w:rsidRPr="00ED4D49">
        <w:rPr>
          <w:i/>
          <w:lang w:val="en-US"/>
        </w:rPr>
        <w:t>natans</w:t>
      </w:r>
      <w:proofErr w:type="spellEnd"/>
      <w:r w:rsidRPr="00ED4D49">
        <w:rPr>
          <w:lang w:val="en-US"/>
        </w:rPr>
        <w:t>), water soldier (</w:t>
      </w:r>
      <w:r w:rsidRPr="00ED4D49">
        <w:rPr>
          <w:i/>
          <w:lang w:val="en-US"/>
        </w:rPr>
        <w:t xml:space="preserve">Stratiotes </w:t>
      </w:r>
      <w:proofErr w:type="spellStart"/>
      <w:r w:rsidRPr="00ED4D49">
        <w:rPr>
          <w:i/>
          <w:lang w:val="en-US"/>
        </w:rPr>
        <w:t>aloides</w:t>
      </w:r>
      <w:proofErr w:type="spellEnd"/>
      <w:r w:rsidRPr="00ED4D49">
        <w:rPr>
          <w:lang w:val="en-US"/>
        </w:rPr>
        <w:t>) and fringed water-lily (</w:t>
      </w:r>
      <w:proofErr w:type="spellStart"/>
      <w:r w:rsidRPr="00ED4D49">
        <w:rPr>
          <w:i/>
          <w:lang w:val="en-US"/>
        </w:rPr>
        <w:t>Nymphoides</w:t>
      </w:r>
      <w:proofErr w:type="spellEnd"/>
      <w:r w:rsidRPr="00ED4D49">
        <w:rPr>
          <w:i/>
          <w:lang w:val="en-US"/>
        </w:rPr>
        <w:t xml:space="preserve"> </w:t>
      </w:r>
      <w:proofErr w:type="spellStart"/>
      <w:r w:rsidRPr="00ED4D49">
        <w:rPr>
          <w:i/>
          <w:lang w:val="en-US"/>
        </w:rPr>
        <w:t>peltata</w:t>
      </w:r>
      <w:proofErr w:type="spellEnd"/>
      <w:r w:rsidRPr="00ED4D49">
        <w:rPr>
          <w:lang w:val="en-US"/>
        </w:rPr>
        <w:t xml:space="preserve">). The littoral zone of the river, consisting of bars and banks, is colonized by annual pioneer species like the </w:t>
      </w:r>
      <w:proofErr w:type="spellStart"/>
      <w:r w:rsidRPr="00ED4D49">
        <w:rPr>
          <w:lang w:val="en-US"/>
        </w:rPr>
        <w:t>mudwort</w:t>
      </w:r>
      <w:proofErr w:type="spellEnd"/>
      <w:r w:rsidRPr="00ED4D49">
        <w:rPr>
          <w:lang w:val="en-US"/>
        </w:rPr>
        <w:t xml:space="preserve"> (</w:t>
      </w:r>
      <w:proofErr w:type="spellStart"/>
      <w:r w:rsidRPr="00ED4D49">
        <w:rPr>
          <w:i/>
          <w:lang w:val="en-US"/>
        </w:rPr>
        <w:t>Limosella</w:t>
      </w:r>
      <w:proofErr w:type="spellEnd"/>
      <w:r w:rsidRPr="00ED4D49">
        <w:rPr>
          <w:i/>
          <w:lang w:val="en-US"/>
        </w:rPr>
        <w:t xml:space="preserve"> aquatica</w:t>
      </w:r>
      <w:r w:rsidRPr="00ED4D49">
        <w:rPr>
          <w:lang w:val="en-US"/>
        </w:rPr>
        <w:t>). The woody vegetation consists of riparian gallery forests of willows and white and black poplars (</w:t>
      </w:r>
      <w:r w:rsidRPr="00ED4D49">
        <w:rPr>
          <w:i/>
          <w:lang w:val="en-US"/>
        </w:rPr>
        <w:t>Populus alba</w:t>
      </w:r>
      <w:r w:rsidRPr="00ED4D49">
        <w:rPr>
          <w:lang w:val="en-US"/>
        </w:rPr>
        <w:t xml:space="preserve"> and </w:t>
      </w:r>
      <w:r w:rsidRPr="00ED4D49">
        <w:rPr>
          <w:i/>
          <w:lang w:val="en-US"/>
        </w:rPr>
        <w:t>Populus nigra</w:t>
      </w:r>
      <w:r w:rsidRPr="00ED4D49">
        <w:rPr>
          <w:lang w:val="en-US"/>
        </w:rPr>
        <w:t>). Low-lying and frequently flooded forests are characterized by narrow-leafed ash (</w:t>
      </w:r>
      <w:r w:rsidRPr="00ED4D49">
        <w:rPr>
          <w:i/>
          <w:lang w:val="en-US"/>
        </w:rPr>
        <w:t>Fraxinus angustifolia</w:t>
      </w:r>
      <w:r w:rsidRPr="00ED4D49">
        <w:rPr>
          <w:lang w:val="en-US"/>
        </w:rPr>
        <w:t>) and – on small elevated stands – oak (</w:t>
      </w:r>
      <w:r w:rsidRPr="00ED4D49">
        <w:rPr>
          <w:i/>
          <w:lang w:val="en-US"/>
        </w:rPr>
        <w:t xml:space="preserve">Quercus </w:t>
      </w:r>
      <w:proofErr w:type="spellStart"/>
      <w:r w:rsidRPr="00ED4D49">
        <w:rPr>
          <w:i/>
          <w:lang w:val="en-US"/>
        </w:rPr>
        <w:t>robur</w:t>
      </w:r>
      <w:proofErr w:type="spellEnd"/>
      <w:r w:rsidRPr="00ED4D49">
        <w:rPr>
          <w:lang w:val="en-US"/>
        </w:rPr>
        <w:t>) with European white elm (</w:t>
      </w:r>
      <w:r w:rsidRPr="00ED4D49">
        <w:rPr>
          <w:i/>
          <w:lang w:val="en-US"/>
        </w:rPr>
        <w:t>Ulmus laevis</w:t>
      </w:r>
      <w:r w:rsidRPr="00ED4D49">
        <w:rPr>
          <w:lang w:val="en-US"/>
        </w:rPr>
        <w:t>). Black alder woods (</w:t>
      </w:r>
      <w:r w:rsidRPr="00ED4D49">
        <w:rPr>
          <w:i/>
          <w:lang w:val="en-US"/>
        </w:rPr>
        <w:t xml:space="preserve">Alnus </w:t>
      </w:r>
      <w:proofErr w:type="spellStart"/>
      <w:r w:rsidRPr="00ED4D49">
        <w:rPr>
          <w:i/>
          <w:lang w:val="en-US"/>
        </w:rPr>
        <w:t>glutinosa</w:t>
      </w:r>
      <w:proofErr w:type="spellEnd"/>
      <w:r w:rsidRPr="00ED4D49">
        <w:rPr>
          <w:lang w:val="en-US"/>
        </w:rPr>
        <w:t xml:space="preserve">) can be found in depressions and fringes of the floodplain. An occurring specific flood-tolerant wet grassland type known as </w:t>
      </w:r>
      <w:proofErr w:type="spellStart"/>
      <w:r w:rsidRPr="00ED4D49">
        <w:rPr>
          <w:lang w:val="en-US"/>
        </w:rPr>
        <w:t>Cnidion</w:t>
      </w:r>
      <w:proofErr w:type="spellEnd"/>
      <w:r w:rsidRPr="00ED4D49">
        <w:rPr>
          <w:lang w:val="en-US"/>
        </w:rPr>
        <w:t xml:space="preserve"> meadows/pastures may be partially natural, shaped by large herbivores</w:t>
      </w:r>
      <w:r w:rsidRPr="00ED4D49">
        <w:rPr>
          <w:rStyle w:val="FootnoteReference"/>
          <w:lang w:val="en-US"/>
        </w:rPr>
        <w:footnoteReference w:id="16"/>
      </w:r>
      <w:r w:rsidRPr="00ED4D49">
        <w:rPr>
          <w:lang w:val="en-US"/>
        </w:rPr>
        <w:t>.</w:t>
      </w:r>
    </w:p>
    <w:p w14:paraId="3B490D49" w14:textId="244318E8" w:rsidR="0024745F" w:rsidRPr="00ED4D49" w:rsidRDefault="0024745F" w:rsidP="0024745F">
      <w:pPr>
        <w:jc w:val="both"/>
        <w:rPr>
          <w:rFonts w:cs="Calibri"/>
          <w:color w:val="191917"/>
          <w:szCs w:val="20"/>
          <w:shd w:val="clear" w:color="auto" w:fill="FFFFFF"/>
          <w:lang w:val="en-US"/>
        </w:rPr>
      </w:pPr>
      <w:r w:rsidRPr="00ED4D49">
        <w:rPr>
          <w:lang w:val="en-US"/>
        </w:rPr>
        <w:t xml:space="preserve">More detailed data on wetland forest ecosystems are given within the </w:t>
      </w:r>
      <w:r w:rsidR="001B5262" w:rsidRPr="00ED4D49">
        <w:rPr>
          <w:rFonts w:cs="Calibri"/>
          <w:i/>
          <w:szCs w:val="20"/>
          <w:lang w:val="en-US" w:eastAsia="bs-Latn-BA"/>
        </w:rPr>
        <w:t>“</w:t>
      </w:r>
      <w:r w:rsidRPr="00ED4D49">
        <w:rPr>
          <w:rFonts w:cs="Calibri"/>
          <w:i/>
          <w:szCs w:val="20"/>
          <w:lang w:val="en-US" w:eastAsia="bs-Latn-BA"/>
        </w:rPr>
        <w:t>First National Report of BiH for the Convention on Biodiversity</w:t>
      </w:r>
      <w:r w:rsidR="001B5262" w:rsidRPr="00ED4D49">
        <w:rPr>
          <w:rFonts w:cs="Calibri"/>
          <w:i/>
          <w:szCs w:val="20"/>
          <w:lang w:val="en-US" w:eastAsia="bs-Latn-BA"/>
        </w:rPr>
        <w:t>”</w:t>
      </w:r>
      <w:r w:rsidR="00C6478C" w:rsidRPr="00ED4D49">
        <w:rPr>
          <w:rFonts w:cs="Calibri"/>
          <w:i/>
          <w:szCs w:val="20"/>
          <w:lang w:val="en-US" w:eastAsia="bs-Latn-BA"/>
        </w:rPr>
        <w:t xml:space="preserve"> </w:t>
      </w:r>
      <w:r w:rsidRPr="00ED4D49">
        <w:rPr>
          <w:rFonts w:cs="Calibri"/>
          <w:szCs w:val="20"/>
          <w:lang w:val="en-US" w:eastAsia="bs-Latn-BA"/>
        </w:rPr>
        <w:t xml:space="preserve">listing ten ecosystems developed along </w:t>
      </w:r>
      <w:r w:rsidR="001B5262" w:rsidRPr="00ED4D49">
        <w:rPr>
          <w:rFonts w:cs="Calibri"/>
          <w:szCs w:val="20"/>
          <w:lang w:val="en-US" w:eastAsia="bs-Latn-BA"/>
        </w:rPr>
        <w:t xml:space="preserve">the Sava </w:t>
      </w:r>
      <w:r w:rsidRPr="00ED4D49">
        <w:rPr>
          <w:rFonts w:cs="Calibri"/>
          <w:szCs w:val="20"/>
          <w:lang w:val="en-US" w:eastAsia="bs-Latn-BA"/>
        </w:rPr>
        <w:t>riverbanks</w:t>
      </w:r>
      <w:r w:rsidRPr="00ED4D49">
        <w:rPr>
          <w:rStyle w:val="FootnoteReference"/>
          <w:rFonts w:cs="Calibri"/>
          <w:szCs w:val="20"/>
          <w:lang w:val="en-US" w:eastAsia="bs-Latn-BA"/>
        </w:rPr>
        <w:footnoteReference w:id="17"/>
      </w:r>
      <w:r w:rsidRPr="00ED4D49">
        <w:rPr>
          <w:rFonts w:cs="Calibri"/>
          <w:szCs w:val="20"/>
          <w:lang w:val="en-US" w:eastAsia="bs-Latn-BA"/>
        </w:rPr>
        <w:t>:</w:t>
      </w:r>
    </w:p>
    <w:p w14:paraId="7C8F88C0" w14:textId="77777777" w:rsidR="0024745F" w:rsidRPr="00ED4D49" w:rsidRDefault="0024745F" w:rsidP="008D64BA">
      <w:pPr>
        <w:pStyle w:val="Bullets"/>
      </w:pPr>
      <w:r w:rsidRPr="00ED4D49">
        <w:t>Ecosystem of silver leaved and black poplar;</w:t>
      </w:r>
    </w:p>
    <w:p w14:paraId="297E28C9" w14:textId="77777777" w:rsidR="0024745F" w:rsidRPr="00ED4D49" w:rsidRDefault="0024745F" w:rsidP="008D64BA">
      <w:pPr>
        <w:pStyle w:val="Bullets"/>
      </w:pPr>
      <w:r w:rsidRPr="00ED4D49">
        <w:t>Ecosystem of white willow and black poplar;</w:t>
      </w:r>
    </w:p>
    <w:p w14:paraId="67EF6462" w14:textId="77777777" w:rsidR="0024745F" w:rsidRPr="00ED4D49" w:rsidRDefault="0024745F" w:rsidP="008D64BA">
      <w:pPr>
        <w:pStyle w:val="Bullets"/>
      </w:pPr>
      <w:r w:rsidRPr="00ED4D49">
        <w:t>Ecosystem of alder and sedges;</w:t>
      </w:r>
    </w:p>
    <w:p w14:paraId="65EAFABC" w14:textId="77777777" w:rsidR="0024745F" w:rsidRPr="00ED4D49" w:rsidRDefault="0024745F" w:rsidP="008D64BA">
      <w:pPr>
        <w:pStyle w:val="Bullets"/>
      </w:pPr>
      <w:r w:rsidRPr="00ED4D49">
        <w:t>Ecosystem of alder and buckthorn;</w:t>
      </w:r>
    </w:p>
    <w:p w14:paraId="02A1F729" w14:textId="77777777" w:rsidR="0024745F" w:rsidRPr="00ED4D49" w:rsidRDefault="0024745F" w:rsidP="008D64BA">
      <w:pPr>
        <w:pStyle w:val="Bullets"/>
      </w:pPr>
      <w:r w:rsidRPr="00ED4D49">
        <w:t>Ecosystem of snowflake and Fraxinus angustifolia;</w:t>
      </w:r>
    </w:p>
    <w:p w14:paraId="1A9392D9" w14:textId="77777777" w:rsidR="0024745F" w:rsidRPr="00ED4D49" w:rsidRDefault="0024745F" w:rsidP="008D64BA">
      <w:pPr>
        <w:pStyle w:val="Bullets"/>
      </w:pPr>
      <w:r w:rsidRPr="00ED4D49">
        <w:lastRenderedPageBreak/>
        <w:t>Ecosystem of white willow;</w:t>
      </w:r>
    </w:p>
    <w:p w14:paraId="2A755618" w14:textId="77777777" w:rsidR="0024745F" w:rsidRPr="00ED4D49" w:rsidRDefault="0024745F" w:rsidP="008D64BA">
      <w:pPr>
        <w:pStyle w:val="Bullets"/>
      </w:pPr>
      <w:r w:rsidRPr="00ED4D49">
        <w:t xml:space="preserve">Ecosystems of </w:t>
      </w:r>
      <w:proofErr w:type="spellStart"/>
      <w:r w:rsidRPr="00ED4D49">
        <w:t>woadwaxen</w:t>
      </w:r>
      <w:proofErr w:type="spellEnd"/>
      <w:r w:rsidRPr="00ED4D49">
        <w:t xml:space="preserve"> and common oak; </w:t>
      </w:r>
    </w:p>
    <w:p w14:paraId="7274973B" w14:textId="77777777" w:rsidR="0024745F" w:rsidRPr="00ED4D49" w:rsidRDefault="0024745F" w:rsidP="008D64BA">
      <w:pPr>
        <w:pStyle w:val="Bullets"/>
      </w:pPr>
      <w:r w:rsidRPr="00ED4D49">
        <w:t>Ecosystem of alder and common oak;</w:t>
      </w:r>
    </w:p>
    <w:p w14:paraId="7DDA9B54" w14:textId="77777777" w:rsidR="0024745F" w:rsidRPr="00ED4D49" w:rsidRDefault="0024745F" w:rsidP="008D64BA">
      <w:pPr>
        <w:pStyle w:val="Bullets"/>
      </w:pPr>
      <w:r w:rsidRPr="00ED4D49">
        <w:t xml:space="preserve">Ecosystem of purple willow shrubs; </w:t>
      </w:r>
    </w:p>
    <w:p w14:paraId="4685F11B" w14:textId="77777777" w:rsidR="0024745F" w:rsidRPr="00ED4D49" w:rsidRDefault="0024745F" w:rsidP="008D64BA">
      <w:pPr>
        <w:pStyle w:val="Bullets"/>
      </w:pPr>
      <w:r w:rsidRPr="00ED4D49">
        <w:t>Ecosystem of basket willow shrubs.</w:t>
      </w:r>
    </w:p>
    <w:p w14:paraId="1B7F81EF" w14:textId="77314FFF" w:rsidR="0024745F" w:rsidRPr="00ED4D49" w:rsidRDefault="0024745F" w:rsidP="0024745F">
      <w:pPr>
        <w:jc w:val="both"/>
        <w:rPr>
          <w:rFonts w:ascii="Lucida Sans Unicode" w:hAnsi="Lucida Sans Unicode" w:cs="Lucida Sans Unicode"/>
          <w:color w:val="191917"/>
          <w:sz w:val="17"/>
          <w:szCs w:val="17"/>
          <w:shd w:val="clear" w:color="auto" w:fill="FFFFFF"/>
          <w:lang w:val="en-US"/>
        </w:rPr>
      </w:pPr>
      <w:r w:rsidRPr="00ED4D49">
        <w:rPr>
          <w:lang w:val="en-US"/>
        </w:rPr>
        <w:t xml:space="preserve">It should be noted that </w:t>
      </w:r>
      <w:r w:rsidR="001B5262" w:rsidRPr="00ED4D49">
        <w:rPr>
          <w:lang w:val="en-US"/>
        </w:rPr>
        <w:t>the majority of</w:t>
      </w:r>
      <w:r w:rsidRPr="00ED4D49">
        <w:rPr>
          <w:lang w:val="en-US"/>
        </w:rPr>
        <w:t xml:space="preserve"> fertile agricultural land in RS and BiH is located in the area</w:t>
      </w:r>
      <w:r w:rsidRPr="00ED4D49">
        <w:rPr>
          <w:rFonts w:ascii="Lucida Sans Unicode" w:hAnsi="Lucida Sans Unicode" w:cs="Lucida Sans Unicode"/>
          <w:color w:val="191917"/>
          <w:sz w:val="17"/>
          <w:szCs w:val="17"/>
          <w:shd w:val="clear" w:color="auto" w:fill="FFFFFF"/>
          <w:lang w:val="en-US"/>
        </w:rPr>
        <w:t xml:space="preserve"> of </w:t>
      </w:r>
      <w:r w:rsidRPr="00ED4D49">
        <w:rPr>
          <w:rFonts w:cs="Calibri"/>
          <w:color w:val="191917"/>
          <w:szCs w:val="20"/>
          <w:shd w:val="clear" w:color="auto" w:fill="FFFFFF"/>
          <w:lang w:val="en-US"/>
        </w:rPr>
        <w:t xml:space="preserve">plain landscapes of </w:t>
      </w:r>
      <w:r w:rsidRPr="00ED4D49">
        <w:rPr>
          <w:lang w:val="en-US"/>
        </w:rPr>
        <w:t>northern</w:t>
      </w:r>
      <w:r w:rsidRPr="00ED4D49">
        <w:rPr>
          <w:rFonts w:cs="Calibri"/>
          <w:color w:val="191917"/>
          <w:szCs w:val="20"/>
          <w:shd w:val="clear" w:color="auto" w:fill="FFFFFF"/>
          <w:lang w:val="en-US"/>
        </w:rPr>
        <w:t xml:space="preserve"> Bosnia which are covered by cereals, maize, watermelons, different sorts of vegetables and fruits.</w:t>
      </w:r>
    </w:p>
    <w:p w14:paraId="05A88199" w14:textId="3B42D6C4" w:rsidR="0024745F" w:rsidRPr="00ED4D49" w:rsidRDefault="0024745F" w:rsidP="0024745F">
      <w:pPr>
        <w:spacing w:after="0"/>
        <w:jc w:val="both"/>
        <w:rPr>
          <w:rStyle w:val="tlid-translation"/>
          <w:color w:val="1F497D"/>
          <w:lang w:val="en-US"/>
        </w:rPr>
      </w:pPr>
      <w:r w:rsidRPr="00ED4D49">
        <w:rPr>
          <w:rStyle w:val="tlid-translation"/>
          <w:color w:val="1F497D"/>
          <w:lang w:val="en-US"/>
        </w:rPr>
        <w:t>Natura 2000 sites</w:t>
      </w:r>
      <w:r w:rsidR="001B5262" w:rsidRPr="00ED4D49">
        <w:rPr>
          <w:rStyle w:val="tlid-translation"/>
          <w:color w:val="1F497D"/>
          <w:lang w:val="en-US"/>
        </w:rPr>
        <w:t xml:space="preserve"> </w:t>
      </w:r>
    </w:p>
    <w:p w14:paraId="2C8080E8" w14:textId="0BC082E1" w:rsidR="0024745F" w:rsidRPr="00ED4D49" w:rsidRDefault="0024745F" w:rsidP="0024745F">
      <w:pPr>
        <w:jc w:val="both"/>
        <w:rPr>
          <w:lang w:val="en-US" w:eastAsia="hr-HR"/>
        </w:rPr>
      </w:pPr>
      <w:r w:rsidRPr="00ED4D49">
        <w:rPr>
          <w:lang w:val="en-US" w:eastAsia="hr-HR"/>
        </w:rPr>
        <w:t>Natura 2000 habitat types occurring along the Sava River were identified</w:t>
      </w:r>
      <w:r w:rsidR="001B5262" w:rsidRPr="00ED4D49">
        <w:rPr>
          <w:lang w:val="en-US" w:eastAsia="hr-HR"/>
        </w:rPr>
        <w:t xml:space="preserve"> in the framework of the initial </w:t>
      </w:r>
      <w:r w:rsidR="001B5262" w:rsidRPr="00ED4D49">
        <w:rPr>
          <w:i/>
          <w:lang w:val="en-US" w:eastAsia="hr-HR"/>
        </w:rPr>
        <w:t>Development of an Ecological Network along the Sava River</w:t>
      </w:r>
      <w:r w:rsidR="001B5262" w:rsidRPr="00ED4D49">
        <w:rPr>
          <w:lang w:val="en-US" w:eastAsia="hr-HR"/>
        </w:rPr>
        <w:t xml:space="preserve"> project funded by the Dutch PIN/Matra program</w:t>
      </w:r>
      <w:r w:rsidRPr="00ED4D49">
        <w:rPr>
          <w:lang w:val="en-US" w:eastAsia="hr-HR"/>
        </w:rPr>
        <w:t>. As part of th</w:t>
      </w:r>
      <w:r w:rsidR="001C2107" w:rsidRPr="00ED4D49">
        <w:rPr>
          <w:lang w:val="en-US" w:eastAsia="hr-HR"/>
        </w:rPr>
        <w:t>e</w:t>
      </w:r>
      <w:r w:rsidRPr="00ED4D49">
        <w:rPr>
          <w:lang w:val="en-US" w:eastAsia="hr-HR"/>
        </w:rPr>
        <w:t xml:space="preserve"> project, the list of Natura 2000 habitat types along the Sava River was reviewed and adjusted. The identified habitat types along the Sava River in BiH are presented in </w:t>
      </w:r>
      <w:r w:rsidRPr="00ED4D49">
        <w:rPr>
          <w:lang w:val="en-US" w:eastAsia="hr-HR"/>
        </w:rPr>
        <w:fldChar w:fldCharType="begin"/>
      </w:r>
      <w:r w:rsidRPr="00ED4D49">
        <w:rPr>
          <w:lang w:val="en-US" w:eastAsia="hr-HR"/>
        </w:rPr>
        <w:instrText xml:space="preserve"> REF _Ref21096728 \h  \* MERGEFORMAT </w:instrText>
      </w:r>
      <w:r w:rsidRPr="00ED4D49">
        <w:rPr>
          <w:lang w:val="en-US" w:eastAsia="hr-HR"/>
        </w:rPr>
      </w:r>
      <w:r w:rsidRPr="00ED4D49">
        <w:rPr>
          <w:lang w:val="en-US" w:eastAsia="hr-HR"/>
        </w:rPr>
        <w:fldChar w:fldCharType="separate"/>
      </w:r>
      <w:r w:rsidR="00F60130" w:rsidRPr="00ED4D49">
        <w:rPr>
          <w:lang w:val="en-US" w:eastAsia="hr-HR"/>
        </w:rPr>
        <w:t>Table 6</w:t>
      </w:r>
      <w:r w:rsidRPr="00ED4D49">
        <w:rPr>
          <w:lang w:val="en-US" w:eastAsia="hr-HR"/>
        </w:rPr>
        <w:fldChar w:fldCharType="end"/>
      </w:r>
      <w:r w:rsidRPr="00ED4D49">
        <w:rPr>
          <w:lang w:val="en-US" w:eastAsia="hr-HR"/>
        </w:rPr>
        <w:t>.</w:t>
      </w:r>
    </w:p>
    <w:p w14:paraId="5A6D517F" w14:textId="3DBD5F3F" w:rsidR="0024745F" w:rsidRPr="00ED4D49" w:rsidRDefault="0024745F" w:rsidP="0024745F">
      <w:pPr>
        <w:autoSpaceDE w:val="0"/>
        <w:autoSpaceDN w:val="0"/>
        <w:adjustRightInd w:val="0"/>
        <w:spacing w:before="0" w:after="0" w:line="240" w:lineRule="auto"/>
        <w:rPr>
          <w:rFonts w:ascii="Arial Narrow" w:hAnsi="Arial Narrow" w:cs="Arial Narrow"/>
          <w:i/>
          <w:color w:val="000000"/>
          <w:sz w:val="16"/>
          <w:szCs w:val="16"/>
          <w:lang w:val="en-US" w:eastAsia="hr-HR"/>
        </w:rPr>
      </w:pPr>
      <w:bookmarkStart w:id="75" w:name="_Ref21096728"/>
      <w:bookmarkStart w:id="76" w:name="_Toc28188031"/>
      <w:r w:rsidRPr="00ED4D49">
        <w:rPr>
          <w:bCs/>
          <w:i/>
          <w:color w:val="2F5496"/>
          <w:sz w:val="16"/>
          <w:szCs w:val="16"/>
          <w:lang w:val="en-US"/>
        </w:rPr>
        <w:t xml:space="preserve">Table </w:t>
      </w:r>
      <w:bookmarkStart w:id="77" w:name="t3"/>
      <w:r w:rsidRPr="00ED4D49">
        <w:rPr>
          <w:bCs/>
          <w:i/>
          <w:color w:val="2F5496"/>
          <w:sz w:val="16"/>
          <w:szCs w:val="16"/>
          <w:lang w:val="en-US"/>
        </w:rPr>
        <w:fldChar w:fldCharType="begin"/>
      </w:r>
      <w:r w:rsidRPr="00ED4D49">
        <w:rPr>
          <w:bCs/>
          <w:i/>
          <w:color w:val="2F5496"/>
          <w:sz w:val="16"/>
          <w:szCs w:val="16"/>
          <w:lang w:val="en-US"/>
        </w:rPr>
        <w:instrText xml:space="preserve"> SEQ Table \* ARABIC </w:instrText>
      </w:r>
      <w:r w:rsidRPr="00ED4D49">
        <w:rPr>
          <w:bCs/>
          <w:i/>
          <w:color w:val="2F5496"/>
          <w:sz w:val="16"/>
          <w:szCs w:val="16"/>
          <w:lang w:val="en-US"/>
        </w:rPr>
        <w:fldChar w:fldCharType="separate"/>
      </w:r>
      <w:r w:rsidR="00F60130" w:rsidRPr="00ED4D49">
        <w:rPr>
          <w:bCs/>
          <w:i/>
          <w:noProof/>
          <w:color w:val="2F5496"/>
          <w:sz w:val="16"/>
          <w:szCs w:val="16"/>
          <w:lang w:val="en-US"/>
        </w:rPr>
        <w:t>6</w:t>
      </w:r>
      <w:r w:rsidRPr="00ED4D49">
        <w:rPr>
          <w:bCs/>
          <w:i/>
          <w:color w:val="2F5496"/>
          <w:sz w:val="16"/>
          <w:szCs w:val="16"/>
          <w:lang w:val="en-US"/>
        </w:rPr>
        <w:fldChar w:fldCharType="end"/>
      </w:r>
      <w:bookmarkEnd w:id="75"/>
      <w:bookmarkEnd w:id="77"/>
      <w:r w:rsidRPr="00ED4D49">
        <w:rPr>
          <w:bCs/>
          <w:i/>
          <w:color w:val="2F5496"/>
          <w:sz w:val="16"/>
          <w:szCs w:val="16"/>
          <w:lang w:val="en-US"/>
        </w:rPr>
        <w:t>:</w:t>
      </w:r>
      <w:r w:rsidR="00C6478C" w:rsidRPr="00ED4D49">
        <w:rPr>
          <w:b/>
          <w:i/>
          <w:sz w:val="16"/>
          <w:szCs w:val="16"/>
          <w:lang w:val="en-US"/>
        </w:rPr>
        <w:t xml:space="preserve"> </w:t>
      </w:r>
      <w:r w:rsidRPr="00ED4D49">
        <w:rPr>
          <w:rFonts w:cs="Calibri"/>
          <w:i/>
          <w:sz w:val="16"/>
          <w:szCs w:val="16"/>
          <w:lang w:val="en-US" w:eastAsia="hr-HR"/>
        </w:rPr>
        <w:t>List of Natura 2000 habitat types occurring along the Sava River</w:t>
      </w:r>
      <w:bookmarkEnd w:id="76"/>
    </w:p>
    <w:tbl>
      <w:tblPr>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1242"/>
        <w:gridCol w:w="7768"/>
      </w:tblGrid>
      <w:tr w:rsidR="0024745F" w:rsidRPr="00ED4D49" w14:paraId="29439B56" w14:textId="77777777" w:rsidTr="0024745F">
        <w:trPr>
          <w:tblHeader/>
        </w:trPr>
        <w:tc>
          <w:tcPr>
            <w:tcW w:w="689" w:type="pct"/>
            <w:shd w:val="clear" w:color="auto" w:fill="auto"/>
            <w:vAlign w:val="center"/>
          </w:tcPr>
          <w:p w14:paraId="2EDC5199" w14:textId="08E48A81" w:rsidR="0024745F" w:rsidRPr="00ED4D49" w:rsidRDefault="0024745F" w:rsidP="0024745F">
            <w:pPr>
              <w:spacing w:before="0" w:after="0"/>
              <w:ind w:left="144" w:right="144"/>
              <w:jc w:val="center"/>
              <w:rPr>
                <w:rFonts w:cs="Calibri"/>
                <w:color w:val="336699"/>
                <w:sz w:val="16"/>
                <w:szCs w:val="16"/>
                <w:lang w:val="en-US"/>
              </w:rPr>
            </w:pPr>
            <w:r w:rsidRPr="00ED4D49">
              <w:rPr>
                <w:rFonts w:cs="Calibri"/>
                <w:color w:val="336699"/>
                <w:sz w:val="16"/>
                <w:szCs w:val="16"/>
                <w:lang w:val="en-US"/>
              </w:rPr>
              <w:t>Code</w:t>
            </w:r>
          </w:p>
        </w:tc>
        <w:tc>
          <w:tcPr>
            <w:tcW w:w="4311" w:type="pct"/>
            <w:shd w:val="clear" w:color="auto" w:fill="auto"/>
            <w:vAlign w:val="center"/>
          </w:tcPr>
          <w:p w14:paraId="553339F7" w14:textId="77777777" w:rsidR="0024745F" w:rsidRPr="00ED4D49" w:rsidRDefault="0024745F" w:rsidP="0024745F">
            <w:pPr>
              <w:spacing w:before="0" w:after="0"/>
              <w:ind w:right="144"/>
              <w:rPr>
                <w:rFonts w:cs="Calibri"/>
                <w:color w:val="336699"/>
                <w:sz w:val="16"/>
                <w:szCs w:val="16"/>
                <w:lang w:val="en-US"/>
              </w:rPr>
            </w:pPr>
            <w:r w:rsidRPr="00ED4D49">
              <w:rPr>
                <w:rFonts w:cs="Calibri"/>
                <w:color w:val="336699"/>
                <w:sz w:val="16"/>
                <w:szCs w:val="16"/>
                <w:lang w:val="en-US"/>
              </w:rPr>
              <w:t xml:space="preserve">Name </w:t>
            </w:r>
          </w:p>
        </w:tc>
      </w:tr>
      <w:tr w:rsidR="0024745F" w:rsidRPr="00ED4D49" w14:paraId="1737D02E" w14:textId="77777777" w:rsidTr="0024745F">
        <w:tc>
          <w:tcPr>
            <w:tcW w:w="689" w:type="pct"/>
            <w:shd w:val="clear" w:color="auto" w:fill="auto"/>
            <w:vAlign w:val="center"/>
          </w:tcPr>
          <w:p w14:paraId="21AB0D95" w14:textId="77777777" w:rsidR="0024745F" w:rsidRPr="00ED4D49" w:rsidRDefault="0024745F" w:rsidP="0024745F">
            <w:pPr>
              <w:autoSpaceDE w:val="0"/>
              <w:autoSpaceDN w:val="0"/>
              <w:adjustRightInd w:val="0"/>
              <w:spacing w:before="0" w:after="0" w:line="240" w:lineRule="auto"/>
              <w:jc w:val="center"/>
              <w:rPr>
                <w:rFonts w:cs="Calibri"/>
                <w:sz w:val="16"/>
                <w:szCs w:val="16"/>
                <w:lang w:val="en-US" w:eastAsia="hr-HR"/>
              </w:rPr>
            </w:pPr>
            <w:r w:rsidRPr="00ED4D49">
              <w:rPr>
                <w:rFonts w:cs="Calibri"/>
                <w:b/>
                <w:bCs/>
                <w:sz w:val="16"/>
                <w:szCs w:val="16"/>
                <w:lang w:val="en-US" w:eastAsia="hr-HR"/>
              </w:rPr>
              <w:t>1530</w:t>
            </w:r>
            <w:r w:rsidRPr="00ED4D49">
              <w:rPr>
                <w:rFonts w:cs="Calibri"/>
                <w:sz w:val="16"/>
                <w:szCs w:val="16"/>
                <w:lang w:val="en-US" w:eastAsia="hr-HR"/>
              </w:rPr>
              <w:t>*</w:t>
            </w:r>
          </w:p>
        </w:tc>
        <w:tc>
          <w:tcPr>
            <w:tcW w:w="4311" w:type="pct"/>
            <w:shd w:val="clear" w:color="auto" w:fill="auto"/>
          </w:tcPr>
          <w:p w14:paraId="3A34D0B7" w14:textId="77777777" w:rsidR="0024745F" w:rsidRPr="00ED4D49" w:rsidRDefault="0024745F" w:rsidP="0024745F">
            <w:pPr>
              <w:autoSpaceDE w:val="0"/>
              <w:autoSpaceDN w:val="0"/>
              <w:adjustRightInd w:val="0"/>
              <w:spacing w:before="0" w:after="0" w:line="240" w:lineRule="auto"/>
              <w:rPr>
                <w:rFonts w:cs="Calibri"/>
                <w:sz w:val="16"/>
                <w:szCs w:val="16"/>
                <w:lang w:val="en-US" w:eastAsia="hr-HR"/>
              </w:rPr>
            </w:pPr>
            <w:proofErr w:type="spellStart"/>
            <w:r w:rsidRPr="00ED4D49">
              <w:rPr>
                <w:rFonts w:cs="Calibri"/>
                <w:sz w:val="16"/>
                <w:szCs w:val="16"/>
                <w:lang w:val="en-US" w:eastAsia="hr-HR"/>
              </w:rPr>
              <w:t>Pannonic</w:t>
            </w:r>
            <w:proofErr w:type="spellEnd"/>
            <w:r w:rsidRPr="00ED4D49">
              <w:rPr>
                <w:rFonts w:cs="Calibri"/>
                <w:sz w:val="16"/>
                <w:szCs w:val="16"/>
                <w:lang w:val="en-US" w:eastAsia="hr-HR"/>
              </w:rPr>
              <w:t xml:space="preserve"> salt steppes and salt marshes</w:t>
            </w:r>
          </w:p>
        </w:tc>
      </w:tr>
      <w:tr w:rsidR="0024745F" w:rsidRPr="00ED4D49" w14:paraId="0FE0498A" w14:textId="77777777" w:rsidTr="0024745F">
        <w:tc>
          <w:tcPr>
            <w:tcW w:w="689" w:type="pct"/>
            <w:shd w:val="clear" w:color="auto" w:fill="auto"/>
            <w:vAlign w:val="center"/>
          </w:tcPr>
          <w:p w14:paraId="533A2411" w14:textId="77777777" w:rsidR="0024745F" w:rsidRPr="00ED4D49" w:rsidRDefault="0024745F" w:rsidP="0024745F">
            <w:pPr>
              <w:autoSpaceDE w:val="0"/>
              <w:autoSpaceDN w:val="0"/>
              <w:adjustRightInd w:val="0"/>
              <w:spacing w:before="0" w:after="0" w:line="240" w:lineRule="auto"/>
              <w:jc w:val="center"/>
              <w:rPr>
                <w:rFonts w:cs="Calibri"/>
                <w:sz w:val="16"/>
                <w:szCs w:val="16"/>
                <w:lang w:val="en-US" w:eastAsia="hr-HR"/>
              </w:rPr>
            </w:pPr>
            <w:r w:rsidRPr="00ED4D49">
              <w:rPr>
                <w:rFonts w:cs="Calibri"/>
                <w:b/>
                <w:bCs/>
                <w:sz w:val="16"/>
                <w:szCs w:val="16"/>
                <w:lang w:val="en-US" w:eastAsia="hr-HR"/>
              </w:rPr>
              <w:t>3130</w:t>
            </w:r>
          </w:p>
        </w:tc>
        <w:tc>
          <w:tcPr>
            <w:tcW w:w="4311" w:type="pct"/>
            <w:shd w:val="clear" w:color="auto" w:fill="auto"/>
          </w:tcPr>
          <w:p w14:paraId="58D8CA93" w14:textId="5F53A930" w:rsidR="0024745F" w:rsidRPr="00ED4D49" w:rsidRDefault="0024745F" w:rsidP="001C2107">
            <w:pPr>
              <w:autoSpaceDE w:val="0"/>
              <w:autoSpaceDN w:val="0"/>
              <w:adjustRightInd w:val="0"/>
              <w:spacing w:before="0" w:after="0" w:line="240" w:lineRule="auto"/>
              <w:rPr>
                <w:rFonts w:cs="Calibri"/>
                <w:sz w:val="16"/>
                <w:szCs w:val="16"/>
                <w:lang w:val="en-US" w:eastAsia="hr-HR"/>
              </w:rPr>
            </w:pPr>
            <w:r w:rsidRPr="00ED4D49">
              <w:rPr>
                <w:rFonts w:cs="Calibri"/>
                <w:sz w:val="16"/>
                <w:szCs w:val="16"/>
                <w:lang w:val="en-US" w:eastAsia="hr-HR"/>
              </w:rPr>
              <w:t xml:space="preserve">Oligotrophic to </w:t>
            </w:r>
            <w:proofErr w:type="spellStart"/>
            <w:r w:rsidRPr="00ED4D49">
              <w:rPr>
                <w:rFonts w:cs="Calibri"/>
                <w:sz w:val="16"/>
                <w:szCs w:val="16"/>
                <w:lang w:val="en-US" w:eastAsia="hr-HR"/>
              </w:rPr>
              <w:t>mesotropic</w:t>
            </w:r>
            <w:proofErr w:type="spellEnd"/>
            <w:r w:rsidRPr="00ED4D49">
              <w:rPr>
                <w:rFonts w:cs="Calibri"/>
                <w:sz w:val="16"/>
                <w:szCs w:val="16"/>
                <w:lang w:val="en-US" w:eastAsia="hr-HR"/>
              </w:rPr>
              <w:t xml:space="preserve"> standing waters with vegetation of </w:t>
            </w:r>
            <w:proofErr w:type="spellStart"/>
            <w:r w:rsidRPr="00ED4D49">
              <w:rPr>
                <w:rFonts w:cs="Calibri"/>
                <w:i/>
                <w:iCs/>
                <w:sz w:val="16"/>
                <w:szCs w:val="16"/>
                <w:lang w:val="en-US" w:eastAsia="hr-HR"/>
              </w:rPr>
              <w:t>Littorelletea</w:t>
            </w:r>
            <w:proofErr w:type="spellEnd"/>
            <w:r w:rsidR="001C2107" w:rsidRPr="00ED4D49">
              <w:rPr>
                <w:rFonts w:cs="Calibri"/>
                <w:i/>
                <w:iCs/>
                <w:sz w:val="16"/>
                <w:szCs w:val="16"/>
                <w:lang w:val="en-US" w:eastAsia="hr-HR"/>
              </w:rPr>
              <w:t xml:space="preserve"> </w:t>
            </w:r>
            <w:proofErr w:type="spellStart"/>
            <w:r w:rsidRPr="00ED4D49">
              <w:rPr>
                <w:rFonts w:cs="Calibri"/>
                <w:i/>
                <w:iCs/>
                <w:sz w:val="16"/>
                <w:szCs w:val="16"/>
                <w:lang w:val="en-US" w:eastAsia="hr-HR"/>
              </w:rPr>
              <w:t>uniflora</w:t>
            </w:r>
            <w:proofErr w:type="spellEnd"/>
            <w:r w:rsidRPr="00ED4D49">
              <w:rPr>
                <w:rFonts w:cs="Calibri"/>
                <w:i/>
                <w:iCs/>
                <w:sz w:val="16"/>
                <w:szCs w:val="16"/>
                <w:lang w:val="en-US" w:eastAsia="hr-HR"/>
              </w:rPr>
              <w:t xml:space="preserve"> </w:t>
            </w:r>
            <w:r w:rsidRPr="00ED4D49">
              <w:rPr>
                <w:rFonts w:cs="Calibri"/>
                <w:sz w:val="16"/>
                <w:szCs w:val="16"/>
                <w:lang w:val="en-US" w:eastAsia="hr-HR"/>
              </w:rPr>
              <w:t xml:space="preserve">and/or </w:t>
            </w:r>
            <w:proofErr w:type="spellStart"/>
            <w:r w:rsidRPr="00ED4D49">
              <w:rPr>
                <w:rFonts w:cs="Calibri"/>
                <w:i/>
                <w:iCs/>
                <w:sz w:val="16"/>
                <w:szCs w:val="16"/>
                <w:lang w:val="en-US" w:eastAsia="hr-HR"/>
              </w:rPr>
              <w:t>Isoëto-Nanojuncete</w:t>
            </w:r>
            <w:proofErr w:type="spellEnd"/>
          </w:p>
        </w:tc>
      </w:tr>
      <w:tr w:rsidR="0024745F" w:rsidRPr="00ED4D49" w14:paraId="433B4CD8" w14:textId="77777777" w:rsidTr="0024745F">
        <w:tc>
          <w:tcPr>
            <w:tcW w:w="689" w:type="pct"/>
            <w:shd w:val="clear" w:color="auto" w:fill="auto"/>
            <w:vAlign w:val="center"/>
          </w:tcPr>
          <w:p w14:paraId="2A71E855" w14:textId="77777777" w:rsidR="0024745F" w:rsidRPr="00ED4D49" w:rsidRDefault="0024745F" w:rsidP="0024745F">
            <w:pPr>
              <w:autoSpaceDE w:val="0"/>
              <w:autoSpaceDN w:val="0"/>
              <w:adjustRightInd w:val="0"/>
              <w:spacing w:before="0" w:after="0" w:line="240" w:lineRule="auto"/>
              <w:jc w:val="center"/>
              <w:rPr>
                <w:rFonts w:cs="Calibri"/>
                <w:sz w:val="16"/>
                <w:szCs w:val="16"/>
                <w:lang w:val="en-US" w:eastAsia="hr-HR"/>
              </w:rPr>
            </w:pPr>
            <w:r w:rsidRPr="00ED4D49">
              <w:rPr>
                <w:rFonts w:cs="Calibri"/>
                <w:b/>
                <w:bCs/>
                <w:sz w:val="16"/>
                <w:szCs w:val="16"/>
                <w:lang w:val="en-US" w:eastAsia="hr-HR"/>
              </w:rPr>
              <w:t>3140</w:t>
            </w:r>
          </w:p>
        </w:tc>
        <w:tc>
          <w:tcPr>
            <w:tcW w:w="4311" w:type="pct"/>
            <w:shd w:val="clear" w:color="auto" w:fill="auto"/>
          </w:tcPr>
          <w:p w14:paraId="6EEADD5E" w14:textId="77777777" w:rsidR="0024745F" w:rsidRPr="00ED4D49" w:rsidRDefault="0024745F" w:rsidP="0024745F">
            <w:pPr>
              <w:autoSpaceDE w:val="0"/>
              <w:autoSpaceDN w:val="0"/>
              <w:adjustRightInd w:val="0"/>
              <w:spacing w:before="0" w:after="0" w:line="240" w:lineRule="auto"/>
              <w:rPr>
                <w:rFonts w:cs="Calibri"/>
                <w:sz w:val="16"/>
                <w:szCs w:val="16"/>
                <w:lang w:val="en-US" w:eastAsia="hr-HR"/>
              </w:rPr>
            </w:pPr>
            <w:r w:rsidRPr="00ED4D49">
              <w:rPr>
                <w:rFonts w:cs="Calibri"/>
                <w:sz w:val="16"/>
                <w:szCs w:val="16"/>
                <w:lang w:val="en-US" w:eastAsia="hr-HR"/>
              </w:rPr>
              <w:t xml:space="preserve">Hard oligo-mesotrophic waters with </w:t>
            </w:r>
            <w:proofErr w:type="spellStart"/>
            <w:r w:rsidRPr="00ED4D49">
              <w:rPr>
                <w:rFonts w:cs="Calibri"/>
                <w:sz w:val="16"/>
                <w:szCs w:val="16"/>
                <w:lang w:val="en-US" w:eastAsia="hr-HR"/>
              </w:rPr>
              <w:t>benthis</w:t>
            </w:r>
            <w:proofErr w:type="spellEnd"/>
            <w:r w:rsidRPr="00ED4D49">
              <w:rPr>
                <w:rFonts w:cs="Calibri"/>
                <w:sz w:val="16"/>
                <w:szCs w:val="16"/>
                <w:lang w:val="en-US" w:eastAsia="hr-HR"/>
              </w:rPr>
              <w:t xml:space="preserve"> vegetation of </w:t>
            </w:r>
            <w:r w:rsidRPr="00ED4D49">
              <w:rPr>
                <w:rFonts w:cs="Calibri"/>
                <w:i/>
                <w:iCs/>
                <w:sz w:val="16"/>
                <w:szCs w:val="16"/>
                <w:lang w:val="en-US" w:eastAsia="hr-HR"/>
              </w:rPr>
              <w:t>Chara sp.</w:t>
            </w:r>
          </w:p>
        </w:tc>
      </w:tr>
      <w:tr w:rsidR="0024745F" w:rsidRPr="00ED4D49" w14:paraId="29610647" w14:textId="77777777" w:rsidTr="0024745F">
        <w:tc>
          <w:tcPr>
            <w:tcW w:w="689" w:type="pct"/>
            <w:shd w:val="clear" w:color="auto" w:fill="auto"/>
            <w:vAlign w:val="center"/>
          </w:tcPr>
          <w:p w14:paraId="54FFD14F" w14:textId="77777777" w:rsidR="0024745F" w:rsidRPr="00ED4D49" w:rsidRDefault="0024745F" w:rsidP="0024745F">
            <w:pPr>
              <w:autoSpaceDE w:val="0"/>
              <w:autoSpaceDN w:val="0"/>
              <w:adjustRightInd w:val="0"/>
              <w:spacing w:before="0" w:after="0" w:line="240" w:lineRule="auto"/>
              <w:jc w:val="center"/>
              <w:rPr>
                <w:rFonts w:cs="Calibri"/>
                <w:sz w:val="16"/>
                <w:szCs w:val="16"/>
                <w:lang w:val="en-US" w:eastAsia="hr-HR"/>
              </w:rPr>
            </w:pPr>
            <w:r w:rsidRPr="00ED4D49">
              <w:rPr>
                <w:rFonts w:cs="Calibri"/>
                <w:b/>
                <w:bCs/>
                <w:sz w:val="16"/>
                <w:szCs w:val="16"/>
                <w:lang w:val="en-US" w:eastAsia="hr-HR"/>
              </w:rPr>
              <w:t>3150</w:t>
            </w:r>
          </w:p>
        </w:tc>
        <w:tc>
          <w:tcPr>
            <w:tcW w:w="4311" w:type="pct"/>
            <w:shd w:val="clear" w:color="auto" w:fill="auto"/>
          </w:tcPr>
          <w:p w14:paraId="750DB18B" w14:textId="77777777" w:rsidR="0024745F" w:rsidRPr="00ED4D49" w:rsidRDefault="0024745F" w:rsidP="0024745F">
            <w:pPr>
              <w:autoSpaceDE w:val="0"/>
              <w:autoSpaceDN w:val="0"/>
              <w:adjustRightInd w:val="0"/>
              <w:spacing w:before="0" w:after="0" w:line="240" w:lineRule="auto"/>
              <w:rPr>
                <w:rFonts w:cs="Calibri"/>
                <w:sz w:val="16"/>
                <w:szCs w:val="16"/>
                <w:lang w:val="en-US" w:eastAsia="hr-HR"/>
              </w:rPr>
            </w:pPr>
            <w:r w:rsidRPr="00ED4D49">
              <w:rPr>
                <w:rFonts w:cs="Calibri"/>
                <w:sz w:val="16"/>
                <w:szCs w:val="16"/>
                <w:lang w:val="en-US" w:eastAsia="hr-HR"/>
              </w:rPr>
              <w:t xml:space="preserve">Natural eutrophic lakes with </w:t>
            </w:r>
            <w:proofErr w:type="spellStart"/>
            <w:r w:rsidRPr="00ED4D49">
              <w:rPr>
                <w:rFonts w:cs="Calibri"/>
                <w:i/>
                <w:iCs/>
                <w:sz w:val="16"/>
                <w:szCs w:val="16"/>
                <w:lang w:val="en-US" w:eastAsia="hr-HR"/>
              </w:rPr>
              <w:t>Magnopotamnion</w:t>
            </w:r>
            <w:proofErr w:type="spellEnd"/>
            <w:r w:rsidRPr="00ED4D49">
              <w:rPr>
                <w:rFonts w:cs="Calibri"/>
                <w:i/>
                <w:iCs/>
                <w:sz w:val="16"/>
                <w:szCs w:val="16"/>
                <w:lang w:val="en-US" w:eastAsia="hr-HR"/>
              </w:rPr>
              <w:t xml:space="preserve">- </w:t>
            </w:r>
            <w:r w:rsidRPr="00ED4D49">
              <w:rPr>
                <w:rFonts w:cs="Calibri"/>
                <w:sz w:val="16"/>
                <w:szCs w:val="16"/>
                <w:lang w:val="en-US" w:eastAsia="hr-HR"/>
              </w:rPr>
              <w:t xml:space="preserve">or </w:t>
            </w:r>
            <w:proofErr w:type="spellStart"/>
            <w:r w:rsidRPr="00ED4D49">
              <w:rPr>
                <w:rFonts w:cs="Calibri"/>
                <w:i/>
                <w:iCs/>
                <w:sz w:val="16"/>
                <w:szCs w:val="16"/>
                <w:lang w:val="en-US" w:eastAsia="hr-HR"/>
              </w:rPr>
              <w:t>Hydrocharition</w:t>
            </w:r>
            <w:proofErr w:type="spellEnd"/>
            <w:r w:rsidRPr="00ED4D49">
              <w:rPr>
                <w:rFonts w:cs="Calibri"/>
                <w:sz w:val="16"/>
                <w:szCs w:val="16"/>
                <w:lang w:val="en-US" w:eastAsia="hr-HR"/>
              </w:rPr>
              <w:t>– type veg.</w:t>
            </w:r>
          </w:p>
        </w:tc>
      </w:tr>
      <w:tr w:rsidR="0024745F" w:rsidRPr="00ED4D49" w14:paraId="5E683DFC" w14:textId="77777777" w:rsidTr="0024745F">
        <w:tc>
          <w:tcPr>
            <w:tcW w:w="689" w:type="pct"/>
            <w:shd w:val="clear" w:color="auto" w:fill="auto"/>
            <w:vAlign w:val="center"/>
          </w:tcPr>
          <w:p w14:paraId="0A3A911C" w14:textId="77777777" w:rsidR="0024745F" w:rsidRPr="00ED4D49" w:rsidRDefault="0024745F" w:rsidP="0024745F">
            <w:pPr>
              <w:autoSpaceDE w:val="0"/>
              <w:autoSpaceDN w:val="0"/>
              <w:adjustRightInd w:val="0"/>
              <w:spacing w:before="0" w:after="0" w:line="240" w:lineRule="auto"/>
              <w:jc w:val="center"/>
              <w:rPr>
                <w:rFonts w:cs="Calibri"/>
                <w:sz w:val="16"/>
                <w:szCs w:val="16"/>
                <w:lang w:val="en-US" w:eastAsia="hr-HR"/>
              </w:rPr>
            </w:pPr>
            <w:r w:rsidRPr="00ED4D49">
              <w:rPr>
                <w:rFonts w:cs="Calibri"/>
                <w:b/>
                <w:bCs/>
                <w:sz w:val="16"/>
                <w:szCs w:val="16"/>
                <w:lang w:val="en-US" w:eastAsia="hr-HR"/>
              </w:rPr>
              <w:t>3260</w:t>
            </w:r>
          </w:p>
        </w:tc>
        <w:tc>
          <w:tcPr>
            <w:tcW w:w="4311" w:type="pct"/>
            <w:shd w:val="clear" w:color="auto" w:fill="auto"/>
          </w:tcPr>
          <w:p w14:paraId="691B7BC6" w14:textId="20EE8904" w:rsidR="0024745F" w:rsidRPr="00ED4D49" w:rsidRDefault="0024745F" w:rsidP="001C2107">
            <w:pPr>
              <w:autoSpaceDE w:val="0"/>
              <w:autoSpaceDN w:val="0"/>
              <w:adjustRightInd w:val="0"/>
              <w:spacing w:before="0" w:after="0" w:line="240" w:lineRule="auto"/>
              <w:rPr>
                <w:rFonts w:cs="Calibri"/>
                <w:sz w:val="16"/>
                <w:szCs w:val="16"/>
                <w:lang w:val="en-US" w:eastAsia="hr-HR"/>
              </w:rPr>
            </w:pPr>
            <w:r w:rsidRPr="00ED4D49">
              <w:rPr>
                <w:rFonts w:cs="Calibri"/>
                <w:sz w:val="16"/>
                <w:szCs w:val="16"/>
                <w:lang w:val="en-US" w:eastAsia="hr-HR"/>
              </w:rPr>
              <w:t xml:space="preserve">Water courses of plain to montane levels with the </w:t>
            </w:r>
            <w:proofErr w:type="spellStart"/>
            <w:r w:rsidRPr="00ED4D49">
              <w:rPr>
                <w:rFonts w:cs="Calibri"/>
                <w:i/>
                <w:iCs/>
                <w:sz w:val="16"/>
                <w:szCs w:val="16"/>
                <w:lang w:val="en-US" w:eastAsia="hr-HR"/>
              </w:rPr>
              <w:t>Ranunculion</w:t>
            </w:r>
            <w:proofErr w:type="spellEnd"/>
            <w:r w:rsidRPr="00ED4D49">
              <w:rPr>
                <w:rFonts w:cs="Calibri"/>
                <w:i/>
                <w:iCs/>
                <w:sz w:val="16"/>
                <w:szCs w:val="16"/>
                <w:lang w:val="en-US" w:eastAsia="hr-HR"/>
              </w:rPr>
              <w:t xml:space="preserve"> </w:t>
            </w:r>
            <w:proofErr w:type="spellStart"/>
            <w:r w:rsidRPr="00ED4D49">
              <w:rPr>
                <w:rFonts w:cs="Calibri"/>
                <w:i/>
                <w:iCs/>
                <w:sz w:val="16"/>
                <w:szCs w:val="16"/>
                <w:lang w:val="en-US" w:eastAsia="hr-HR"/>
              </w:rPr>
              <w:t>fluitantis</w:t>
            </w:r>
            <w:proofErr w:type="spellEnd"/>
            <w:r w:rsidRPr="00ED4D49">
              <w:rPr>
                <w:rFonts w:cs="Calibri"/>
                <w:i/>
                <w:iCs/>
                <w:sz w:val="16"/>
                <w:szCs w:val="16"/>
                <w:lang w:val="en-US" w:eastAsia="hr-HR"/>
              </w:rPr>
              <w:t xml:space="preserve"> </w:t>
            </w:r>
            <w:r w:rsidRPr="00ED4D49">
              <w:rPr>
                <w:rFonts w:cs="Calibri"/>
                <w:sz w:val="16"/>
                <w:szCs w:val="16"/>
                <w:lang w:val="en-US" w:eastAsia="hr-HR"/>
              </w:rPr>
              <w:t>and</w:t>
            </w:r>
            <w:r w:rsidR="001C2107" w:rsidRPr="00ED4D49">
              <w:rPr>
                <w:rFonts w:cs="Calibri"/>
                <w:sz w:val="16"/>
                <w:szCs w:val="16"/>
                <w:lang w:val="en-US" w:eastAsia="hr-HR"/>
              </w:rPr>
              <w:t xml:space="preserve"> </w:t>
            </w:r>
            <w:proofErr w:type="spellStart"/>
            <w:r w:rsidRPr="00ED4D49">
              <w:rPr>
                <w:rFonts w:cs="Calibri"/>
                <w:i/>
                <w:iCs/>
                <w:sz w:val="16"/>
                <w:szCs w:val="16"/>
                <w:lang w:val="en-US" w:eastAsia="hr-HR"/>
              </w:rPr>
              <w:t>Callitricho</w:t>
            </w:r>
            <w:proofErr w:type="spellEnd"/>
            <w:r w:rsidRPr="00ED4D49">
              <w:rPr>
                <w:rFonts w:cs="Calibri"/>
                <w:i/>
                <w:iCs/>
                <w:sz w:val="16"/>
                <w:szCs w:val="16"/>
                <w:lang w:val="en-US" w:eastAsia="hr-HR"/>
              </w:rPr>
              <w:t xml:space="preserve">-Batrachian </w:t>
            </w:r>
            <w:r w:rsidRPr="00ED4D49">
              <w:rPr>
                <w:rFonts w:cs="Calibri"/>
                <w:sz w:val="16"/>
                <w:szCs w:val="16"/>
                <w:lang w:val="en-US" w:eastAsia="hr-HR"/>
              </w:rPr>
              <w:t>vegetation</w:t>
            </w:r>
          </w:p>
        </w:tc>
      </w:tr>
      <w:tr w:rsidR="0024745F" w:rsidRPr="00ED4D49" w14:paraId="6779B463" w14:textId="77777777" w:rsidTr="0024745F">
        <w:tc>
          <w:tcPr>
            <w:tcW w:w="689" w:type="pct"/>
            <w:shd w:val="clear" w:color="auto" w:fill="auto"/>
            <w:vAlign w:val="center"/>
          </w:tcPr>
          <w:p w14:paraId="601ECB54" w14:textId="77777777" w:rsidR="0024745F" w:rsidRPr="00ED4D49" w:rsidRDefault="0024745F" w:rsidP="0024745F">
            <w:pPr>
              <w:autoSpaceDE w:val="0"/>
              <w:autoSpaceDN w:val="0"/>
              <w:adjustRightInd w:val="0"/>
              <w:spacing w:before="0" w:after="0" w:line="240" w:lineRule="auto"/>
              <w:jc w:val="center"/>
              <w:rPr>
                <w:rFonts w:cs="Calibri"/>
                <w:sz w:val="16"/>
                <w:szCs w:val="16"/>
                <w:lang w:val="en-US" w:eastAsia="hr-HR"/>
              </w:rPr>
            </w:pPr>
            <w:r w:rsidRPr="00ED4D49">
              <w:rPr>
                <w:rFonts w:cs="Calibri"/>
                <w:b/>
                <w:bCs/>
                <w:sz w:val="16"/>
                <w:szCs w:val="16"/>
                <w:lang w:val="en-US" w:eastAsia="hr-HR"/>
              </w:rPr>
              <w:t>3270</w:t>
            </w:r>
          </w:p>
        </w:tc>
        <w:tc>
          <w:tcPr>
            <w:tcW w:w="4311" w:type="pct"/>
            <w:shd w:val="clear" w:color="auto" w:fill="auto"/>
          </w:tcPr>
          <w:p w14:paraId="186B4D1B" w14:textId="77777777" w:rsidR="0024745F" w:rsidRPr="00ED4D49" w:rsidRDefault="0024745F" w:rsidP="0024745F">
            <w:pPr>
              <w:autoSpaceDE w:val="0"/>
              <w:autoSpaceDN w:val="0"/>
              <w:adjustRightInd w:val="0"/>
              <w:spacing w:before="0" w:after="0" w:line="240" w:lineRule="auto"/>
              <w:rPr>
                <w:rFonts w:cs="Calibri"/>
                <w:sz w:val="16"/>
                <w:szCs w:val="16"/>
                <w:lang w:val="en-US" w:eastAsia="hr-HR"/>
              </w:rPr>
            </w:pPr>
            <w:r w:rsidRPr="00ED4D49">
              <w:rPr>
                <w:rFonts w:cs="Calibri"/>
                <w:sz w:val="16"/>
                <w:szCs w:val="16"/>
                <w:lang w:val="en-US" w:eastAsia="hr-HR"/>
              </w:rPr>
              <w:t xml:space="preserve">Muddy river banks with </w:t>
            </w:r>
            <w:proofErr w:type="spellStart"/>
            <w:r w:rsidRPr="00ED4D49">
              <w:rPr>
                <w:rFonts w:cs="Calibri"/>
                <w:i/>
                <w:iCs/>
                <w:sz w:val="16"/>
                <w:szCs w:val="16"/>
                <w:lang w:val="en-US" w:eastAsia="hr-HR"/>
              </w:rPr>
              <w:t>Chenopodion</w:t>
            </w:r>
            <w:proofErr w:type="spellEnd"/>
            <w:r w:rsidRPr="00ED4D49">
              <w:rPr>
                <w:rFonts w:cs="Calibri"/>
                <w:i/>
                <w:iCs/>
                <w:sz w:val="16"/>
                <w:szCs w:val="16"/>
                <w:lang w:val="en-US" w:eastAsia="hr-HR"/>
              </w:rPr>
              <w:t xml:space="preserve"> </w:t>
            </w:r>
            <w:proofErr w:type="spellStart"/>
            <w:r w:rsidRPr="00ED4D49">
              <w:rPr>
                <w:rFonts w:cs="Calibri"/>
                <w:i/>
                <w:iCs/>
                <w:sz w:val="16"/>
                <w:szCs w:val="16"/>
                <w:lang w:val="en-US" w:eastAsia="hr-HR"/>
              </w:rPr>
              <w:t>rubri</w:t>
            </w:r>
            <w:proofErr w:type="spellEnd"/>
            <w:r w:rsidRPr="00ED4D49">
              <w:rPr>
                <w:rFonts w:cs="Calibri"/>
                <w:i/>
                <w:iCs/>
                <w:sz w:val="16"/>
                <w:szCs w:val="16"/>
                <w:lang w:val="en-US" w:eastAsia="hr-HR"/>
              </w:rPr>
              <w:t xml:space="preserve"> p.p. </w:t>
            </w:r>
            <w:r w:rsidRPr="00ED4D49">
              <w:rPr>
                <w:rFonts w:cs="Calibri"/>
                <w:sz w:val="16"/>
                <w:szCs w:val="16"/>
                <w:lang w:val="en-US" w:eastAsia="hr-HR"/>
              </w:rPr>
              <w:t xml:space="preserve">and </w:t>
            </w:r>
            <w:proofErr w:type="spellStart"/>
            <w:r w:rsidRPr="00ED4D49">
              <w:rPr>
                <w:rFonts w:cs="Calibri"/>
                <w:i/>
                <w:iCs/>
                <w:sz w:val="16"/>
                <w:szCs w:val="16"/>
                <w:lang w:val="en-US" w:eastAsia="hr-HR"/>
              </w:rPr>
              <w:t>Bidention</w:t>
            </w:r>
            <w:proofErr w:type="spellEnd"/>
            <w:r w:rsidRPr="00ED4D49">
              <w:rPr>
                <w:rFonts w:cs="Calibri"/>
                <w:i/>
                <w:iCs/>
                <w:sz w:val="16"/>
                <w:szCs w:val="16"/>
                <w:lang w:val="en-US" w:eastAsia="hr-HR"/>
              </w:rPr>
              <w:t xml:space="preserve"> p.p. </w:t>
            </w:r>
            <w:r w:rsidRPr="00ED4D49">
              <w:rPr>
                <w:rFonts w:cs="Calibri"/>
                <w:sz w:val="16"/>
                <w:szCs w:val="16"/>
                <w:lang w:val="en-US" w:eastAsia="hr-HR"/>
              </w:rPr>
              <w:t>veg.</w:t>
            </w:r>
          </w:p>
        </w:tc>
      </w:tr>
      <w:tr w:rsidR="0024745F" w:rsidRPr="00ED4D49" w14:paraId="40CD621C" w14:textId="77777777" w:rsidTr="0024745F">
        <w:tc>
          <w:tcPr>
            <w:tcW w:w="689" w:type="pct"/>
            <w:shd w:val="clear" w:color="auto" w:fill="auto"/>
            <w:vAlign w:val="center"/>
          </w:tcPr>
          <w:p w14:paraId="430A20EB" w14:textId="77777777" w:rsidR="0024745F" w:rsidRPr="00ED4D49" w:rsidRDefault="0024745F" w:rsidP="0024745F">
            <w:pPr>
              <w:autoSpaceDE w:val="0"/>
              <w:autoSpaceDN w:val="0"/>
              <w:adjustRightInd w:val="0"/>
              <w:spacing w:before="0" w:after="0" w:line="240" w:lineRule="auto"/>
              <w:jc w:val="center"/>
              <w:rPr>
                <w:rFonts w:cs="Calibri"/>
                <w:sz w:val="16"/>
                <w:szCs w:val="16"/>
                <w:lang w:val="en-US" w:eastAsia="hr-HR"/>
              </w:rPr>
            </w:pPr>
            <w:r w:rsidRPr="00ED4D49">
              <w:rPr>
                <w:rFonts w:cs="Calibri"/>
                <w:b/>
                <w:bCs/>
                <w:sz w:val="16"/>
                <w:szCs w:val="16"/>
                <w:lang w:val="en-US" w:eastAsia="hr-HR"/>
              </w:rPr>
              <w:t>6430</w:t>
            </w:r>
          </w:p>
        </w:tc>
        <w:tc>
          <w:tcPr>
            <w:tcW w:w="4311" w:type="pct"/>
            <w:shd w:val="clear" w:color="auto" w:fill="auto"/>
          </w:tcPr>
          <w:p w14:paraId="1831927C" w14:textId="17C6D199" w:rsidR="0024745F" w:rsidRPr="00ED4D49" w:rsidRDefault="0024745F" w:rsidP="001C2107">
            <w:pPr>
              <w:autoSpaceDE w:val="0"/>
              <w:autoSpaceDN w:val="0"/>
              <w:adjustRightInd w:val="0"/>
              <w:spacing w:before="0" w:after="0" w:line="240" w:lineRule="auto"/>
              <w:rPr>
                <w:rFonts w:cs="Calibri"/>
                <w:sz w:val="16"/>
                <w:szCs w:val="16"/>
                <w:lang w:val="en-US" w:eastAsia="hr-HR"/>
              </w:rPr>
            </w:pPr>
            <w:proofErr w:type="spellStart"/>
            <w:r w:rsidRPr="00ED4D49">
              <w:rPr>
                <w:rFonts w:cs="Calibri"/>
                <w:sz w:val="16"/>
                <w:szCs w:val="16"/>
                <w:lang w:val="en-US" w:eastAsia="hr-HR"/>
              </w:rPr>
              <w:t>Hydrophilous</w:t>
            </w:r>
            <w:proofErr w:type="spellEnd"/>
            <w:r w:rsidRPr="00ED4D49">
              <w:rPr>
                <w:rFonts w:cs="Calibri"/>
                <w:sz w:val="16"/>
                <w:szCs w:val="16"/>
                <w:lang w:val="en-US" w:eastAsia="hr-HR"/>
              </w:rPr>
              <w:t xml:space="preserve"> tall-herb fringe communities of plains and of montane to alpine</w:t>
            </w:r>
            <w:r w:rsidR="001C2107" w:rsidRPr="00ED4D49">
              <w:rPr>
                <w:rFonts w:cs="Calibri"/>
                <w:sz w:val="16"/>
                <w:szCs w:val="16"/>
                <w:lang w:val="en-US" w:eastAsia="hr-HR"/>
              </w:rPr>
              <w:t xml:space="preserve"> </w:t>
            </w:r>
            <w:r w:rsidRPr="00ED4D49">
              <w:rPr>
                <w:rFonts w:cs="Calibri"/>
                <w:sz w:val="16"/>
                <w:szCs w:val="16"/>
                <w:lang w:val="en-US" w:eastAsia="hr-HR"/>
              </w:rPr>
              <w:t>levels</w:t>
            </w:r>
          </w:p>
        </w:tc>
      </w:tr>
      <w:tr w:rsidR="0024745F" w:rsidRPr="00ED4D49" w14:paraId="7D1BB264" w14:textId="77777777" w:rsidTr="0024745F">
        <w:tc>
          <w:tcPr>
            <w:tcW w:w="689" w:type="pct"/>
            <w:shd w:val="clear" w:color="auto" w:fill="auto"/>
            <w:vAlign w:val="center"/>
          </w:tcPr>
          <w:p w14:paraId="22399574" w14:textId="77777777" w:rsidR="0024745F" w:rsidRPr="00ED4D49" w:rsidRDefault="0024745F" w:rsidP="0024745F">
            <w:pPr>
              <w:autoSpaceDE w:val="0"/>
              <w:autoSpaceDN w:val="0"/>
              <w:adjustRightInd w:val="0"/>
              <w:spacing w:before="0" w:after="0" w:line="240" w:lineRule="auto"/>
              <w:jc w:val="center"/>
              <w:rPr>
                <w:rFonts w:cs="Calibri"/>
                <w:sz w:val="16"/>
                <w:szCs w:val="16"/>
                <w:lang w:val="en-US" w:eastAsia="hr-HR"/>
              </w:rPr>
            </w:pPr>
            <w:r w:rsidRPr="00ED4D49">
              <w:rPr>
                <w:rFonts w:cs="Calibri"/>
                <w:b/>
                <w:bCs/>
                <w:sz w:val="16"/>
                <w:szCs w:val="16"/>
                <w:lang w:val="en-US" w:eastAsia="hr-HR"/>
              </w:rPr>
              <w:t>6440</w:t>
            </w:r>
          </w:p>
        </w:tc>
        <w:tc>
          <w:tcPr>
            <w:tcW w:w="4311" w:type="pct"/>
            <w:shd w:val="clear" w:color="auto" w:fill="auto"/>
          </w:tcPr>
          <w:p w14:paraId="16274F58" w14:textId="77777777" w:rsidR="0024745F" w:rsidRPr="00ED4D49" w:rsidRDefault="0024745F" w:rsidP="0024745F">
            <w:pPr>
              <w:autoSpaceDE w:val="0"/>
              <w:autoSpaceDN w:val="0"/>
              <w:adjustRightInd w:val="0"/>
              <w:spacing w:before="0" w:after="0" w:line="240" w:lineRule="auto"/>
              <w:rPr>
                <w:rFonts w:cs="Calibri"/>
                <w:sz w:val="16"/>
                <w:szCs w:val="16"/>
                <w:lang w:val="en-US" w:eastAsia="hr-HR"/>
              </w:rPr>
            </w:pPr>
            <w:r w:rsidRPr="00ED4D49">
              <w:rPr>
                <w:rFonts w:cs="Calibri"/>
                <w:sz w:val="16"/>
                <w:szCs w:val="16"/>
                <w:lang w:val="en-US" w:eastAsia="hr-HR"/>
              </w:rPr>
              <w:t xml:space="preserve">Alluvial meadows of river valleys of the </w:t>
            </w:r>
            <w:proofErr w:type="spellStart"/>
            <w:r w:rsidRPr="00ED4D49">
              <w:rPr>
                <w:rFonts w:cs="Calibri"/>
                <w:i/>
                <w:iCs/>
                <w:sz w:val="16"/>
                <w:szCs w:val="16"/>
                <w:lang w:val="en-US" w:eastAsia="hr-HR"/>
              </w:rPr>
              <w:t>Cnidion</w:t>
            </w:r>
            <w:proofErr w:type="spellEnd"/>
            <w:r w:rsidRPr="00ED4D49">
              <w:rPr>
                <w:rFonts w:cs="Calibri"/>
                <w:i/>
                <w:iCs/>
                <w:sz w:val="16"/>
                <w:szCs w:val="16"/>
                <w:lang w:val="en-US" w:eastAsia="hr-HR"/>
              </w:rPr>
              <w:t xml:space="preserve"> </w:t>
            </w:r>
            <w:proofErr w:type="spellStart"/>
            <w:r w:rsidRPr="00ED4D49">
              <w:rPr>
                <w:rFonts w:cs="Calibri"/>
                <w:i/>
                <w:iCs/>
                <w:sz w:val="16"/>
                <w:szCs w:val="16"/>
                <w:lang w:val="en-US" w:eastAsia="hr-HR"/>
              </w:rPr>
              <w:t>dubii</w:t>
            </w:r>
            <w:proofErr w:type="spellEnd"/>
          </w:p>
        </w:tc>
      </w:tr>
      <w:tr w:rsidR="0024745F" w:rsidRPr="00ED4D49" w14:paraId="7B69F753" w14:textId="77777777" w:rsidTr="0024745F">
        <w:tc>
          <w:tcPr>
            <w:tcW w:w="689" w:type="pct"/>
            <w:shd w:val="clear" w:color="auto" w:fill="auto"/>
            <w:vAlign w:val="center"/>
          </w:tcPr>
          <w:p w14:paraId="2A9794D9" w14:textId="77777777" w:rsidR="0024745F" w:rsidRPr="00ED4D49" w:rsidRDefault="0024745F" w:rsidP="0024745F">
            <w:pPr>
              <w:autoSpaceDE w:val="0"/>
              <w:autoSpaceDN w:val="0"/>
              <w:adjustRightInd w:val="0"/>
              <w:spacing w:before="0" w:after="0" w:line="240" w:lineRule="auto"/>
              <w:jc w:val="center"/>
              <w:rPr>
                <w:rFonts w:cs="Calibri"/>
                <w:sz w:val="16"/>
                <w:szCs w:val="16"/>
                <w:lang w:val="en-US" w:eastAsia="hr-HR"/>
              </w:rPr>
            </w:pPr>
            <w:r w:rsidRPr="00ED4D49">
              <w:rPr>
                <w:rFonts w:cs="Calibri"/>
                <w:b/>
                <w:bCs/>
                <w:sz w:val="16"/>
                <w:szCs w:val="16"/>
                <w:lang w:val="en-US" w:eastAsia="hr-HR"/>
              </w:rPr>
              <w:t>6450</w:t>
            </w:r>
          </w:p>
        </w:tc>
        <w:tc>
          <w:tcPr>
            <w:tcW w:w="4311" w:type="pct"/>
            <w:shd w:val="clear" w:color="auto" w:fill="auto"/>
          </w:tcPr>
          <w:p w14:paraId="14361FAD" w14:textId="77777777" w:rsidR="0024745F" w:rsidRPr="00ED4D49" w:rsidRDefault="0024745F" w:rsidP="0024745F">
            <w:pPr>
              <w:autoSpaceDE w:val="0"/>
              <w:autoSpaceDN w:val="0"/>
              <w:adjustRightInd w:val="0"/>
              <w:spacing w:before="0" w:after="0" w:line="240" w:lineRule="auto"/>
              <w:rPr>
                <w:rFonts w:cs="Calibri"/>
                <w:sz w:val="16"/>
                <w:szCs w:val="16"/>
                <w:lang w:val="en-US" w:eastAsia="hr-HR"/>
              </w:rPr>
            </w:pPr>
            <w:r w:rsidRPr="00ED4D49">
              <w:rPr>
                <w:rFonts w:cs="Calibri"/>
                <w:sz w:val="16"/>
                <w:szCs w:val="16"/>
                <w:lang w:val="en-US" w:eastAsia="hr-HR"/>
              </w:rPr>
              <w:t>Northern boreal meadows of river valleys</w:t>
            </w:r>
          </w:p>
        </w:tc>
      </w:tr>
      <w:tr w:rsidR="0024745F" w:rsidRPr="00ED4D49" w14:paraId="2ADB0A3B" w14:textId="77777777" w:rsidTr="0024745F">
        <w:tc>
          <w:tcPr>
            <w:tcW w:w="689" w:type="pct"/>
            <w:shd w:val="clear" w:color="auto" w:fill="auto"/>
            <w:vAlign w:val="center"/>
          </w:tcPr>
          <w:p w14:paraId="2B42364C" w14:textId="77777777" w:rsidR="0024745F" w:rsidRPr="00ED4D49" w:rsidRDefault="0024745F" w:rsidP="0024745F">
            <w:pPr>
              <w:autoSpaceDE w:val="0"/>
              <w:autoSpaceDN w:val="0"/>
              <w:adjustRightInd w:val="0"/>
              <w:spacing w:before="0" w:after="0" w:line="240" w:lineRule="auto"/>
              <w:jc w:val="center"/>
              <w:rPr>
                <w:rFonts w:cs="Calibri"/>
                <w:sz w:val="16"/>
                <w:szCs w:val="16"/>
                <w:lang w:val="en-US" w:eastAsia="hr-HR"/>
              </w:rPr>
            </w:pPr>
            <w:r w:rsidRPr="00ED4D49">
              <w:rPr>
                <w:rFonts w:cs="Calibri"/>
                <w:b/>
                <w:bCs/>
                <w:sz w:val="16"/>
                <w:szCs w:val="16"/>
                <w:lang w:val="en-US" w:eastAsia="hr-HR"/>
              </w:rPr>
              <w:t>6510</w:t>
            </w:r>
          </w:p>
        </w:tc>
        <w:tc>
          <w:tcPr>
            <w:tcW w:w="4311" w:type="pct"/>
            <w:shd w:val="clear" w:color="auto" w:fill="auto"/>
          </w:tcPr>
          <w:p w14:paraId="2629C0ED" w14:textId="77777777" w:rsidR="0024745F" w:rsidRPr="00ED4D49" w:rsidRDefault="0024745F" w:rsidP="0024745F">
            <w:pPr>
              <w:autoSpaceDE w:val="0"/>
              <w:autoSpaceDN w:val="0"/>
              <w:adjustRightInd w:val="0"/>
              <w:spacing w:before="0" w:after="0" w:line="240" w:lineRule="auto"/>
              <w:rPr>
                <w:rFonts w:cs="Calibri"/>
                <w:sz w:val="16"/>
                <w:szCs w:val="16"/>
                <w:lang w:val="en-US" w:eastAsia="hr-HR"/>
              </w:rPr>
            </w:pPr>
            <w:r w:rsidRPr="00ED4D49">
              <w:rPr>
                <w:rFonts w:cs="Calibri"/>
                <w:sz w:val="16"/>
                <w:szCs w:val="16"/>
                <w:lang w:val="en-US" w:eastAsia="hr-HR"/>
              </w:rPr>
              <w:t>Lowland hay meadows (</w:t>
            </w:r>
            <w:r w:rsidRPr="00ED4D49">
              <w:rPr>
                <w:rFonts w:cs="Calibri"/>
                <w:i/>
                <w:iCs/>
                <w:sz w:val="16"/>
                <w:szCs w:val="16"/>
                <w:lang w:val="en-US" w:eastAsia="hr-HR"/>
              </w:rPr>
              <w:t>Alopecurus pratensis, Sanguisorba officinalis</w:t>
            </w:r>
            <w:r w:rsidRPr="00ED4D49">
              <w:rPr>
                <w:rFonts w:cs="Calibri"/>
                <w:sz w:val="16"/>
                <w:szCs w:val="16"/>
                <w:lang w:val="en-US" w:eastAsia="hr-HR"/>
              </w:rPr>
              <w:t>)</w:t>
            </w:r>
          </w:p>
        </w:tc>
      </w:tr>
      <w:tr w:rsidR="0024745F" w:rsidRPr="00ED4D49" w14:paraId="6541EBF5" w14:textId="77777777" w:rsidTr="0024745F">
        <w:tc>
          <w:tcPr>
            <w:tcW w:w="689" w:type="pct"/>
            <w:shd w:val="clear" w:color="auto" w:fill="auto"/>
            <w:vAlign w:val="center"/>
          </w:tcPr>
          <w:p w14:paraId="302453E0" w14:textId="77777777" w:rsidR="0024745F" w:rsidRPr="00ED4D49" w:rsidRDefault="0024745F" w:rsidP="0024745F">
            <w:pPr>
              <w:autoSpaceDE w:val="0"/>
              <w:autoSpaceDN w:val="0"/>
              <w:adjustRightInd w:val="0"/>
              <w:spacing w:before="0" w:after="0" w:line="240" w:lineRule="auto"/>
              <w:jc w:val="center"/>
              <w:rPr>
                <w:rFonts w:cs="Calibri"/>
                <w:sz w:val="16"/>
                <w:szCs w:val="16"/>
                <w:lang w:val="en-US" w:eastAsia="hr-HR"/>
              </w:rPr>
            </w:pPr>
            <w:r w:rsidRPr="00ED4D49">
              <w:rPr>
                <w:rFonts w:cs="Calibri"/>
                <w:b/>
                <w:bCs/>
                <w:sz w:val="16"/>
                <w:szCs w:val="16"/>
                <w:lang w:val="en-US" w:eastAsia="hr-HR"/>
              </w:rPr>
              <w:t>7140</w:t>
            </w:r>
          </w:p>
        </w:tc>
        <w:tc>
          <w:tcPr>
            <w:tcW w:w="4311" w:type="pct"/>
            <w:shd w:val="clear" w:color="auto" w:fill="auto"/>
          </w:tcPr>
          <w:p w14:paraId="7CB27510" w14:textId="77777777" w:rsidR="0024745F" w:rsidRPr="00ED4D49" w:rsidRDefault="0024745F" w:rsidP="0024745F">
            <w:pPr>
              <w:autoSpaceDE w:val="0"/>
              <w:autoSpaceDN w:val="0"/>
              <w:adjustRightInd w:val="0"/>
              <w:spacing w:before="0" w:after="0" w:line="240" w:lineRule="auto"/>
              <w:rPr>
                <w:rFonts w:cs="Calibri"/>
                <w:sz w:val="16"/>
                <w:szCs w:val="16"/>
                <w:lang w:val="en-US" w:eastAsia="hr-HR"/>
              </w:rPr>
            </w:pPr>
            <w:r w:rsidRPr="00ED4D49">
              <w:rPr>
                <w:rFonts w:cs="Calibri"/>
                <w:sz w:val="16"/>
                <w:szCs w:val="16"/>
                <w:lang w:val="en-US" w:eastAsia="hr-HR"/>
              </w:rPr>
              <w:t>Transition mires and quaking bogs</w:t>
            </w:r>
          </w:p>
        </w:tc>
      </w:tr>
      <w:tr w:rsidR="0024745F" w:rsidRPr="00ED4D49" w14:paraId="2D30F5F4" w14:textId="77777777" w:rsidTr="0024745F">
        <w:tc>
          <w:tcPr>
            <w:tcW w:w="689" w:type="pct"/>
            <w:shd w:val="clear" w:color="auto" w:fill="auto"/>
            <w:vAlign w:val="center"/>
          </w:tcPr>
          <w:p w14:paraId="2D060DAA" w14:textId="77777777" w:rsidR="0024745F" w:rsidRPr="00ED4D49" w:rsidRDefault="0024745F" w:rsidP="0024745F">
            <w:pPr>
              <w:autoSpaceDE w:val="0"/>
              <w:autoSpaceDN w:val="0"/>
              <w:adjustRightInd w:val="0"/>
              <w:spacing w:before="0" w:after="0" w:line="240" w:lineRule="auto"/>
              <w:jc w:val="center"/>
              <w:rPr>
                <w:rFonts w:cs="Calibri"/>
                <w:sz w:val="16"/>
                <w:szCs w:val="16"/>
                <w:lang w:val="en-US" w:eastAsia="hr-HR"/>
              </w:rPr>
            </w:pPr>
            <w:r w:rsidRPr="00ED4D49">
              <w:rPr>
                <w:rFonts w:cs="Calibri"/>
                <w:b/>
                <w:bCs/>
                <w:sz w:val="16"/>
                <w:szCs w:val="16"/>
                <w:lang w:val="en-US" w:eastAsia="hr-HR"/>
              </w:rPr>
              <w:t>7230</w:t>
            </w:r>
          </w:p>
        </w:tc>
        <w:tc>
          <w:tcPr>
            <w:tcW w:w="4311" w:type="pct"/>
            <w:shd w:val="clear" w:color="auto" w:fill="auto"/>
          </w:tcPr>
          <w:p w14:paraId="5C470FAB" w14:textId="77777777" w:rsidR="0024745F" w:rsidRPr="00ED4D49" w:rsidRDefault="0024745F" w:rsidP="0024745F">
            <w:pPr>
              <w:autoSpaceDE w:val="0"/>
              <w:autoSpaceDN w:val="0"/>
              <w:adjustRightInd w:val="0"/>
              <w:spacing w:before="0" w:after="0" w:line="240" w:lineRule="auto"/>
              <w:rPr>
                <w:rFonts w:cs="Calibri"/>
                <w:sz w:val="16"/>
                <w:szCs w:val="16"/>
                <w:lang w:val="en-US" w:eastAsia="hr-HR"/>
              </w:rPr>
            </w:pPr>
            <w:r w:rsidRPr="00ED4D49">
              <w:rPr>
                <w:rFonts w:cs="Calibri"/>
                <w:sz w:val="16"/>
                <w:szCs w:val="16"/>
                <w:lang w:val="en-US" w:eastAsia="hr-HR"/>
              </w:rPr>
              <w:t>Alkaline fens</w:t>
            </w:r>
          </w:p>
        </w:tc>
      </w:tr>
      <w:tr w:rsidR="0024745F" w:rsidRPr="00ED4D49" w14:paraId="53C9A4BC" w14:textId="77777777" w:rsidTr="0024745F">
        <w:tc>
          <w:tcPr>
            <w:tcW w:w="689" w:type="pct"/>
            <w:shd w:val="clear" w:color="auto" w:fill="auto"/>
            <w:vAlign w:val="center"/>
          </w:tcPr>
          <w:p w14:paraId="4A585B85" w14:textId="77777777" w:rsidR="0024745F" w:rsidRPr="00ED4D49" w:rsidRDefault="0024745F" w:rsidP="0024745F">
            <w:pPr>
              <w:autoSpaceDE w:val="0"/>
              <w:autoSpaceDN w:val="0"/>
              <w:adjustRightInd w:val="0"/>
              <w:spacing w:before="0" w:after="0" w:line="240" w:lineRule="auto"/>
              <w:jc w:val="center"/>
              <w:rPr>
                <w:rFonts w:cs="Calibri"/>
                <w:sz w:val="16"/>
                <w:szCs w:val="16"/>
                <w:lang w:val="en-US" w:eastAsia="hr-HR"/>
              </w:rPr>
            </w:pPr>
            <w:r w:rsidRPr="00ED4D49">
              <w:rPr>
                <w:rFonts w:cs="Calibri"/>
                <w:sz w:val="16"/>
                <w:szCs w:val="16"/>
                <w:lang w:val="en-US" w:eastAsia="hr-HR"/>
              </w:rPr>
              <w:t>-</w:t>
            </w:r>
          </w:p>
        </w:tc>
        <w:tc>
          <w:tcPr>
            <w:tcW w:w="4311" w:type="pct"/>
            <w:shd w:val="clear" w:color="auto" w:fill="auto"/>
          </w:tcPr>
          <w:p w14:paraId="3ABBDAE7" w14:textId="77777777" w:rsidR="0024745F" w:rsidRPr="00ED4D49" w:rsidRDefault="0024745F" w:rsidP="0024745F">
            <w:pPr>
              <w:autoSpaceDE w:val="0"/>
              <w:autoSpaceDN w:val="0"/>
              <w:adjustRightInd w:val="0"/>
              <w:spacing w:before="0" w:after="0" w:line="240" w:lineRule="auto"/>
              <w:rPr>
                <w:rFonts w:cs="Calibri"/>
                <w:sz w:val="16"/>
                <w:szCs w:val="16"/>
                <w:lang w:val="en-US" w:eastAsia="hr-HR"/>
              </w:rPr>
            </w:pPr>
            <w:r w:rsidRPr="00ED4D49">
              <w:rPr>
                <w:rFonts w:cs="Calibri"/>
                <w:sz w:val="16"/>
                <w:szCs w:val="16"/>
                <w:lang w:val="en-US" w:eastAsia="hr-HR"/>
              </w:rPr>
              <w:t xml:space="preserve">Reedbeds, tall sedges and vegetation of </w:t>
            </w:r>
            <w:proofErr w:type="spellStart"/>
            <w:r w:rsidRPr="00ED4D49">
              <w:rPr>
                <w:rFonts w:cs="Calibri"/>
                <w:i/>
                <w:iCs/>
                <w:sz w:val="16"/>
                <w:szCs w:val="16"/>
                <w:lang w:val="en-US" w:eastAsia="hr-HR"/>
              </w:rPr>
              <w:t>Phragmito-Magnocaricetea</w:t>
            </w:r>
            <w:proofErr w:type="spellEnd"/>
            <w:r w:rsidRPr="00ED4D49">
              <w:rPr>
                <w:rStyle w:val="FootnoteReference"/>
                <w:rFonts w:cs="Calibri"/>
                <w:i/>
                <w:iCs/>
                <w:sz w:val="16"/>
                <w:szCs w:val="16"/>
                <w:lang w:val="en-US" w:eastAsia="hr-HR"/>
              </w:rPr>
              <w:footnoteReference w:id="18"/>
            </w:r>
          </w:p>
        </w:tc>
      </w:tr>
      <w:tr w:rsidR="0024745F" w:rsidRPr="00ED4D49" w14:paraId="3872561A" w14:textId="77777777" w:rsidTr="0024745F">
        <w:tc>
          <w:tcPr>
            <w:tcW w:w="689" w:type="pct"/>
            <w:shd w:val="clear" w:color="auto" w:fill="auto"/>
            <w:vAlign w:val="center"/>
          </w:tcPr>
          <w:p w14:paraId="79C1B1CF" w14:textId="77777777" w:rsidR="0024745F" w:rsidRPr="00ED4D49" w:rsidRDefault="0024745F" w:rsidP="0024745F">
            <w:pPr>
              <w:autoSpaceDE w:val="0"/>
              <w:autoSpaceDN w:val="0"/>
              <w:adjustRightInd w:val="0"/>
              <w:spacing w:before="0" w:after="0" w:line="240" w:lineRule="auto"/>
              <w:jc w:val="center"/>
              <w:rPr>
                <w:rFonts w:cs="Calibri"/>
                <w:sz w:val="16"/>
                <w:szCs w:val="16"/>
                <w:lang w:val="en-US" w:eastAsia="hr-HR"/>
              </w:rPr>
            </w:pPr>
            <w:r w:rsidRPr="00ED4D49">
              <w:rPr>
                <w:rFonts w:cs="Calibri"/>
                <w:b/>
                <w:bCs/>
                <w:sz w:val="16"/>
                <w:szCs w:val="16"/>
                <w:lang w:val="en-US" w:eastAsia="hr-HR"/>
              </w:rPr>
              <w:t>9160</w:t>
            </w:r>
          </w:p>
        </w:tc>
        <w:tc>
          <w:tcPr>
            <w:tcW w:w="4311" w:type="pct"/>
            <w:shd w:val="clear" w:color="auto" w:fill="auto"/>
          </w:tcPr>
          <w:p w14:paraId="2BAA1EF5" w14:textId="25D18A27" w:rsidR="0024745F" w:rsidRPr="00ED4D49" w:rsidRDefault="0024745F" w:rsidP="001C2107">
            <w:pPr>
              <w:autoSpaceDE w:val="0"/>
              <w:autoSpaceDN w:val="0"/>
              <w:adjustRightInd w:val="0"/>
              <w:spacing w:before="0" w:after="0" w:line="240" w:lineRule="auto"/>
              <w:rPr>
                <w:rFonts w:cs="Calibri"/>
                <w:sz w:val="16"/>
                <w:szCs w:val="16"/>
                <w:lang w:val="en-US" w:eastAsia="hr-HR"/>
              </w:rPr>
            </w:pPr>
            <w:r w:rsidRPr="00ED4D49">
              <w:rPr>
                <w:rFonts w:cs="Calibri"/>
                <w:sz w:val="16"/>
                <w:szCs w:val="16"/>
                <w:lang w:val="en-US" w:eastAsia="hr-HR"/>
              </w:rPr>
              <w:t>Sub-Atlantic and medio-European oak or oak-hornbeam forests of the</w:t>
            </w:r>
            <w:r w:rsidR="001C2107" w:rsidRPr="00ED4D49">
              <w:rPr>
                <w:rFonts w:cs="Calibri"/>
                <w:sz w:val="16"/>
                <w:szCs w:val="16"/>
                <w:lang w:val="en-US" w:eastAsia="hr-HR"/>
              </w:rPr>
              <w:t xml:space="preserve"> </w:t>
            </w:r>
            <w:proofErr w:type="spellStart"/>
            <w:r w:rsidRPr="00ED4D49">
              <w:rPr>
                <w:rFonts w:cs="Calibri"/>
                <w:i/>
                <w:iCs/>
                <w:sz w:val="16"/>
                <w:szCs w:val="16"/>
                <w:lang w:val="en-US" w:eastAsia="hr-HR"/>
              </w:rPr>
              <w:t>Carpinion</w:t>
            </w:r>
            <w:proofErr w:type="spellEnd"/>
            <w:r w:rsidRPr="00ED4D49">
              <w:rPr>
                <w:rFonts w:cs="Calibri"/>
                <w:i/>
                <w:iCs/>
                <w:sz w:val="16"/>
                <w:szCs w:val="16"/>
                <w:lang w:val="en-US" w:eastAsia="hr-HR"/>
              </w:rPr>
              <w:t xml:space="preserve"> </w:t>
            </w:r>
            <w:proofErr w:type="spellStart"/>
            <w:r w:rsidRPr="00ED4D49">
              <w:rPr>
                <w:rFonts w:cs="Calibri"/>
                <w:i/>
                <w:iCs/>
                <w:sz w:val="16"/>
                <w:szCs w:val="16"/>
                <w:lang w:val="en-US" w:eastAsia="hr-HR"/>
              </w:rPr>
              <w:t>betuli</w:t>
            </w:r>
            <w:proofErr w:type="spellEnd"/>
          </w:p>
        </w:tc>
      </w:tr>
      <w:tr w:rsidR="0024745F" w:rsidRPr="00ED4D49" w14:paraId="36DA64DC" w14:textId="77777777" w:rsidTr="0024745F">
        <w:tc>
          <w:tcPr>
            <w:tcW w:w="689" w:type="pct"/>
            <w:shd w:val="clear" w:color="auto" w:fill="auto"/>
            <w:vAlign w:val="center"/>
          </w:tcPr>
          <w:p w14:paraId="4E66923F" w14:textId="0EDFC49A" w:rsidR="0024745F" w:rsidRPr="00ED4D49" w:rsidRDefault="0024745F" w:rsidP="001C2107">
            <w:pPr>
              <w:autoSpaceDE w:val="0"/>
              <w:autoSpaceDN w:val="0"/>
              <w:adjustRightInd w:val="0"/>
              <w:spacing w:before="0" w:after="0" w:line="240" w:lineRule="auto"/>
              <w:jc w:val="center"/>
              <w:rPr>
                <w:rFonts w:cs="Calibri"/>
                <w:b/>
                <w:bCs/>
                <w:sz w:val="16"/>
                <w:szCs w:val="16"/>
                <w:lang w:val="en-US" w:eastAsia="hr-HR"/>
              </w:rPr>
            </w:pPr>
            <w:r w:rsidRPr="00ED4D49">
              <w:rPr>
                <w:rFonts w:cs="Calibri"/>
                <w:b/>
                <w:bCs/>
                <w:sz w:val="16"/>
                <w:szCs w:val="16"/>
                <w:lang w:val="en-US" w:eastAsia="hr-HR"/>
              </w:rPr>
              <w:t>91E0</w:t>
            </w:r>
            <w:r w:rsidRPr="00ED4D49">
              <w:rPr>
                <w:rFonts w:cs="Calibri"/>
                <w:sz w:val="16"/>
                <w:szCs w:val="16"/>
                <w:lang w:val="en-US" w:eastAsia="hr-HR"/>
              </w:rPr>
              <w:t>*</w:t>
            </w:r>
          </w:p>
        </w:tc>
        <w:tc>
          <w:tcPr>
            <w:tcW w:w="4311" w:type="pct"/>
            <w:shd w:val="clear" w:color="auto" w:fill="auto"/>
          </w:tcPr>
          <w:p w14:paraId="7A0898CA" w14:textId="113DE751" w:rsidR="0024745F" w:rsidRPr="00ED4D49" w:rsidRDefault="0024745F" w:rsidP="001C2107">
            <w:pPr>
              <w:autoSpaceDE w:val="0"/>
              <w:autoSpaceDN w:val="0"/>
              <w:adjustRightInd w:val="0"/>
              <w:spacing w:before="0" w:after="0" w:line="240" w:lineRule="auto"/>
              <w:rPr>
                <w:rFonts w:cs="Calibri"/>
                <w:sz w:val="16"/>
                <w:szCs w:val="16"/>
                <w:lang w:val="en-US" w:eastAsia="hr-HR"/>
              </w:rPr>
            </w:pPr>
            <w:r w:rsidRPr="00ED4D49">
              <w:rPr>
                <w:rFonts w:cs="Calibri"/>
                <w:sz w:val="16"/>
                <w:szCs w:val="16"/>
                <w:lang w:val="en-US" w:eastAsia="hr-HR"/>
              </w:rPr>
              <w:t xml:space="preserve">Alluvial forests with </w:t>
            </w:r>
            <w:r w:rsidRPr="00ED4D49">
              <w:rPr>
                <w:rFonts w:cs="Calibri"/>
                <w:i/>
                <w:iCs/>
                <w:sz w:val="16"/>
                <w:szCs w:val="16"/>
                <w:lang w:val="en-US" w:eastAsia="hr-HR"/>
              </w:rPr>
              <w:t xml:space="preserve">Alnus </w:t>
            </w:r>
            <w:proofErr w:type="spellStart"/>
            <w:r w:rsidRPr="00ED4D49">
              <w:rPr>
                <w:rFonts w:cs="Calibri"/>
                <w:i/>
                <w:iCs/>
                <w:sz w:val="16"/>
                <w:szCs w:val="16"/>
                <w:lang w:val="en-US" w:eastAsia="hr-HR"/>
              </w:rPr>
              <w:t>glutinosa</w:t>
            </w:r>
            <w:proofErr w:type="spellEnd"/>
            <w:r w:rsidRPr="00ED4D49">
              <w:rPr>
                <w:rFonts w:cs="Calibri"/>
                <w:i/>
                <w:iCs/>
                <w:sz w:val="16"/>
                <w:szCs w:val="16"/>
                <w:lang w:val="en-US" w:eastAsia="hr-HR"/>
              </w:rPr>
              <w:t xml:space="preserve"> </w:t>
            </w:r>
            <w:r w:rsidRPr="00ED4D49">
              <w:rPr>
                <w:rFonts w:cs="Calibri"/>
                <w:sz w:val="16"/>
                <w:szCs w:val="16"/>
                <w:lang w:val="en-US" w:eastAsia="hr-HR"/>
              </w:rPr>
              <w:t xml:space="preserve">and </w:t>
            </w:r>
            <w:r w:rsidRPr="00ED4D49">
              <w:rPr>
                <w:rFonts w:cs="Calibri"/>
                <w:i/>
                <w:iCs/>
                <w:sz w:val="16"/>
                <w:szCs w:val="16"/>
                <w:lang w:val="en-US" w:eastAsia="hr-HR"/>
              </w:rPr>
              <w:t>Fraxinus excelsior (</w:t>
            </w:r>
            <w:proofErr w:type="spellStart"/>
            <w:r w:rsidRPr="00ED4D49">
              <w:rPr>
                <w:rFonts w:cs="Calibri"/>
                <w:i/>
                <w:iCs/>
                <w:sz w:val="16"/>
                <w:szCs w:val="16"/>
                <w:lang w:val="en-US" w:eastAsia="hr-HR"/>
              </w:rPr>
              <w:t>Alno-Padion</w:t>
            </w:r>
            <w:proofErr w:type="spellEnd"/>
            <w:r w:rsidRPr="00ED4D49">
              <w:rPr>
                <w:rFonts w:cs="Calibri"/>
                <w:i/>
                <w:iCs/>
                <w:sz w:val="16"/>
                <w:szCs w:val="16"/>
                <w:lang w:val="en-US" w:eastAsia="hr-HR"/>
              </w:rPr>
              <w:t>,</w:t>
            </w:r>
            <w:r w:rsidR="001C2107" w:rsidRPr="00ED4D49">
              <w:rPr>
                <w:rFonts w:cs="Calibri"/>
                <w:i/>
                <w:iCs/>
                <w:sz w:val="16"/>
                <w:szCs w:val="16"/>
                <w:lang w:val="en-US" w:eastAsia="hr-HR"/>
              </w:rPr>
              <w:t xml:space="preserve"> </w:t>
            </w:r>
            <w:proofErr w:type="spellStart"/>
            <w:r w:rsidRPr="00ED4D49">
              <w:rPr>
                <w:rFonts w:cs="Calibri"/>
                <w:i/>
                <w:iCs/>
                <w:sz w:val="16"/>
                <w:szCs w:val="16"/>
                <w:lang w:val="en-US" w:eastAsia="hr-HR"/>
              </w:rPr>
              <w:t>Alnion</w:t>
            </w:r>
            <w:proofErr w:type="spellEnd"/>
            <w:r w:rsidRPr="00ED4D49">
              <w:rPr>
                <w:rFonts w:cs="Calibri"/>
                <w:i/>
                <w:iCs/>
                <w:sz w:val="16"/>
                <w:szCs w:val="16"/>
                <w:lang w:val="en-US" w:eastAsia="hr-HR"/>
              </w:rPr>
              <w:t xml:space="preserve"> </w:t>
            </w:r>
            <w:proofErr w:type="spellStart"/>
            <w:r w:rsidRPr="00ED4D49">
              <w:rPr>
                <w:rFonts w:cs="Calibri"/>
                <w:i/>
                <w:iCs/>
                <w:sz w:val="16"/>
                <w:szCs w:val="16"/>
                <w:lang w:val="en-US" w:eastAsia="hr-HR"/>
              </w:rPr>
              <w:t>incanae</w:t>
            </w:r>
            <w:proofErr w:type="spellEnd"/>
            <w:r w:rsidRPr="00ED4D49">
              <w:rPr>
                <w:rFonts w:cs="Calibri"/>
                <w:i/>
                <w:iCs/>
                <w:sz w:val="16"/>
                <w:szCs w:val="16"/>
                <w:lang w:val="en-US" w:eastAsia="hr-HR"/>
              </w:rPr>
              <w:t xml:space="preserve">, </w:t>
            </w:r>
            <w:proofErr w:type="spellStart"/>
            <w:r w:rsidRPr="00ED4D49">
              <w:rPr>
                <w:rFonts w:cs="Calibri"/>
                <w:i/>
                <w:iCs/>
                <w:sz w:val="16"/>
                <w:szCs w:val="16"/>
                <w:lang w:val="en-US" w:eastAsia="hr-HR"/>
              </w:rPr>
              <w:t>Salicion</w:t>
            </w:r>
            <w:proofErr w:type="spellEnd"/>
            <w:r w:rsidRPr="00ED4D49">
              <w:rPr>
                <w:rFonts w:cs="Calibri"/>
                <w:i/>
                <w:iCs/>
                <w:sz w:val="16"/>
                <w:szCs w:val="16"/>
                <w:lang w:val="en-US" w:eastAsia="hr-HR"/>
              </w:rPr>
              <w:t xml:space="preserve"> </w:t>
            </w:r>
            <w:proofErr w:type="spellStart"/>
            <w:r w:rsidRPr="00ED4D49">
              <w:rPr>
                <w:rFonts w:cs="Calibri"/>
                <w:i/>
                <w:iCs/>
                <w:sz w:val="16"/>
                <w:szCs w:val="16"/>
                <w:lang w:val="en-US" w:eastAsia="hr-HR"/>
              </w:rPr>
              <w:t>albae</w:t>
            </w:r>
            <w:proofErr w:type="spellEnd"/>
            <w:r w:rsidRPr="00ED4D49">
              <w:rPr>
                <w:rFonts w:cs="Calibri"/>
                <w:i/>
                <w:iCs/>
                <w:sz w:val="16"/>
                <w:szCs w:val="16"/>
                <w:lang w:val="en-US" w:eastAsia="hr-HR"/>
              </w:rPr>
              <w:t>)</w:t>
            </w:r>
          </w:p>
        </w:tc>
      </w:tr>
      <w:tr w:rsidR="0024745F" w:rsidRPr="00ED4D49" w14:paraId="3E9EF91E" w14:textId="77777777" w:rsidTr="0024745F">
        <w:tc>
          <w:tcPr>
            <w:tcW w:w="689" w:type="pct"/>
            <w:shd w:val="clear" w:color="auto" w:fill="auto"/>
            <w:vAlign w:val="center"/>
          </w:tcPr>
          <w:p w14:paraId="735C1FEA" w14:textId="77777777" w:rsidR="0024745F" w:rsidRPr="00ED4D49" w:rsidRDefault="0024745F" w:rsidP="0024745F">
            <w:pPr>
              <w:autoSpaceDE w:val="0"/>
              <w:autoSpaceDN w:val="0"/>
              <w:adjustRightInd w:val="0"/>
              <w:spacing w:before="0" w:after="0" w:line="240" w:lineRule="auto"/>
              <w:jc w:val="center"/>
              <w:rPr>
                <w:rFonts w:cs="Calibri"/>
                <w:sz w:val="16"/>
                <w:szCs w:val="16"/>
                <w:lang w:val="en-US" w:eastAsia="hr-HR"/>
              </w:rPr>
            </w:pPr>
            <w:r w:rsidRPr="00ED4D49">
              <w:rPr>
                <w:rFonts w:cs="Calibri"/>
                <w:b/>
                <w:bCs/>
                <w:sz w:val="16"/>
                <w:szCs w:val="16"/>
                <w:lang w:val="en-US" w:eastAsia="hr-HR"/>
              </w:rPr>
              <w:t>91F0</w:t>
            </w:r>
          </w:p>
          <w:p w14:paraId="3041459A" w14:textId="77777777" w:rsidR="0024745F" w:rsidRPr="00ED4D49" w:rsidRDefault="0024745F" w:rsidP="0024745F">
            <w:pPr>
              <w:autoSpaceDE w:val="0"/>
              <w:autoSpaceDN w:val="0"/>
              <w:adjustRightInd w:val="0"/>
              <w:spacing w:before="0" w:after="0" w:line="240" w:lineRule="auto"/>
              <w:jc w:val="center"/>
              <w:rPr>
                <w:rFonts w:cs="Calibri"/>
                <w:b/>
                <w:bCs/>
                <w:sz w:val="16"/>
                <w:szCs w:val="16"/>
                <w:lang w:val="en-US" w:eastAsia="hr-HR"/>
              </w:rPr>
            </w:pPr>
          </w:p>
        </w:tc>
        <w:tc>
          <w:tcPr>
            <w:tcW w:w="4311" w:type="pct"/>
            <w:shd w:val="clear" w:color="auto" w:fill="auto"/>
          </w:tcPr>
          <w:p w14:paraId="56F2E098" w14:textId="65EB3A4F" w:rsidR="0024745F" w:rsidRPr="00ED4D49" w:rsidRDefault="0024745F" w:rsidP="001C2107">
            <w:pPr>
              <w:autoSpaceDE w:val="0"/>
              <w:autoSpaceDN w:val="0"/>
              <w:adjustRightInd w:val="0"/>
              <w:spacing w:before="0" w:after="0" w:line="240" w:lineRule="auto"/>
              <w:rPr>
                <w:rFonts w:cs="Calibri"/>
                <w:sz w:val="16"/>
                <w:szCs w:val="16"/>
                <w:lang w:val="en-US" w:eastAsia="hr-HR"/>
              </w:rPr>
            </w:pPr>
            <w:r w:rsidRPr="00ED4D49">
              <w:rPr>
                <w:rFonts w:cs="Calibri"/>
                <w:sz w:val="16"/>
                <w:szCs w:val="16"/>
                <w:lang w:val="en-US" w:eastAsia="hr-HR"/>
              </w:rPr>
              <w:t xml:space="preserve">Riparian mixed forests of </w:t>
            </w:r>
            <w:r w:rsidRPr="00ED4D49">
              <w:rPr>
                <w:rFonts w:cs="Calibri"/>
                <w:i/>
                <w:iCs/>
                <w:sz w:val="16"/>
                <w:szCs w:val="16"/>
                <w:lang w:val="en-US" w:eastAsia="hr-HR"/>
              </w:rPr>
              <w:t xml:space="preserve">Quercus </w:t>
            </w:r>
            <w:proofErr w:type="spellStart"/>
            <w:r w:rsidRPr="00ED4D49">
              <w:rPr>
                <w:rFonts w:cs="Calibri"/>
                <w:i/>
                <w:iCs/>
                <w:sz w:val="16"/>
                <w:szCs w:val="16"/>
                <w:lang w:val="en-US" w:eastAsia="hr-HR"/>
              </w:rPr>
              <w:t>robur</w:t>
            </w:r>
            <w:proofErr w:type="spellEnd"/>
            <w:r w:rsidRPr="00ED4D49">
              <w:rPr>
                <w:rFonts w:cs="Calibri"/>
                <w:i/>
                <w:iCs/>
                <w:sz w:val="16"/>
                <w:szCs w:val="16"/>
                <w:lang w:val="en-US" w:eastAsia="hr-HR"/>
              </w:rPr>
              <w:t xml:space="preserve">, Ulmus laevis </w:t>
            </w:r>
            <w:r w:rsidRPr="00ED4D49">
              <w:rPr>
                <w:rFonts w:cs="Calibri"/>
                <w:sz w:val="16"/>
                <w:szCs w:val="16"/>
                <w:lang w:val="en-US" w:eastAsia="hr-HR"/>
              </w:rPr>
              <w:t xml:space="preserve">and </w:t>
            </w:r>
            <w:r w:rsidRPr="00ED4D49">
              <w:rPr>
                <w:rFonts w:cs="Calibri"/>
                <w:i/>
                <w:iCs/>
                <w:sz w:val="16"/>
                <w:szCs w:val="16"/>
                <w:lang w:val="en-US" w:eastAsia="hr-HR"/>
              </w:rPr>
              <w:t>U. minor,</w:t>
            </w:r>
            <w:r w:rsidR="001C2107" w:rsidRPr="00ED4D49">
              <w:rPr>
                <w:rFonts w:cs="Calibri"/>
                <w:i/>
                <w:iCs/>
                <w:sz w:val="16"/>
                <w:szCs w:val="16"/>
                <w:lang w:val="en-US" w:eastAsia="hr-HR"/>
              </w:rPr>
              <w:t xml:space="preserve"> </w:t>
            </w:r>
            <w:r w:rsidRPr="00ED4D49">
              <w:rPr>
                <w:rFonts w:cs="Calibri"/>
                <w:i/>
                <w:iCs/>
                <w:sz w:val="16"/>
                <w:szCs w:val="16"/>
                <w:lang w:val="en-US" w:eastAsia="hr-HR"/>
              </w:rPr>
              <w:t xml:space="preserve">Fraxinus excelsior or F. angustifolia, </w:t>
            </w:r>
            <w:r w:rsidRPr="00ED4D49">
              <w:rPr>
                <w:rFonts w:cs="Calibri"/>
                <w:sz w:val="16"/>
                <w:szCs w:val="16"/>
                <w:lang w:val="en-US" w:eastAsia="hr-HR"/>
              </w:rPr>
              <w:t>along great rivers (</w:t>
            </w:r>
            <w:proofErr w:type="spellStart"/>
            <w:r w:rsidRPr="00ED4D49">
              <w:rPr>
                <w:rFonts w:cs="Calibri"/>
                <w:i/>
                <w:iCs/>
                <w:sz w:val="16"/>
                <w:szCs w:val="16"/>
                <w:lang w:val="en-US" w:eastAsia="hr-HR"/>
              </w:rPr>
              <w:t>Ulmenion</w:t>
            </w:r>
            <w:proofErr w:type="spellEnd"/>
            <w:r w:rsidRPr="00ED4D49">
              <w:rPr>
                <w:rFonts w:cs="Calibri"/>
                <w:i/>
                <w:iCs/>
                <w:sz w:val="16"/>
                <w:szCs w:val="16"/>
                <w:lang w:val="en-US" w:eastAsia="hr-HR"/>
              </w:rPr>
              <w:t xml:space="preserve"> </w:t>
            </w:r>
            <w:proofErr w:type="spellStart"/>
            <w:r w:rsidRPr="00ED4D49">
              <w:rPr>
                <w:rFonts w:cs="Calibri"/>
                <w:i/>
                <w:iCs/>
                <w:sz w:val="16"/>
                <w:szCs w:val="16"/>
                <w:lang w:val="en-US" w:eastAsia="hr-HR"/>
              </w:rPr>
              <w:t>minoris</w:t>
            </w:r>
            <w:proofErr w:type="spellEnd"/>
            <w:r w:rsidRPr="00ED4D49">
              <w:rPr>
                <w:rFonts w:cs="Calibri"/>
                <w:i/>
                <w:iCs/>
                <w:sz w:val="16"/>
                <w:szCs w:val="16"/>
                <w:lang w:val="en-US" w:eastAsia="hr-HR"/>
              </w:rPr>
              <w:t>)</w:t>
            </w:r>
          </w:p>
        </w:tc>
      </w:tr>
      <w:tr w:rsidR="0024745F" w:rsidRPr="00ED4D49" w14:paraId="7DDFC379" w14:textId="77777777" w:rsidTr="0024745F">
        <w:tc>
          <w:tcPr>
            <w:tcW w:w="689" w:type="pct"/>
            <w:shd w:val="clear" w:color="auto" w:fill="auto"/>
            <w:vAlign w:val="center"/>
          </w:tcPr>
          <w:p w14:paraId="73C7BBD4" w14:textId="77777777" w:rsidR="0024745F" w:rsidRPr="00ED4D49" w:rsidRDefault="0024745F" w:rsidP="0024745F">
            <w:pPr>
              <w:autoSpaceDE w:val="0"/>
              <w:autoSpaceDN w:val="0"/>
              <w:adjustRightInd w:val="0"/>
              <w:spacing w:before="0" w:after="0" w:line="240" w:lineRule="auto"/>
              <w:jc w:val="center"/>
              <w:rPr>
                <w:rFonts w:cs="Calibri"/>
                <w:sz w:val="16"/>
                <w:szCs w:val="16"/>
                <w:lang w:val="en-US" w:eastAsia="hr-HR"/>
              </w:rPr>
            </w:pPr>
            <w:r w:rsidRPr="00ED4D49">
              <w:rPr>
                <w:rFonts w:cs="Calibri"/>
                <w:b/>
                <w:bCs/>
                <w:sz w:val="16"/>
                <w:szCs w:val="16"/>
                <w:lang w:val="en-US" w:eastAsia="hr-HR"/>
              </w:rPr>
              <w:t>91G0</w:t>
            </w:r>
            <w:r w:rsidRPr="00ED4D49">
              <w:rPr>
                <w:rFonts w:cs="Calibri"/>
                <w:sz w:val="16"/>
                <w:szCs w:val="16"/>
                <w:lang w:val="en-US" w:eastAsia="hr-HR"/>
              </w:rPr>
              <w:t>*</w:t>
            </w:r>
          </w:p>
        </w:tc>
        <w:tc>
          <w:tcPr>
            <w:tcW w:w="4311" w:type="pct"/>
            <w:shd w:val="clear" w:color="auto" w:fill="auto"/>
          </w:tcPr>
          <w:p w14:paraId="507D9C3D" w14:textId="77777777" w:rsidR="0024745F" w:rsidRPr="00ED4D49" w:rsidRDefault="0024745F" w:rsidP="0024745F">
            <w:pPr>
              <w:autoSpaceDE w:val="0"/>
              <w:autoSpaceDN w:val="0"/>
              <w:adjustRightInd w:val="0"/>
              <w:spacing w:before="0" w:after="0" w:line="240" w:lineRule="auto"/>
              <w:rPr>
                <w:rFonts w:cs="Calibri"/>
                <w:sz w:val="16"/>
                <w:szCs w:val="16"/>
                <w:lang w:val="en-US" w:eastAsia="hr-HR"/>
              </w:rPr>
            </w:pPr>
            <w:proofErr w:type="spellStart"/>
            <w:r w:rsidRPr="00ED4D49">
              <w:rPr>
                <w:rFonts w:cs="Calibri"/>
                <w:sz w:val="16"/>
                <w:szCs w:val="16"/>
                <w:lang w:val="en-US" w:eastAsia="hr-HR"/>
              </w:rPr>
              <w:t>Pannonic</w:t>
            </w:r>
            <w:proofErr w:type="spellEnd"/>
            <w:r w:rsidRPr="00ED4D49">
              <w:rPr>
                <w:rFonts w:cs="Calibri"/>
                <w:sz w:val="16"/>
                <w:szCs w:val="16"/>
                <w:lang w:val="en-US" w:eastAsia="hr-HR"/>
              </w:rPr>
              <w:t xml:space="preserve"> woods with </w:t>
            </w:r>
            <w:r w:rsidRPr="00ED4D49">
              <w:rPr>
                <w:rFonts w:cs="Calibri"/>
                <w:i/>
                <w:iCs/>
                <w:sz w:val="16"/>
                <w:szCs w:val="16"/>
                <w:lang w:val="en-US" w:eastAsia="hr-HR"/>
              </w:rPr>
              <w:t xml:space="preserve">Quercus petraea </w:t>
            </w:r>
            <w:r w:rsidRPr="00ED4D49">
              <w:rPr>
                <w:rFonts w:cs="Calibri"/>
                <w:sz w:val="16"/>
                <w:szCs w:val="16"/>
                <w:lang w:val="en-US" w:eastAsia="hr-HR"/>
              </w:rPr>
              <w:t xml:space="preserve">and </w:t>
            </w:r>
            <w:r w:rsidRPr="00ED4D49">
              <w:rPr>
                <w:rFonts w:cs="Calibri"/>
                <w:i/>
                <w:iCs/>
                <w:sz w:val="16"/>
                <w:szCs w:val="16"/>
                <w:lang w:val="en-US" w:eastAsia="hr-HR"/>
              </w:rPr>
              <w:t xml:space="preserve">Carpinus </w:t>
            </w:r>
            <w:proofErr w:type="spellStart"/>
            <w:r w:rsidRPr="00ED4D49">
              <w:rPr>
                <w:rFonts w:cs="Calibri"/>
                <w:i/>
                <w:iCs/>
                <w:sz w:val="16"/>
                <w:szCs w:val="16"/>
                <w:lang w:val="en-US" w:eastAsia="hr-HR"/>
              </w:rPr>
              <w:t>betulius</w:t>
            </w:r>
            <w:proofErr w:type="spellEnd"/>
          </w:p>
        </w:tc>
      </w:tr>
      <w:tr w:rsidR="0024745F" w:rsidRPr="00ED4D49" w14:paraId="07BBD249" w14:textId="77777777" w:rsidTr="0024745F">
        <w:tc>
          <w:tcPr>
            <w:tcW w:w="689" w:type="pct"/>
            <w:shd w:val="clear" w:color="auto" w:fill="auto"/>
            <w:vAlign w:val="center"/>
          </w:tcPr>
          <w:p w14:paraId="0C5AE7B4" w14:textId="77777777" w:rsidR="0024745F" w:rsidRPr="00ED4D49" w:rsidRDefault="0024745F" w:rsidP="0024745F">
            <w:pPr>
              <w:autoSpaceDE w:val="0"/>
              <w:autoSpaceDN w:val="0"/>
              <w:adjustRightInd w:val="0"/>
              <w:spacing w:before="0" w:after="0" w:line="240" w:lineRule="auto"/>
              <w:jc w:val="center"/>
              <w:rPr>
                <w:rFonts w:cs="Calibri"/>
                <w:sz w:val="16"/>
                <w:szCs w:val="16"/>
                <w:lang w:val="en-US" w:eastAsia="hr-HR"/>
              </w:rPr>
            </w:pPr>
            <w:r w:rsidRPr="00ED4D49">
              <w:rPr>
                <w:rFonts w:cs="Calibri"/>
                <w:b/>
                <w:bCs/>
                <w:sz w:val="16"/>
                <w:szCs w:val="16"/>
                <w:lang w:val="en-US" w:eastAsia="hr-HR"/>
              </w:rPr>
              <w:t>91L0</w:t>
            </w:r>
          </w:p>
        </w:tc>
        <w:tc>
          <w:tcPr>
            <w:tcW w:w="4311" w:type="pct"/>
            <w:shd w:val="clear" w:color="auto" w:fill="auto"/>
          </w:tcPr>
          <w:p w14:paraId="1677A9DA" w14:textId="77777777" w:rsidR="0024745F" w:rsidRPr="00ED4D49" w:rsidRDefault="0024745F" w:rsidP="0024745F">
            <w:pPr>
              <w:autoSpaceDE w:val="0"/>
              <w:autoSpaceDN w:val="0"/>
              <w:adjustRightInd w:val="0"/>
              <w:spacing w:before="0" w:after="0" w:line="240" w:lineRule="auto"/>
              <w:rPr>
                <w:rFonts w:cs="Calibri"/>
                <w:sz w:val="16"/>
                <w:szCs w:val="16"/>
                <w:lang w:val="en-US" w:eastAsia="hr-HR"/>
              </w:rPr>
            </w:pPr>
            <w:r w:rsidRPr="00ED4D49">
              <w:rPr>
                <w:rFonts w:cs="Calibri"/>
                <w:sz w:val="16"/>
                <w:szCs w:val="16"/>
                <w:lang w:val="en-US" w:eastAsia="hr-HR"/>
              </w:rPr>
              <w:t>Ilirian oak-hornbeam forests (</w:t>
            </w:r>
            <w:proofErr w:type="spellStart"/>
            <w:r w:rsidRPr="00ED4D49">
              <w:rPr>
                <w:rFonts w:cs="Calibri"/>
                <w:sz w:val="16"/>
                <w:szCs w:val="16"/>
                <w:lang w:val="en-US" w:eastAsia="hr-HR"/>
              </w:rPr>
              <w:t>Erythronio-carpinion</w:t>
            </w:r>
            <w:proofErr w:type="spellEnd"/>
            <w:r w:rsidRPr="00ED4D49">
              <w:rPr>
                <w:rFonts w:cs="Calibri"/>
                <w:sz w:val="16"/>
                <w:szCs w:val="16"/>
                <w:lang w:val="en-US" w:eastAsia="hr-HR"/>
              </w:rPr>
              <w:t>)</w:t>
            </w:r>
          </w:p>
        </w:tc>
      </w:tr>
    </w:tbl>
    <w:p w14:paraId="4B7EF5F0" w14:textId="77777777" w:rsidR="0024745F" w:rsidRPr="00ED4D49" w:rsidRDefault="0024745F" w:rsidP="0024745F">
      <w:pPr>
        <w:autoSpaceDE w:val="0"/>
        <w:autoSpaceDN w:val="0"/>
        <w:adjustRightInd w:val="0"/>
        <w:spacing w:before="0" w:after="0" w:line="240" w:lineRule="auto"/>
        <w:rPr>
          <w:rFonts w:cs="Calibri"/>
          <w:sz w:val="16"/>
          <w:szCs w:val="16"/>
          <w:lang w:val="en-US" w:eastAsia="hr-HR"/>
        </w:rPr>
      </w:pPr>
      <w:r w:rsidRPr="00ED4D49">
        <w:rPr>
          <w:rFonts w:cs="Calibri"/>
          <w:i/>
          <w:iCs/>
          <w:sz w:val="16"/>
          <w:szCs w:val="16"/>
          <w:lang w:val="en-US" w:eastAsia="hr-HR"/>
        </w:rPr>
        <w:t>* Habitat types of European priority.</w:t>
      </w:r>
    </w:p>
    <w:p w14:paraId="60ADD399" w14:textId="0E9B04B8" w:rsidR="0024745F" w:rsidRPr="00ED4D49" w:rsidRDefault="0024745F" w:rsidP="0024745F">
      <w:pPr>
        <w:jc w:val="both"/>
        <w:rPr>
          <w:lang w:val="en-US"/>
        </w:rPr>
      </w:pPr>
      <w:r w:rsidRPr="00ED4D49">
        <w:rPr>
          <w:lang w:val="en-US"/>
        </w:rPr>
        <w:t xml:space="preserve">In addition to habitat types, animal species in the Sava River were </w:t>
      </w:r>
      <w:r w:rsidR="00042464" w:rsidRPr="00ED4D49">
        <w:rPr>
          <w:lang w:val="en-US"/>
        </w:rPr>
        <w:t>identified</w:t>
      </w:r>
      <w:r w:rsidRPr="00ED4D49">
        <w:rPr>
          <w:lang w:val="en-US"/>
        </w:rPr>
        <w:t xml:space="preserve"> and presented in the publication </w:t>
      </w:r>
      <w:r w:rsidRPr="00ED4D49">
        <w:rPr>
          <w:i/>
          <w:lang w:val="en-US"/>
        </w:rPr>
        <w:t xml:space="preserve">Natura 2000 in </w:t>
      </w:r>
      <w:r w:rsidR="00042464" w:rsidRPr="00ED4D49">
        <w:rPr>
          <w:i/>
          <w:lang w:val="en-US"/>
        </w:rPr>
        <w:t>BiH</w:t>
      </w:r>
      <w:r w:rsidRPr="00ED4D49">
        <w:rPr>
          <w:rStyle w:val="FootnoteReference"/>
          <w:i/>
          <w:lang w:val="en-US"/>
        </w:rPr>
        <w:footnoteReference w:id="19"/>
      </w:r>
      <w:r w:rsidRPr="00ED4D49">
        <w:rPr>
          <w:i/>
          <w:lang w:val="en-US"/>
        </w:rPr>
        <w:t xml:space="preserve">. </w:t>
      </w:r>
      <w:r w:rsidRPr="00ED4D49">
        <w:rPr>
          <w:lang w:val="en-US"/>
        </w:rPr>
        <w:t xml:space="preserve">Table </w:t>
      </w:r>
      <w:r w:rsidRPr="00ED4D49">
        <w:rPr>
          <w:lang w:val="en-US"/>
        </w:rPr>
        <w:fldChar w:fldCharType="begin"/>
      </w:r>
      <w:r w:rsidRPr="00ED4D49">
        <w:rPr>
          <w:lang w:val="en-US"/>
        </w:rPr>
        <w:instrText xml:space="preserve"> REF t4 \h  \* MERGEFORMAT </w:instrText>
      </w:r>
      <w:r w:rsidRPr="00ED4D49">
        <w:rPr>
          <w:lang w:val="en-US"/>
        </w:rPr>
      </w:r>
      <w:r w:rsidRPr="00ED4D49">
        <w:rPr>
          <w:lang w:val="en-US"/>
        </w:rPr>
        <w:fldChar w:fldCharType="separate"/>
      </w:r>
      <w:r w:rsidR="00F60130" w:rsidRPr="00ED4D49">
        <w:rPr>
          <w:lang w:val="en-US"/>
        </w:rPr>
        <w:t>7</w:t>
      </w:r>
      <w:r w:rsidRPr="00ED4D49">
        <w:rPr>
          <w:lang w:val="en-US"/>
        </w:rPr>
        <w:fldChar w:fldCharType="end"/>
      </w:r>
      <w:r w:rsidRPr="00ED4D49">
        <w:rPr>
          <w:lang w:val="en-US"/>
        </w:rPr>
        <w:t xml:space="preserve"> briefly summarizes the</w:t>
      </w:r>
      <w:r w:rsidR="00042464" w:rsidRPr="00ED4D49">
        <w:rPr>
          <w:lang w:val="en-US"/>
        </w:rPr>
        <w:t>se</w:t>
      </w:r>
      <w:r w:rsidRPr="00ED4D49">
        <w:rPr>
          <w:lang w:val="en-US"/>
        </w:rPr>
        <w:t xml:space="preserve"> animal species.</w:t>
      </w:r>
    </w:p>
    <w:p w14:paraId="079B8581" w14:textId="0CC8D000" w:rsidR="0024745F" w:rsidRPr="00ED4D49" w:rsidRDefault="0024745F" w:rsidP="0024745F">
      <w:pPr>
        <w:pStyle w:val="Caption"/>
        <w:rPr>
          <w:rFonts w:cs="Calibri"/>
          <w:b w:val="0"/>
          <w:i/>
          <w:color w:val="auto"/>
          <w:sz w:val="16"/>
          <w:szCs w:val="16"/>
          <w:lang w:eastAsia="hr-HR"/>
        </w:rPr>
      </w:pPr>
      <w:bookmarkStart w:id="78" w:name="_Toc28188032"/>
      <w:r w:rsidRPr="00ED4D49">
        <w:rPr>
          <w:rFonts w:cs="Calibri"/>
          <w:i/>
          <w:sz w:val="16"/>
          <w:szCs w:val="16"/>
        </w:rPr>
        <w:t xml:space="preserve">Table </w:t>
      </w:r>
      <w:bookmarkStart w:id="79" w:name="t4"/>
      <w:r w:rsidRPr="00ED4D49">
        <w:rPr>
          <w:rFonts w:cs="Calibri"/>
          <w:i/>
          <w:sz w:val="16"/>
          <w:szCs w:val="16"/>
        </w:rPr>
        <w:fldChar w:fldCharType="begin"/>
      </w:r>
      <w:r w:rsidRPr="00ED4D49">
        <w:rPr>
          <w:rFonts w:cs="Calibri"/>
          <w:i/>
          <w:sz w:val="16"/>
          <w:szCs w:val="16"/>
        </w:rPr>
        <w:instrText xml:space="preserve"> SEQ Table \* ARABIC </w:instrText>
      </w:r>
      <w:r w:rsidRPr="00ED4D49">
        <w:rPr>
          <w:rFonts w:cs="Calibri"/>
          <w:i/>
          <w:sz w:val="16"/>
          <w:szCs w:val="16"/>
        </w:rPr>
        <w:fldChar w:fldCharType="separate"/>
      </w:r>
      <w:r w:rsidR="00F60130" w:rsidRPr="00ED4D49">
        <w:rPr>
          <w:rFonts w:cs="Calibri"/>
          <w:i/>
          <w:noProof/>
          <w:sz w:val="16"/>
          <w:szCs w:val="16"/>
        </w:rPr>
        <w:t>7</w:t>
      </w:r>
      <w:r w:rsidRPr="00ED4D49">
        <w:rPr>
          <w:rFonts w:cs="Calibri"/>
          <w:i/>
          <w:sz w:val="16"/>
          <w:szCs w:val="16"/>
        </w:rPr>
        <w:fldChar w:fldCharType="end"/>
      </w:r>
      <w:bookmarkEnd w:id="79"/>
      <w:r w:rsidRPr="00ED4D49">
        <w:rPr>
          <w:rFonts w:cs="Calibri"/>
          <w:i/>
          <w:sz w:val="16"/>
          <w:szCs w:val="16"/>
        </w:rPr>
        <w:t xml:space="preserve">: </w:t>
      </w:r>
      <w:r w:rsidRPr="00ED4D49">
        <w:rPr>
          <w:rFonts w:cs="Calibri"/>
          <w:b w:val="0"/>
          <w:i/>
          <w:color w:val="auto"/>
          <w:sz w:val="16"/>
          <w:szCs w:val="16"/>
        </w:rPr>
        <w:t xml:space="preserve">List of animal species of great importance </w:t>
      </w:r>
      <w:r w:rsidRPr="00ED4D49">
        <w:rPr>
          <w:rFonts w:cs="Calibri"/>
          <w:b w:val="0"/>
          <w:i/>
          <w:color w:val="auto"/>
          <w:sz w:val="16"/>
          <w:szCs w:val="16"/>
          <w:lang w:eastAsia="hr-HR"/>
        </w:rPr>
        <w:t>for the entire European Union</w:t>
      </w:r>
      <w:bookmarkEnd w:id="78"/>
    </w:p>
    <w:tbl>
      <w:tblPr>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797"/>
        <w:gridCol w:w="4065"/>
        <w:gridCol w:w="4148"/>
      </w:tblGrid>
      <w:tr w:rsidR="0024745F" w:rsidRPr="00ED4D49" w14:paraId="7CACE663" w14:textId="77777777" w:rsidTr="0024745F">
        <w:trPr>
          <w:tblHeader/>
        </w:trPr>
        <w:tc>
          <w:tcPr>
            <w:tcW w:w="442" w:type="pct"/>
            <w:shd w:val="clear" w:color="auto" w:fill="auto"/>
          </w:tcPr>
          <w:p w14:paraId="745D4F12" w14:textId="77777777" w:rsidR="0024745F" w:rsidRPr="00ED4D49" w:rsidRDefault="0024745F" w:rsidP="0024745F">
            <w:pPr>
              <w:spacing w:before="0" w:after="0"/>
              <w:rPr>
                <w:rFonts w:cs="Calibri"/>
                <w:color w:val="365F91"/>
                <w:sz w:val="16"/>
                <w:szCs w:val="16"/>
                <w:lang w:val="en-US"/>
              </w:rPr>
            </w:pPr>
            <w:r w:rsidRPr="00ED4D49">
              <w:rPr>
                <w:rFonts w:cs="Calibri"/>
                <w:color w:val="365F91"/>
                <w:sz w:val="16"/>
                <w:szCs w:val="16"/>
                <w:lang w:val="en-US"/>
              </w:rPr>
              <w:t xml:space="preserve">No. </w:t>
            </w:r>
          </w:p>
        </w:tc>
        <w:tc>
          <w:tcPr>
            <w:tcW w:w="2256" w:type="pct"/>
            <w:shd w:val="clear" w:color="auto" w:fill="auto"/>
          </w:tcPr>
          <w:p w14:paraId="3AAF61FF" w14:textId="77777777" w:rsidR="0024745F" w:rsidRPr="00ED4D49" w:rsidRDefault="0024745F" w:rsidP="0024745F">
            <w:pPr>
              <w:spacing w:before="0" w:after="0"/>
              <w:rPr>
                <w:rFonts w:cs="Calibri"/>
                <w:color w:val="365F91"/>
                <w:sz w:val="16"/>
                <w:szCs w:val="16"/>
                <w:lang w:val="en-US"/>
              </w:rPr>
            </w:pPr>
            <w:r w:rsidRPr="00ED4D49">
              <w:rPr>
                <w:rFonts w:cs="Calibri"/>
                <w:color w:val="365F91"/>
                <w:sz w:val="16"/>
                <w:szCs w:val="16"/>
                <w:lang w:val="en-US"/>
              </w:rPr>
              <w:t>Scientific Name</w:t>
            </w:r>
          </w:p>
        </w:tc>
        <w:tc>
          <w:tcPr>
            <w:tcW w:w="2302" w:type="pct"/>
          </w:tcPr>
          <w:p w14:paraId="754F423C" w14:textId="77777777" w:rsidR="0024745F" w:rsidRPr="00ED4D49" w:rsidRDefault="0024745F" w:rsidP="0024745F">
            <w:pPr>
              <w:spacing w:before="0" w:after="0"/>
              <w:rPr>
                <w:rFonts w:cs="Calibri"/>
                <w:color w:val="365F91"/>
                <w:sz w:val="16"/>
                <w:szCs w:val="16"/>
                <w:lang w:val="en-US"/>
              </w:rPr>
            </w:pPr>
            <w:r w:rsidRPr="00ED4D49">
              <w:rPr>
                <w:rFonts w:cs="Calibri"/>
                <w:color w:val="365F91"/>
                <w:sz w:val="16"/>
                <w:szCs w:val="16"/>
                <w:lang w:val="en-US"/>
              </w:rPr>
              <w:t>Name</w:t>
            </w:r>
          </w:p>
        </w:tc>
      </w:tr>
      <w:tr w:rsidR="0024745F" w:rsidRPr="00ED4D49" w14:paraId="59F37CE0" w14:textId="77777777" w:rsidTr="0024745F">
        <w:tc>
          <w:tcPr>
            <w:tcW w:w="442" w:type="pct"/>
            <w:shd w:val="clear" w:color="auto" w:fill="auto"/>
          </w:tcPr>
          <w:p w14:paraId="100F6811" w14:textId="77777777" w:rsidR="0024745F" w:rsidRPr="00ED4D49" w:rsidRDefault="0024745F" w:rsidP="00530056">
            <w:pPr>
              <w:numPr>
                <w:ilvl w:val="0"/>
                <w:numId w:val="23"/>
              </w:numPr>
              <w:spacing w:before="0" w:after="0"/>
              <w:rPr>
                <w:rFonts w:cs="Calibri"/>
                <w:sz w:val="16"/>
                <w:szCs w:val="16"/>
                <w:lang w:val="en-US" w:eastAsia="hr-HR"/>
              </w:rPr>
            </w:pPr>
          </w:p>
        </w:tc>
        <w:tc>
          <w:tcPr>
            <w:tcW w:w="2256" w:type="pct"/>
            <w:shd w:val="clear" w:color="auto" w:fill="auto"/>
          </w:tcPr>
          <w:p w14:paraId="3A1810A5" w14:textId="77777777" w:rsidR="0024745F" w:rsidRPr="00ED4D49" w:rsidRDefault="0024745F" w:rsidP="0024745F">
            <w:pPr>
              <w:spacing w:before="0" w:after="0"/>
              <w:rPr>
                <w:rFonts w:cs="Calibri"/>
                <w:i/>
                <w:sz w:val="16"/>
                <w:szCs w:val="16"/>
                <w:lang w:val="en-US"/>
              </w:rPr>
            </w:pPr>
            <w:proofErr w:type="spellStart"/>
            <w:r w:rsidRPr="00ED4D49">
              <w:rPr>
                <w:rFonts w:cs="Calibri"/>
                <w:i/>
                <w:sz w:val="16"/>
                <w:szCs w:val="16"/>
                <w:lang w:val="en-US"/>
              </w:rPr>
              <w:t>Bombina</w:t>
            </w:r>
            <w:proofErr w:type="spellEnd"/>
            <w:r w:rsidRPr="00ED4D49">
              <w:rPr>
                <w:rFonts w:cs="Calibri"/>
                <w:i/>
                <w:sz w:val="16"/>
                <w:szCs w:val="16"/>
                <w:lang w:val="en-US"/>
              </w:rPr>
              <w:t xml:space="preserve"> </w:t>
            </w:r>
            <w:proofErr w:type="spellStart"/>
            <w:r w:rsidRPr="00ED4D49">
              <w:rPr>
                <w:rFonts w:cs="Calibri"/>
                <w:i/>
                <w:sz w:val="16"/>
                <w:szCs w:val="16"/>
                <w:lang w:val="en-US"/>
              </w:rPr>
              <w:t>bombina</w:t>
            </w:r>
            <w:proofErr w:type="spellEnd"/>
            <w:r w:rsidRPr="00ED4D49">
              <w:rPr>
                <w:rFonts w:cs="Calibri"/>
                <w:i/>
                <w:sz w:val="16"/>
                <w:szCs w:val="16"/>
                <w:lang w:val="en-US"/>
              </w:rPr>
              <w:t xml:space="preserve"> </w:t>
            </w:r>
          </w:p>
        </w:tc>
        <w:tc>
          <w:tcPr>
            <w:tcW w:w="2302" w:type="pct"/>
          </w:tcPr>
          <w:p w14:paraId="484353D2" w14:textId="77777777" w:rsidR="0024745F" w:rsidRPr="00ED4D49" w:rsidRDefault="0024745F" w:rsidP="0024745F">
            <w:pPr>
              <w:spacing w:before="0" w:after="0"/>
              <w:rPr>
                <w:rFonts w:cs="Calibri"/>
                <w:sz w:val="16"/>
                <w:szCs w:val="16"/>
                <w:lang w:val="en-US" w:eastAsia="hr-HR"/>
              </w:rPr>
            </w:pPr>
            <w:r w:rsidRPr="00ED4D49">
              <w:rPr>
                <w:rFonts w:cs="Calibri"/>
                <w:sz w:val="16"/>
                <w:szCs w:val="16"/>
                <w:lang w:val="en-US"/>
              </w:rPr>
              <w:t>European fire-bellied toad</w:t>
            </w:r>
          </w:p>
        </w:tc>
      </w:tr>
      <w:tr w:rsidR="0024745F" w:rsidRPr="00ED4D49" w14:paraId="1DE369F6" w14:textId="77777777" w:rsidTr="0024745F">
        <w:tc>
          <w:tcPr>
            <w:tcW w:w="442" w:type="pct"/>
            <w:shd w:val="clear" w:color="auto" w:fill="auto"/>
          </w:tcPr>
          <w:p w14:paraId="6D0A7231" w14:textId="77777777" w:rsidR="0024745F" w:rsidRPr="00ED4D49" w:rsidRDefault="0024745F" w:rsidP="00530056">
            <w:pPr>
              <w:numPr>
                <w:ilvl w:val="0"/>
                <w:numId w:val="23"/>
              </w:numPr>
              <w:spacing w:before="0" w:after="0"/>
              <w:rPr>
                <w:rFonts w:cs="Calibri"/>
                <w:sz w:val="16"/>
                <w:szCs w:val="16"/>
                <w:lang w:val="en-US" w:eastAsia="hr-HR"/>
              </w:rPr>
            </w:pPr>
          </w:p>
        </w:tc>
        <w:tc>
          <w:tcPr>
            <w:tcW w:w="2256" w:type="pct"/>
            <w:shd w:val="clear" w:color="auto" w:fill="auto"/>
          </w:tcPr>
          <w:p w14:paraId="44CBB351" w14:textId="77777777" w:rsidR="0024745F" w:rsidRPr="00ED4D49" w:rsidRDefault="0024745F" w:rsidP="0024745F">
            <w:pPr>
              <w:spacing w:before="0" w:after="0"/>
              <w:rPr>
                <w:rFonts w:cs="Calibri"/>
                <w:i/>
                <w:sz w:val="16"/>
                <w:szCs w:val="16"/>
                <w:lang w:val="en-US" w:eastAsia="hr-HR"/>
              </w:rPr>
            </w:pPr>
            <w:proofErr w:type="spellStart"/>
            <w:r w:rsidRPr="00ED4D49">
              <w:rPr>
                <w:rFonts w:cs="Calibri"/>
                <w:i/>
                <w:sz w:val="16"/>
                <w:szCs w:val="16"/>
                <w:lang w:val="en-US" w:eastAsia="bs-Latn-BA"/>
              </w:rPr>
              <w:t>Eudontomyzon</w:t>
            </w:r>
            <w:proofErr w:type="spellEnd"/>
            <w:r w:rsidRPr="00ED4D49">
              <w:rPr>
                <w:rFonts w:cs="Calibri"/>
                <w:i/>
                <w:sz w:val="16"/>
                <w:szCs w:val="16"/>
                <w:lang w:val="en-US" w:eastAsia="bs-Latn-BA"/>
              </w:rPr>
              <w:t xml:space="preserve"> </w:t>
            </w:r>
            <w:proofErr w:type="spellStart"/>
            <w:r w:rsidRPr="00ED4D49">
              <w:rPr>
                <w:rFonts w:cs="Calibri"/>
                <w:i/>
                <w:sz w:val="16"/>
                <w:szCs w:val="16"/>
                <w:lang w:val="en-US" w:eastAsia="bs-Latn-BA"/>
              </w:rPr>
              <w:t>vladykovi</w:t>
            </w:r>
            <w:proofErr w:type="spellEnd"/>
          </w:p>
        </w:tc>
        <w:tc>
          <w:tcPr>
            <w:tcW w:w="2302" w:type="pct"/>
          </w:tcPr>
          <w:p w14:paraId="55AB0B75" w14:textId="77777777" w:rsidR="0024745F" w:rsidRPr="00ED4D49" w:rsidRDefault="0024745F" w:rsidP="0024745F">
            <w:pPr>
              <w:spacing w:before="0" w:after="0"/>
              <w:rPr>
                <w:rFonts w:cs="Calibri"/>
                <w:sz w:val="16"/>
                <w:szCs w:val="16"/>
                <w:lang w:val="en-US" w:eastAsia="bs-Latn-BA"/>
              </w:rPr>
            </w:pPr>
            <w:proofErr w:type="spellStart"/>
            <w:r w:rsidRPr="00ED4D49">
              <w:rPr>
                <w:rFonts w:cs="Calibri"/>
                <w:sz w:val="16"/>
                <w:szCs w:val="16"/>
                <w:lang w:val="en-US" w:eastAsia="bs-Latn-BA"/>
              </w:rPr>
              <w:t>Danubian</w:t>
            </w:r>
            <w:proofErr w:type="spellEnd"/>
            <w:r w:rsidRPr="00ED4D49">
              <w:rPr>
                <w:rFonts w:cs="Calibri"/>
                <w:sz w:val="16"/>
                <w:szCs w:val="16"/>
                <w:lang w:val="en-US" w:eastAsia="bs-Latn-BA"/>
              </w:rPr>
              <w:t xml:space="preserve"> brook lamprey </w:t>
            </w:r>
          </w:p>
        </w:tc>
      </w:tr>
      <w:tr w:rsidR="0024745F" w:rsidRPr="00ED4D49" w14:paraId="1461EEFB" w14:textId="77777777" w:rsidTr="0024745F">
        <w:tc>
          <w:tcPr>
            <w:tcW w:w="442" w:type="pct"/>
            <w:shd w:val="clear" w:color="auto" w:fill="auto"/>
          </w:tcPr>
          <w:p w14:paraId="3864CFC5" w14:textId="77777777" w:rsidR="0024745F" w:rsidRPr="00ED4D49" w:rsidRDefault="0024745F" w:rsidP="00530056">
            <w:pPr>
              <w:numPr>
                <w:ilvl w:val="0"/>
                <w:numId w:val="23"/>
              </w:numPr>
              <w:spacing w:before="0" w:after="0"/>
              <w:rPr>
                <w:rFonts w:cs="Calibri"/>
                <w:sz w:val="16"/>
                <w:szCs w:val="16"/>
                <w:lang w:val="en-US" w:eastAsia="hr-HR"/>
              </w:rPr>
            </w:pPr>
          </w:p>
        </w:tc>
        <w:tc>
          <w:tcPr>
            <w:tcW w:w="2256" w:type="pct"/>
            <w:shd w:val="clear" w:color="auto" w:fill="auto"/>
          </w:tcPr>
          <w:p w14:paraId="0E838466" w14:textId="77777777" w:rsidR="0024745F" w:rsidRPr="00ED4D49" w:rsidRDefault="0024745F" w:rsidP="0024745F">
            <w:pPr>
              <w:spacing w:before="0" w:after="0"/>
              <w:rPr>
                <w:rFonts w:cs="Calibri"/>
                <w:i/>
                <w:sz w:val="16"/>
                <w:szCs w:val="16"/>
                <w:lang w:val="en-US" w:eastAsia="hr-HR"/>
              </w:rPr>
            </w:pPr>
            <w:proofErr w:type="spellStart"/>
            <w:r w:rsidRPr="00ED4D49">
              <w:rPr>
                <w:rFonts w:cs="Calibri"/>
                <w:i/>
                <w:sz w:val="16"/>
                <w:szCs w:val="16"/>
                <w:lang w:val="en-US" w:eastAsia="bs-Latn-BA"/>
              </w:rPr>
              <w:t>Eudontomyzon</w:t>
            </w:r>
            <w:proofErr w:type="spellEnd"/>
            <w:r w:rsidRPr="00ED4D49">
              <w:rPr>
                <w:rFonts w:cs="Calibri"/>
                <w:i/>
                <w:sz w:val="16"/>
                <w:szCs w:val="16"/>
                <w:lang w:val="en-US" w:eastAsia="bs-Latn-BA"/>
              </w:rPr>
              <w:t xml:space="preserve"> </w:t>
            </w:r>
            <w:proofErr w:type="spellStart"/>
            <w:r w:rsidRPr="00ED4D49">
              <w:rPr>
                <w:rFonts w:cs="Calibri"/>
                <w:i/>
                <w:sz w:val="16"/>
                <w:szCs w:val="16"/>
                <w:lang w:val="en-US" w:eastAsia="bs-Latn-BA"/>
              </w:rPr>
              <w:t>mariae</w:t>
            </w:r>
            <w:proofErr w:type="spellEnd"/>
          </w:p>
        </w:tc>
        <w:tc>
          <w:tcPr>
            <w:tcW w:w="2302" w:type="pct"/>
          </w:tcPr>
          <w:p w14:paraId="667AE9A3" w14:textId="77777777" w:rsidR="0024745F" w:rsidRPr="00ED4D49" w:rsidRDefault="0024745F" w:rsidP="0024745F">
            <w:pPr>
              <w:spacing w:before="0" w:after="0"/>
              <w:rPr>
                <w:rFonts w:cs="Calibri"/>
                <w:sz w:val="16"/>
                <w:szCs w:val="16"/>
                <w:lang w:val="en-US" w:eastAsia="bs-Latn-BA"/>
              </w:rPr>
            </w:pPr>
            <w:r w:rsidRPr="00ED4D49">
              <w:rPr>
                <w:rFonts w:cs="Calibri"/>
                <w:sz w:val="16"/>
                <w:szCs w:val="16"/>
                <w:lang w:val="en-US" w:eastAsia="bs-Latn-BA"/>
              </w:rPr>
              <w:t xml:space="preserve">Ukrainian brook lamprey </w:t>
            </w:r>
          </w:p>
        </w:tc>
      </w:tr>
      <w:tr w:rsidR="0024745F" w:rsidRPr="00ED4D49" w14:paraId="05807786" w14:textId="77777777" w:rsidTr="0024745F">
        <w:tc>
          <w:tcPr>
            <w:tcW w:w="442" w:type="pct"/>
            <w:shd w:val="clear" w:color="auto" w:fill="auto"/>
          </w:tcPr>
          <w:p w14:paraId="0C19C1B8" w14:textId="77777777" w:rsidR="0024745F" w:rsidRPr="00ED4D49" w:rsidRDefault="0024745F" w:rsidP="00530056">
            <w:pPr>
              <w:numPr>
                <w:ilvl w:val="0"/>
                <w:numId w:val="23"/>
              </w:numPr>
              <w:spacing w:before="0" w:after="0"/>
              <w:rPr>
                <w:rFonts w:cs="Calibri"/>
                <w:sz w:val="16"/>
                <w:szCs w:val="16"/>
                <w:lang w:val="en-US" w:eastAsia="hr-HR"/>
              </w:rPr>
            </w:pPr>
          </w:p>
        </w:tc>
        <w:tc>
          <w:tcPr>
            <w:tcW w:w="2256" w:type="pct"/>
            <w:shd w:val="clear" w:color="auto" w:fill="auto"/>
          </w:tcPr>
          <w:p w14:paraId="53295B9A" w14:textId="16236530" w:rsidR="0024745F" w:rsidRPr="00ED4D49" w:rsidRDefault="0024745F" w:rsidP="0024745F">
            <w:pPr>
              <w:spacing w:before="0" w:after="0"/>
              <w:rPr>
                <w:rFonts w:cs="Calibri"/>
                <w:i/>
                <w:sz w:val="16"/>
                <w:szCs w:val="16"/>
                <w:lang w:val="en-US" w:eastAsia="hr-HR"/>
              </w:rPr>
            </w:pPr>
            <w:proofErr w:type="spellStart"/>
            <w:r w:rsidRPr="00ED4D49">
              <w:rPr>
                <w:rFonts w:cs="Calibri"/>
                <w:i/>
                <w:sz w:val="16"/>
                <w:szCs w:val="16"/>
                <w:lang w:val="en-US" w:eastAsia="hr-HR"/>
              </w:rPr>
              <w:t>Lampetra</w:t>
            </w:r>
            <w:proofErr w:type="spellEnd"/>
            <w:r w:rsidRPr="00ED4D49">
              <w:rPr>
                <w:rFonts w:cs="Calibri"/>
                <w:i/>
                <w:sz w:val="16"/>
                <w:szCs w:val="16"/>
                <w:lang w:val="en-US" w:eastAsia="hr-HR"/>
              </w:rPr>
              <w:t xml:space="preserve"> </w:t>
            </w:r>
            <w:proofErr w:type="spellStart"/>
            <w:r w:rsidRPr="00ED4D49">
              <w:rPr>
                <w:rFonts w:cs="Calibri"/>
                <w:i/>
                <w:sz w:val="16"/>
                <w:szCs w:val="16"/>
                <w:lang w:val="en-US" w:eastAsia="hr-HR"/>
              </w:rPr>
              <w:t>planeri</w:t>
            </w:r>
            <w:proofErr w:type="spellEnd"/>
            <w:r w:rsidR="00C6478C" w:rsidRPr="00ED4D49">
              <w:rPr>
                <w:rFonts w:cs="Calibri"/>
                <w:i/>
                <w:sz w:val="16"/>
                <w:szCs w:val="16"/>
                <w:lang w:val="en-US" w:eastAsia="hr-HR"/>
              </w:rPr>
              <w:t xml:space="preserve"> </w:t>
            </w:r>
          </w:p>
        </w:tc>
        <w:tc>
          <w:tcPr>
            <w:tcW w:w="2302" w:type="pct"/>
          </w:tcPr>
          <w:p w14:paraId="74ABFFC7" w14:textId="77777777" w:rsidR="0024745F" w:rsidRPr="00ED4D49" w:rsidRDefault="0024745F" w:rsidP="0024745F">
            <w:pPr>
              <w:spacing w:before="0" w:after="0"/>
              <w:rPr>
                <w:rFonts w:cs="Calibri"/>
                <w:sz w:val="16"/>
                <w:szCs w:val="16"/>
                <w:lang w:val="en-US" w:eastAsia="hr-HR"/>
              </w:rPr>
            </w:pPr>
            <w:proofErr w:type="spellStart"/>
            <w:r w:rsidRPr="00ED4D49">
              <w:rPr>
                <w:rFonts w:cs="Calibri"/>
                <w:sz w:val="16"/>
                <w:szCs w:val="16"/>
                <w:lang w:val="en-US" w:eastAsia="hr-HR"/>
              </w:rPr>
              <w:t>Europaean</w:t>
            </w:r>
            <w:proofErr w:type="spellEnd"/>
            <w:r w:rsidRPr="00ED4D49">
              <w:rPr>
                <w:rFonts w:cs="Calibri"/>
                <w:sz w:val="16"/>
                <w:szCs w:val="16"/>
                <w:lang w:val="en-US" w:eastAsia="hr-HR"/>
              </w:rPr>
              <w:t xml:space="preserve"> brook</w:t>
            </w:r>
          </w:p>
        </w:tc>
      </w:tr>
      <w:tr w:rsidR="0024745F" w:rsidRPr="00ED4D49" w14:paraId="5E69ABC0" w14:textId="77777777" w:rsidTr="0024745F">
        <w:tc>
          <w:tcPr>
            <w:tcW w:w="442" w:type="pct"/>
            <w:shd w:val="clear" w:color="auto" w:fill="auto"/>
          </w:tcPr>
          <w:p w14:paraId="2C75F778" w14:textId="77777777" w:rsidR="0024745F" w:rsidRPr="00ED4D49" w:rsidRDefault="0024745F" w:rsidP="00530056">
            <w:pPr>
              <w:numPr>
                <w:ilvl w:val="0"/>
                <w:numId w:val="23"/>
              </w:numPr>
              <w:spacing w:before="0" w:after="0"/>
              <w:rPr>
                <w:rFonts w:cs="Calibri"/>
                <w:sz w:val="16"/>
                <w:szCs w:val="16"/>
                <w:lang w:val="en-US" w:eastAsia="hr-HR"/>
              </w:rPr>
            </w:pPr>
          </w:p>
        </w:tc>
        <w:tc>
          <w:tcPr>
            <w:tcW w:w="2256" w:type="pct"/>
            <w:shd w:val="clear" w:color="auto" w:fill="auto"/>
          </w:tcPr>
          <w:p w14:paraId="44A37B61" w14:textId="77777777" w:rsidR="0024745F" w:rsidRPr="00ED4D49" w:rsidRDefault="0024745F" w:rsidP="0024745F">
            <w:pPr>
              <w:spacing w:before="0" w:after="0"/>
              <w:rPr>
                <w:rFonts w:cs="Calibri"/>
                <w:i/>
                <w:sz w:val="16"/>
                <w:szCs w:val="16"/>
                <w:lang w:val="en-US" w:eastAsia="hr-HR"/>
              </w:rPr>
            </w:pPr>
            <w:r w:rsidRPr="00ED4D49">
              <w:rPr>
                <w:rFonts w:cs="Calibri"/>
                <w:i/>
                <w:sz w:val="16"/>
                <w:szCs w:val="16"/>
                <w:lang w:val="en-US" w:eastAsia="hr-HR"/>
              </w:rPr>
              <w:t xml:space="preserve">Alosa </w:t>
            </w:r>
            <w:proofErr w:type="spellStart"/>
            <w:r w:rsidRPr="00ED4D49">
              <w:rPr>
                <w:rFonts w:cs="Calibri"/>
                <w:i/>
                <w:sz w:val="16"/>
                <w:szCs w:val="16"/>
                <w:lang w:val="en-US" w:eastAsia="hr-HR"/>
              </w:rPr>
              <w:t>immaculata</w:t>
            </w:r>
            <w:proofErr w:type="spellEnd"/>
            <w:r w:rsidRPr="00ED4D49">
              <w:rPr>
                <w:rFonts w:cs="Calibri"/>
                <w:i/>
                <w:sz w:val="16"/>
                <w:szCs w:val="16"/>
                <w:lang w:val="en-US" w:eastAsia="hr-HR"/>
              </w:rPr>
              <w:t xml:space="preserve"> </w:t>
            </w:r>
          </w:p>
        </w:tc>
        <w:tc>
          <w:tcPr>
            <w:tcW w:w="2302" w:type="pct"/>
          </w:tcPr>
          <w:p w14:paraId="4EC10856" w14:textId="77777777" w:rsidR="0024745F" w:rsidRPr="00ED4D49" w:rsidRDefault="0024745F" w:rsidP="0024745F">
            <w:pPr>
              <w:spacing w:before="0" w:after="0"/>
              <w:rPr>
                <w:rFonts w:cs="Calibri"/>
                <w:sz w:val="16"/>
                <w:szCs w:val="16"/>
                <w:lang w:val="en-US" w:eastAsia="hr-HR"/>
              </w:rPr>
            </w:pPr>
            <w:r w:rsidRPr="00ED4D49">
              <w:rPr>
                <w:rFonts w:cs="Calibri"/>
                <w:sz w:val="16"/>
                <w:szCs w:val="16"/>
                <w:lang w:val="en-US" w:eastAsia="hr-HR"/>
              </w:rPr>
              <w:t>Pontic shad</w:t>
            </w:r>
          </w:p>
        </w:tc>
      </w:tr>
      <w:tr w:rsidR="0024745F" w:rsidRPr="00ED4D49" w14:paraId="290A67AF" w14:textId="77777777" w:rsidTr="0024745F">
        <w:tc>
          <w:tcPr>
            <w:tcW w:w="442" w:type="pct"/>
            <w:shd w:val="clear" w:color="auto" w:fill="auto"/>
          </w:tcPr>
          <w:p w14:paraId="16EEBCCB" w14:textId="77777777" w:rsidR="0024745F" w:rsidRPr="00ED4D49" w:rsidRDefault="0024745F" w:rsidP="00530056">
            <w:pPr>
              <w:numPr>
                <w:ilvl w:val="0"/>
                <w:numId w:val="23"/>
              </w:numPr>
              <w:spacing w:before="0" w:after="0"/>
              <w:rPr>
                <w:rFonts w:cs="Calibri"/>
                <w:sz w:val="16"/>
                <w:szCs w:val="16"/>
                <w:lang w:val="en-US" w:eastAsia="hr-HR"/>
              </w:rPr>
            </w:pPr>
          </w:p>
        </w:tc>
        <w:tc>
          <w:tcPr>
            <w:tcW w:w="2256" w:type="pct"/>
            <w:shd w:val="clear" w:color="auto" w:fill="auto"/>
          </w:tcPr>
          <w:p w14:paraId="5FCD7BA1" w14:textId="77777777" w:rsidR="0024745F" w:rsidRPr="00ED4D49" w:rsidRDefault="0024745F" w:rsidP="0024745F">
            <w:pPr>
              <w:spacing w:before="0" w:after="0"/>
              <w:rPr>
                <w:rFonts w:cs="Calibri"/>
                <w:i/>
                <w:sz w:val="16"/>
                <w:szCs w:val="16"/>
                <w:lang w:val="en-US" w:eastAsia="hr-HR"/>
              </w:rPr>
            </w:pPr>
            <w:proofErr w:type="spellStart"/>
            <w:r w:rsidRPr="00ED4D49">
              <w:rPr>
                <w:rFonts w:cs="Calibri"/>
                <w:i/>
                <w:sz w:val="16"/>
                <w:szCs w:val="16"/>
                <w:lang w:val="en-US" w:eastAsia="hr-HR"/>
              </w:rPr>
              <w:t>Hucho</w:t>
            </w:r>
            <w:proofErr w:type="spellEnd"/>
            <w:r w:rsidRPr="00ED4D49">
              <w:rPr>
                <w:rFonts w:cs="Calibri"/>
                <w:i/>
                <w:sz w:val="16"/>
                <w:szCs w:val="16"/>
                <w:lang w:val="en-US" w:eastAsia="hr-HR"/>
              </w:rPr>
              <w:t xml:space="preserve"> </w:t>
            </w:r>
            <w:proofErr w:type="spellStart"/>
            <w:r w:rsidRPr="00ED4D49">
              <w:rPr>
                <w:rFonts w:cs="Calibri"/>
                <w:i/>
                <w:sz w:val="16"/>
                <w:szCs w:val="16"/>
                <w:lang w:val="en-US" w:eastAsia="hr-HR"/>
              </w:rPr>
              <w:t>hucho</w:t>
            </w:r>
            <w:proofErr w:type="spellEnd"/>
            <w:r w:rsidRPr="00ED4D49">
              <w:rPr>
                <w:rFonts w:cs="Calibri"/>
                <w:i/>
                <w:sz w:val="16"/>
                <w:szCs w:val="16"/>
                <w:lang w:val="en-US" w:eastAsia="hr-HR"/>
              </w:rPr>
              <w:t xml:space="preserve"> </w:t>
            </w:r>
          </w:p>
        </w:tc>
        <w:tc>
          <w:tcPr>
            <w:tcW w:w="2302" w:type="pct"/>
          </w:tcPr>
          <w:p w14:paraId="690CBF0E" w14:textId="77777777" w:rsidR="0024745F" w:rsidRPr="00ED4D49" w:rsidRDefault="0024745F" w:rsidP="0024745F">
            <w:pPr>
              <w:spacing w:before="0" w:after="0"/>
              <w:rPr>
                <w:rFonts w:cs="Calibri"/>
                <w:sz w:val="16"/>
                <w:szCs w:val="16"/>
                <w:lang w:val="en-US" w:eastAsia="hr-HR"/>
              </w:rPr>
            </w:pPr>
            <w:r w:rsidRPr="00ED4D49">
              <w:rPr>
                <w:rFonts w:cs="Calibri"/>
                <w:sz w:val="16"/>
                <w:szCs w:val="16"/>
                <w:lang w:val="en-US" w:eastAsia="hr-HR"/>
              </w:rPr>
              <w:t>Huchen, Danube salmon</w:t>
            </w:r>
          </w:p>
        </w:tc>
      </w:tr>
      <w:tr w:rsidR="0024745F" w:rsidRPr="00ED4D49" w14:paraId="595E32A3" w14:textId="77777777" w:rsidTr="0024745F">
        <w:tc>
          <w:tcPr>
            <w:tcW w:w="442" w:type="pct"/>
            <w:shd w:val="clear" w:color="auto" w:fill="auto"/>
          </w:tcPr>
          <w:p w14:paraId="0F38781F" w14:textId="77777777" w:rsidR="0024745F" w:rsidRPr="00ED4D49" w:rsidRDefault="0024745F" w:rsidP="00530056">
            <w:pPr>
              <w:numPr>
                <w:ilvl w:val="0"/>
                <w:numId w:val="23"/>
              </w:numPr>
              <w:spacing w:before="0" w:after="0"/>
              <w:rPr>
                <w:rFonts w:cs="Calibri"/>
                <w:sz w:val="16"/>
                <w:szCs w:val="16"/>
                <w:lang w:val="en-US" w:eastAsia="hr-HR"/>
              </w:rPr>
            </w:pPr>
          </w:p>
        </w:tc>
        <w:tc>
          <w:tcPr>
            <w:tcW w:w="2256" w:type="pct"/>
            <w:shd w:val="clear" w:color="auto" w:fill="auto"/>
          </w:tcPr>
          <w:p w14:paraId="0465050C" w14:textId="77777777" w:rsidR="0024745F" w:rsidRPr="00ED4D49" w:rsidRDefault="0024745F" w:rsidP="0024745F">
            <w:pPr>
              <w:spacing w:before="0" w:after="0"/>
              <w:rPr>
                <w:rFonts w:cs="Calibri"/>
                <w:i/>
                <w:sz w:val="16"/>
                <w:szCs w:val="16"/>
                <w:lang w:val="en-US" w:eastAsia="hr-HR"/>
              </w:rPr>
            </w:pPr>
            <w:proofErr w:type="spellStart"/>
            <w:r w:rsidRPr="00ED4D49">
              <w:rPr>
                <w:rFonts w:cs="Calibri"/>
                <w:i/>
                <w:sz w:val="16"/>
                <w:szCs w:val="16"/>
                <w:lang w:val="en-US" w:eastAsia="hr-HR"/>
              </w:rPr>
              <w:t>Alburnus</w:t>
            </w:r>
            <w:proofErr w:type="spellEnd"/>
            <w:r w:rsidRPr="00ED4D49">
              <w:rPr>
                <w:rFonts w:cs="Calibri"/>
                <w:i/>
                <w:sz w:val="16"/>
                <w:szCs w:val="16"/>
                <w:lang w:val="en-US" w:eastAsia="hr-HR"/>
              </w:rPr>
              <w:t xml:space="preserve"> </w:t>
            </w:r>
            <w:proofErr w:type="spellStart"/>
            <w:r w:rsidRPr="00ED4D49">
              <w:rPr>
                <w:rFonts w:cs="Calibri"/>
                <w:i/>
                <w:sz w:val="16"/>
                <w:szCs w:val="16"/>
                <w:lang w:val="en-US" w:eastAsia="hr-HR"/>
              </w:rPr>
              <w:t>chalcoides</w:t>
            </w:r>
            <w:proofErr w:type="spellEnd"/>
            <w:r w:rsidRPr="00ED4D49">
              <w:rPr>
                <w:rFonts w:cs="Calibri"/>
                <w:i/>
                <w:sz w:val="16"/>
                <w:szCs w:val="16"/>
                <w:lang w:val="en-US" w:eastAsia="hr-HR"/>
              </w:rPr>
              <w:t xml:space="preserve"> </w:t>
            </w:r>
          </w:p>
        </w:tc>
        <w:tc>
          <w:tcPr>
            <w:tcW w:w="2302" w:type="pct"/>
          </w:tcPr>
          <w:p w14:paraId="327F5149" w14:textId="77777777" w:rsidR="0024745F" w:rsidRPr="00ED4D49" w:rsidRDefault="0024745F" w:rsidP="0024745F">
            <w:pPr>
              <w:spacing w:before="0" w:after="0"/>
              <w:rPr>
                <w:rFonts w:cs="Calibri"/>
                <w:sz w:val="16"/>
                <w:szCs w:val="16"/>
                <w:lang w:val="en-US" w:eastAsia="hr-HR"/>
              </w:rPr>
            </w:pPr>
            <w:proofErr w:type="spellStart"/>
            <w:r w:rsidRPr="00ED4D49">
              <w:rPr>
                <w:rFonts w:cs="Calibri"/>
                <w:sz w:val="16"/>
                <w:szCs w:val="16"/>
                <w:lang w:val="en-US" w:eastAsia="hr-HR"/>
              </w:rPr>
              <w:t>Danubian</w:t>
            </w:r>
            <w:proofErr w:type="spellEnd"/>
            <w:r w:rsidRPr="00ED4D49">
              <w:rPr>
                <w:rFonts w:cs="Calibri"/>
                <w:sz w:val="16"/>
                <w:szCs w:val="16"/>
                <w:lang w:val="en-US" w:eastAsia="hr-HR"/>
              </w:rPr>
              <w:t xml:space="preserve"> bleak</w:t>
            </w:r>
          </w:p>
        </w:tc>
      </w:tr>
      <w:tr w:rsidR="0024745F" w:rsidRPr="00ED4D49" w14:paraId="16708490" w14:textId="77777777" w:rsidTr="0024745F">
        <w:tc>
          <w:tcPr>
            <w:tcW w:w="442" w:type="pct"/>
            <w:shd w:val="clear" w:color="auto" w:fill="auto"/>
          </w:tcPr>
          <w:p w14:paraId="0DC97E3F" w14:textId="77777777" w:rsidR="0024745F" w:rsidRPr="00ED4D49" w:rsidRDefault="0024745F" w:rsidP="00530056">
            <w:pPr>
              <w:numPr>
                <w:ilvl w:val="0"/>
                <w:numId w:val="23"/>
              </w:numPr>
              <w:spacing w:before="0" w:after="0"/>
              <w:rPr>
                <w:rFonts w:cs="Calibri"/>
                <w:sz w:val="16"/>
                <w:szCs w:val="16"/>
                <w:lang w:val="en-US" w:eastAsia="hr-HR"/>
              </w:rPr>
            </w:pPr>
          </w:p>
        </w:tc>
        <w:tc>
          <w:tcPr>
            <w:tcW w:w="2256" w:type="pct"/>
            <w:shd w:val="clear" w:color="auto" w:fill="auto"/>
          </w:tcPr>
          <w:p w14:paraId="05FCE100" w14:textId="77777777" w:rsidR="0024745F" w:rsidRPr="00ED4D49" w:rsidRDefault="0024745F" w:rsidP="0024745F">
            <w:pPr>
              <w:spacing w:before="0" w:after="0"/>
              <w:rPr>
                <w:rFonts w:cs="Calibri"/>
                <w:i/>
                <w:sz w:val="16"/>
                <w:szCs w:val="16"/>
                <w:lang w:val="en-US" w:eastAsia="hr-HR"/>
              </w:rPr>
            </w:pPr>
            <w:proofErr w:type="spellStart"/>
            <w:r w:rsidRPr="00ED4D49">
              <w:rPr>
                <w:rFonts w:cs="Calibri"/>
                <w:i/>
                <w:sz w:val="16"/>
                <w:szCs w:val="16"/>
                <w:lang w:val="en-US" w:eastAsia="hr-HR"/>
              </w:rPr>
              <w:t>Aspius</w:t>
            </w:r>
            <w:proofErr w:type="spellEnd"/>
            <w:r w:rsidRPr="00ED4D49">
              <w:rPr>
                <w:rFonts w:cs="Calibri"/>
                <w:i/>
                <w:sz w:val="16"/>
                <w:szCs w:val="16"/>
                <w:lang w:val="en-US" w:eastAsia="hr-HR"/>
              </w:rPr>
              <w:t xml:space="preserve"> </w:t>
            </w:r>
            <w:proofErr w:type="spellStart"/>
            <w:r w:rsidRPr="00ED4D49">
              <w:rPr>
                <w:rFonts w:cs="Calibri"/>
                <w:i/>
                <w:sz w:val="16"/>
                <w:szCs w:val="16"/>
                <w:lang w:val="en-US" w:eastAsia="hr-HR"/>
              </w:rPr>
              <w:t>aspius</w:t>
            </w:r>
            <w:proofErr w:type="spellEnd"/>
            <w:r w:rsidRPr="00ED4D49">
              <w:rPr>
                <w:rFonts w:cs="Calibri"/>
                <w:i/>
                <w:sz w:val="16"/>
                <w:szCs w:val="16"/>
                <w:lang w:val="en-US" w:eastAsia="hr-HR"/>
              </w:rPr>
              <w:t xml:space="preserve"> </w:t>
            </w:r>
          </w:p>
        </w:tc>
        <w:tc>
          <w:tcPr>
            <w:tcW w:w="2302" w:type="pct"/>
          </w:tcPr>
          <w:p w14:paraId="5150739F" w14:textId="77777777" w:rsidR="0024745F" w:rsidRPr="00ED4D49" w:rsidRDefault="0024745F" w:rsidP="0024745F">
            <w:pPr>
              <w:spacing w:before="0" w:after="0"/>
              <w:rPr>
                <w:rFonts w:cs="Calibri"/>
                <w:sz w:val="16"/>
                <w:szCs w:val="16"/>
                <w:lang w:val="en-US" w:eastAsia="hr-HR"/>
              </w:rPr>
            </w:pPr>
            <w:r w:rsidRPr="00ED4D49">
              <w:rPr>
                <w:rFonts w:cs="Calibri"/>
                <w:sz w:val="16"/>
                <w:szCs w:val="16"/>
                <w:lang w:val="en-US" w:eastAsia="hr-HR"/>
              </w:rPr>
              <w:t>Asp</w:t>
            </w:r>
          </w:p>
        </w:tc>
      </w:tr>
      <w:tr w:rsidR="0024745F" w:rsidRPr="00ED4D49" w14:paraId="052667C4" w14:textId="77777777" w:rsidTr="0024745F">
        <w:tc>
          <w:tcPr>
            <w:tcW w:w="442" w:type="pct"/>
            <w:shd w:val="clear" w:color="auto" w:fill="auto"/>
          </w:tcPr>
          <w:p w14:paraId="759A4E11" w14:textId="77777777" w:rsidR="0024745F" w:rsidRPr="00ED4D49" w:rsidRDefault="0024745F" w:rsidP="00530056">
            <w:pPr>
              <w:numPr>
                <w:ilvl w:val="0"/>
                <w:numId w:val="23"/>
              </w:numPr>
              <w:spacing w:before="0" w:after="0"/>
              <w:rPr>
                <w:rFonts w:cs="Calibri"/>
                <w:sz w:val="16"/>
                <w:szCs w:val="16"/>
                <w:lang w:val="en-US" w:eastAsia="hr-HR"/>
              </w:rPr>
            </w:pPr>
          </w:p>
        </w:tc>
        <w:tc>
          <w:tcPr>
            <w:tcW w:w="2256" w:type="pct"/>
            <w:shd w:val="clear" w:color="auto" w:fill="auto"/>
          </w:tcPr>
          <w:p w14:paraId="3BB1E680" w14:textId="77777777" w:rsidR="0024745F" w:rsidRPr="00ED4D49" w:rsidRDefault="0024745F" w:rsidP="0024745F">
            <w:pPr>
              <w:spacing w:before="0" w:after="0"/>
              <w:rPr>
                <w:rFonts w:cs="Calibri"/>
                <w:i/>
                <w:sz w:val="16"/>
                <w:szCs w:val="16"/>
                <w:lang w:val="en-US" w:eastAsia="hr-HR"/>
              </w:rPr>
            </w:pPr>
            <w:proofErr w:type="spellStart"/>
            <w:r w:rsidRPr="00ED4D49">
              <w:rPr>
                <w:rFonts w:cs="Calibri"/>
                <w:i/>
                <w:sz w:val="16"/>
                <w:szCs w:val="16"/>
                <w:lang w:val="en-US" w:eastAsia="hr-HR"/>
              </w:rPr>
              <w:t>Romanogobio</w:t>
            </w:r>
            <w:proofErr w:type="spellEnd"/>
            <w:r w:rsidRPr="00ED4D49">
              <w:rPr>
                <w:rFonts w:cs="Calibri"/>
                <w:i/>
                <w:sz w:val="16"/>
                <w:szCs w:val="16"/>
                <w:lang w:val="en-US" w:eastAsia="hr-HR"/>
              </w:rPr>
              <w:t xml:space="preserve"> </w:t>
            </w:r>
            <w:proofErr w:type="spellStart"/>
            <w:r w:rsidRPr="00ED4D49">
              <w:rPr>
                <w:rFonts w:cs="Calibri"/>
                <w:i/>
                <w:sz w:val="16"/>
                <w:szCs w:val="16"/>
                <w:lang w:val="en-US" w:eastAsia="hr-HR"/>
              </w:rPr>
              <w:t>vladikovi</w:t>
            </w:r>
            <w:proofErr w:type="spellEnd"/>
            <w:r w:rsidRPr="00ED4D49">
              <w:rPr>
                <w:rFonts w:cs="Calibri"/>
                <w:i/>
                <w:sz w:val="16"/>
                <w:szCs w:val="16"/>
                <w:lang w:val="en-US" w:eastAsia="hr-HR"/>
              </w:rPr>
              <w:t xml:space="preserve"> </w:t>
            </w:r>
          </w:p>
        </w:tc>
        <w:tc>
          <w:tcPr>
            <w:tcW w:w="2302" w:type="pct"/>
          </w:tcPr>
          <w:p w14:paraId="32E48DF3" w14:textId="77777777" w:rsidR="0024745F" w:rsidRPr="00ED4D49" w:rsidRDefault="0024745F" w:rsidP="0024745F">
            <w:pPr>
              <w:spacing w:before="0" w:after="0"/>
              <w:rPr>
                <w:rFonts w:cs="Calibri"/>
                <w:sz w:val="16"/>
                <w:szCs w:val="16"/>
                <w:lang w:val="en-US" w:eastAsia="hr-HR"/>
              </w:rPr>
            </w:pPr>
            <w:r w:rsidRPr="00ED4D49">
              <w:rPr>
                <w:rFonts w:cs="Calibri"/>
                <w:sz w:val="16"/>
                <w:szCs w:val="16"/>
                <w:lang w:val="en-US" w:eastAsia="hr-HR"/>
              </w:rPr>
              <w:t>Whit-finned gudgeon</w:t>
            </w:r>
          </w:p>
        </w:tc>
      </w:tr>
      <w:tr w:rsidR="0024745F" w:rsidRPr="00ED4D49" w14:paraId="72C7C219" w14:textId="77777777" w:rsidTr="0024745F">
        <w:tc>
          <w:tcPr>
            <w:tcW w:w="442" w:type="pct"/>
            <w:shd w:val="clear" w:color="auto" w:fill="auto"/>
          </w:tcPr>
          <w:p w14:paraId="2D677E6E" w14:textId="77777777" w:rsidR="0024745F" w:rsidRPr="00ED4D49" w:rsidRDefault="0024745F" w:rsidP="00530056">
            <w:pPr>
              <w:numPr>
                <w:ilvl w:val="0"/>
                <w:numId w:val="23"/>
              </w:numPr>
              <w:spacing w:before="0" w:after="0"/>
              <w:rPr>
                <w:rFonts w:cs="Calibri"/>
                <w:sz w:val="16"/>
                <w:szCs w:val="16"/>
                <w:lang w:val="en-US" w:eastAsia="hr-HR"/>
              </w:rPr>
            </w:pPr>
          </w:p>
        </w:tc>
        <w:tc>
          <w:tcPr>
            <w:tcW w:w="2256" w:type="pct"/>
            <w:shd w:val="clear" w:color="auto" w:fill="auto"/>
          </w:tcPr>
          <w:p w14:paraId="766A0C96" w14:textId="77777777" w:rsidR="0024745F" w:rsidRPr="00ED4D49" w:rsidRDefault="0024745F" w:rsidP="0024745F">
            <w:pPr>
              <w:spacing w:before="0" w:after="0"/>
              <w:rPr>
                <w:rFonts w:cs="Calibri"/>
                <w:i/>
                <w:sz w:val="16"/>
                <w:szCs w:val="16"/>
                <w:lang w:val="en-US" w:eastAsia="hr-HR"/>
              </w:rPr>
            </w:pPr>
            <w:proofErr w:type="spellStart"/>
            <w:r w:rsidRPr="00ED4D49">
              <w:rPr>
                <w:rFonts w:cs="Calibri"/>
                <w:i/>
                <w:sz w:val="16"/>
                <w:szCs w:val="16"/>
                <w:lang w:val="en-US" w:eastAsia="hr-HR"/>
              </w:rPr>
              <w:t>Romanogobio</w:t>
            </w:r>
            <w:proofErr w:type="spellEnd"/>
            <w:r w:rsidRPr="00ED4D49">
              <w:rPr>
                <w:rFonts w:cs="Calibri"/>
                <w:i/>
                <w:sz w:val="16"/>
                <w:szCs w:val="16"/>
                <w:lang w:val="en-US" w:eastAsia="hr-HR"/>
              </w:rPr>
              <w:t xml:space="preserve"> </w:t>
            </w:r>
            <w:proofErr w:type="spellStart"/>
            <w:r w:rsidRPr="00ED4D49">
              <w:rPr>
                <w:rFonts w:cs="Calibri"/>
                <w:i/>
                <w:sz w:val="16"/>
                <w:szCs w:val="16"/>
                <w:lang w:val="en-US" w:eastAsia="hr-HR"/>
              </w:rPr>
              <w:t>kesslerii</w:t>
            </w:r>
            <w:proofErr w:type="spellEnd"/>
            <w:r w:rsidRPr="00ED4D49">
              <w:rPr>
                <w:rFonts w:cs="Calibri"/>
                <w:i/>
                <w:sz w:val="16"/>
                <w:szCs w:val="16"/>
                <w:lang w:val="en-US" w:eastAsia="hr-HR"/>
              </w:rPr>
              <w:t xml:space="preserve"> </w:t>
            </w:r>
          </w:p>
        </w:tc>
        <w:tc>
          <w:tcPr>
            <w:tcW w:w="2302" w:type="pct"/>
          </w:tcPr>
          <w:p w14:paraId="5D71D365" w14:textId="77777777" w:rsidR="0024745F" w:rsidRPr="00ED4D49" w:rsidRDefault="0024745F" w:rsidP="0024745F">
            <w:pPr>
              <w:spacing w:before="0" w:after="0"/>
              <w:rPr>
                <w:rFonts w:cs="Calibri"/>
                <w:sz w:val="16"/>
                <w:szCs w:val="16"/>
                <w:lang w:val="en-US" w:eastAsia="hr-HR"/>
              </w:rPr>
            </w:pPr>
            <w:r w:rsidRPr="00ED4D49">
              <w:rPr>
                <w:rFonts w:cs="Calibri"/>
                <w:sz w:val="16"/>
                <w:szCs w:val="16"/>
                <w:lang w:val="en-US" w:eastAsia="hr-HR"/>
              </w:rPr>
              <w:t>Kessler’s gudgeon</w:t>
            </w:r>
          </w:p>
        </w:tc>
      </w:tr>
      <w:tr w:rsidR="0024745F" w:rsidRPr="00ED4D49" w14:paraId="0A037AEF" w14:textId="77777777" w:rsidTr="0024745F">
        <w:tc>
          <w:tcPr>
            <w:tcW w:w="442" w:type="pct"/>
            <w:shd w:val="clear" w:color="auto" w:fill="auto"/>
          </w:tcPr>
          <w:p w14:paraId="746E354F" w14:textId="77777777" w:rsidR="0024745F" w:rsidRPr="00ED4D49" w:rsidRDefault="0024745F" w:rsidP="00530056">
            <w:pPr>
              <w:numPr>
                <w:ilvl w:val="0"/>
                <w:numId w:val="23"/>
              </w:numPr>
              <w:spacing w:before="0" w:after="0"/>
              <w:rPr>
                <w:rFonts w:cs="Calibri"/>
                <w:sz w:val="16"/>
                <w:szCs w:val="16"/>
                <w:lang w:val="en-US" w:eastAsia="hr-HR"/>
              </w:rPr>
            </w:pPr>
          </w:p>
        </w:tc>
        <w:tc>
          <w:tcPr>
            <w:tcW w:w="2256" w:type="pct"/>
            <w:shd w:val="clear" w:color="auto" w:fill="auto"/>
          </w:tcPr>
          <w:p w14:paraId="43001E32" w14:textId="77777777" w:rsidR="0024745F" w:rsidRPr="00ED4D49" w:rsidRDefault="0024745F" w:rsidP="0024745F">
            <w:pPr>
              <w:spacing w:before="0" w:after="0"/>
              <w:rPr>
                <w:rFonts w:cs="Calibri"/>
                <w:i/>
                <w:sz w:val="16"/>
                <w:szCs w:val="16"/>
                <w:lang w:val="en-US" w:eastAsia="hr-HR"/>
              </w:rPr>
            </w:pPr>
            <w:proofErr w:type="spellStart"/>
            <w:r w:rsidRPr="00ED4D49">
              <w:rPr>
                <w:rFonts w:cs="Calibri"/>
                <w:i/>
                <w:sz w:val="16"/>
                <w:szCs w:val="16"/>
                <w:lang w:val="en-US" w:eastAsia="hr-HR"/>
              </w:rPr>
              <w:t>Romanogobio</w:t>
            </w:r>
            <w:proofErr w:type="spellEnd"/>
            <w:r w:rsidRPr="00ED4D49">
              <w:rPr>
                <w:rFonts w:cs="Calibri"/>
                <w:i/>
                <w:sz w:val="16"/>
                <w:szCs w:val="16"/>
                <w:lang w:val="en-US" w:eastAsia="hr-HR"/>
              </w:rPr>
              <w:t xml:space="preserve"> </w:t>
            </w:r>
            <w:proofErr w:type="spellStart"/>
            <w:r w:rsidRPr="00ED4D49">
              <w:rPr>
                <w:rFonts w:cs="Calibri"/>
                <w:i/>
                <w:sz w:val="16"/>
                <w:szCs w:val="16"/>
                <w:lang w:val="en-US" w:eastAsia="hr-HR"/>
              </w:rPr>
              <w:t>uranoscopus</w:t>
            </w:r>
            <w:proofErr w:type="spellEnd"/>
            <w:r w:rsidRPr="00ED4D49">
              <w:rPr>
                <w:rFonts w:cs="Calibri"/>
                <w:i/>
                <w:sz w:val="16"/>
                <w:szCs w:val="16"/>
                <w:lang w:val="en-US" w:eastAsia="hr-HR"/>
              </w:rPr>
              <w:t xml:space="preserve"> </w:t>
            </w:r>
          </w:p>
        </w:tc>
        <w:tc>
          <w:tcPr>
            <w:tcW w:w="2302" w:type="pct"/>
          </w:tcPr>
          <w:p w14:paraId="76933FCC" w14:textId="77777777" w:rsidR="0024745F" w:rsidRPr="00ED4D49" w:rsidRDefault="0024745F" w:rsidP="0024745F">
            <w:pPr>
              <w:spacing w:before="0" w:after="0"/>
              <w:rPr>
                <w:rFonts w:cs="Calibri"/>
                <w:sz w:val="16"/>
                <w:szCs w:val="16"/>
                <w:lang w:val="en-US" w:eastAsia="hr-HR"/>
              </w:rPr>
            </w:pPr>
            <w:proofErr w:type="spellStart"/>
            <w:r w:rsidRPr="00ED4D49">
              <w:rPr>
                <w:rFonts w:cs="Calibri"/>
                <w:sz w:val="16"/>
                <w:szCs w:val="16"/>
                <w:lang w:val="en-US" w:eastAsia="hr-HR"/>
              </w:rPr>
              <w:t>Danubian</w:t>
            </w:r>
            <w:proofErr w:type="spellEnd"/>
            <w:r w:rsidRPr="00ED4D49">
              <w:rPr>
                <w:rFonts w:cs="Calibri"/>
                <w:sz w:val="16"/>
                <w:szCs w:val="16"/>
                <w:lang w:val="en-US" w:eastAsia="hr-HR"/>
              </w:rPr>
              <w:t xml:space="preserve"> </w:t>
            </w:r>
            <w:proofErr w:type="spellStart"/>
            <w:r w:rsidRPr="00ED4D49">
              <w:rPr>
                <w:rFonts w:cs="Calibri"/>
                <w:sz w:val="16"/>
                <w:szCs w:val="16"/>
                <w:lang w:val="en-US" w:eastAsia="hr-HR"/>
              </w:rPr>
              <w:t>longbarbel</w:t>
            </w:r>
            <w:proofErr w:type="spellEnd"/>
            <w:r w:rsidRPr="00ED4D49">
              <w:rPr>
                <w:rFonts w:cs="Calibri"/>
                <w:sz w:val="16"/>
                <w:szCs w:val="16"/>
                <w:lang w:val="en-US" w:eastAsia="hr-HR"/>
              </w:rPr>
              <w:t xml:space="preserve"> gudgeon</w:t>
            </w:r>
          </w:p>
        </w:tc>
      </w:tr>
      <w:tr w:rsidR="0024745F" w:rsidRPr="00ED4D49" w14:paraId="7B11FE16" w14:textId="77777777" w:rsidTr="0024745F">
        <w:tc>
          <w:tcPr>
            <w:tcW w:w="442" w:type="pct"/>
            <w:shd w:val="clear" w:color="auto" w:fill="auto"/>
          </w:tcPr>
          <w:p w14:paraId="428FE62F" w14:textId="77777777" w:rsidR="0024745F" w:rsidRPr="00ED4D49" w:rsidRDefault="0024745F" w:rsidP="00530056">
            <w:pPr>
              <w:numPr>
                <w:ilvl w:val="0"/>
                <w:numId w:val="23"/>
              </w:numPr>
              <w:spacing w:before="0" w:after="0"/>
              <w:rPr>
                <w:rFonts w:cs="Calibri"/>
                <w:sz w:val="16"/>
                <w:szCs w:val="16"/>
                <w:lang w:val="en-US" w:eastAsia="hr-HR"/>
              </w:rPr>
            </w:pPr>
          </w:p>
        </w:tc>
        <w:tc>
          <w:tcPr>
            <w:tcW w:w="2256" w:type="pct"/>
            <w:shd w:val="clear" w:color="auto" w:fill="auto"/>
          </w:tcPr>
          <w:p w14:paraId="257E7E3B" w14:textId="77777777" w:rsidR="0024745F" w:rsidRPr="00ED4D49" w:rsidRDefault="0024745F" w:rsidP="0024745F">
            <w:pPr>
              <w:spacing w:before="0" w:after="0"/>
              <w:rPr>
                <w:rFonts w:cs="Calibri"/>
                <w:i/>
                <w:sz w:val="16"/>
                <w:szCs w:val="16"/>
                <w:lang w:val="en-US" w:eastAsia="hr-HR"/>
              </w:rPr>
            </w:pPr>
            <w:proofErr w:type="spellStart"/>
            <w:r w:rsidRPr="00ED4D49">
              <w:rPr>
                <w:rFonts w:cs="Calibri"/>
                <w:i/>
                <w:sz w:val="16"/>
                <w:szCs w:val="16"/>
                <w:lang w:val="en-US" w:eastAsia="hr-HR"/>
              </w:rPr>
              <w:t>Pelecus</w:t>
            </w:r>
            <w:proofErr w:type="spellEnd"/>
            <w:r w:rsidRPr="00ED4D49">
              <w:rPr>
                <w:rFonts w:cs="Calibri"/>
                <w:i/>
                <w:sz w:val="16"/>
                <w:szCs w:val="16"/>
                <w:lang w:val="en-US" w:eastAsia="hr-HR"/>
              </w:rPr>
              <w:t xml:space="preserve"> </w:t>
            </w:r>
            <w:proofErr w:type="spellStart"/>
            <w:r w:rsidRPr="00ED4D49">
              <w:rPr>
                <w:rFonts w:cs="Calibri"/>
                <w:i/>
                <w:sz w:val="16"/>
                <w:szCs w:val="16"/>
                <w:lang w:val="en-US" w:eastAsia="hr-HR"/>
              </w:rPr>
              <w:t>cultratus</w:t>
            </w:r>
            <w:proofErr w:type="spellEnd"/>
            <w:r w:rsidRPr="00ED4D49">
              <w:rPr>
                <w:rFonts w:cs="Calibri"/>
                <w:i/>
                <w:sz w:val="16"/>
                <w:szCs w:val="16"/>
                <w:lang w:val="en-US" w:eastAsia="hr-HR"/>
              </w:rPr>
              <w:t xml:space="preserve"> </w:t>
            </w:r>
          </w:p>
        </w:tc>
        <w:tc>
          <w:tcPr>
            <w:tcW w:w="2302" w:type="pct"/>
          </w:tcPr>
          <w:p w14:paraId="00BD5928" w14:textId="77777777" w:rsidR="0024745F" w:rsidRPr="00ED4D49" w:rsidRDefault="0024745F" w:rsidP="0024745F">
            <w:pPr>
              <w:spacing w:before="0" w:after="0"/>
              <w:rPr>
                <w:rFonts w:cs="Calibri"/>
                <w:sz w:val="16"/>
                <w:szCs w:val="16"/>
                <w:lang w:val="en-US" w:eastAsia="hr-HR"/>
              </w:rPr>
            </w:pPr>
            <w:proofErr w:type="spellStart"/>
            <w:r w:rsidRPr="00ED4D49">
              <w:rPr>
                <w:rFonts w:cs="Calibri"/>
                <w:sz w:val="16"/>
                <w:szCs w:val="16"/>
                <w:lang w:val="en-US" w:eastAsia="hr-HR"/>
              </w:rPr>
              <w:t>Ziege</w:t>
            </w:r>
            <w:proofErr w:type="spellEnd"/>
          </w:p>
        </w:tc>
      </w:tr>
      <w:tr w:rsidR="0024745F" w:rsidRPr="00ED4D49" w14:paraId="1BFEB559" w14:textId="77777777" w:rsidTr="0024745F">
        <w:tc>
          <w:tcPr>
            <w:tcW w:w="442" w:type="pct"/>
            <w:shd w:val="clear" w:color="auto" w:fill="auto"/>
          </w:tcPr>
          <w:p w14:paraId="7C4D98C9" w14:textId="77777777" w:rsidR="0024745F" w:rsidRPr="00ED4D49" w:rsidRDefault="0024745F" w:rsidP="00530056">
            <w:pPr>
              <w:numPr>
                <w:ilvl w:val="0"/>
                <w:numId w:val="23"/>
              </w:numPr>
              <w:spacing w:before="0" w:after="0"/>
              <w:rPr>
                <w:rFonts w:cs="Calibri"/>
                <w:sz w:val="16"/>
                <w:szCs w:val="16"/>
                <w:lang w:val="en-US" w:eastAsia="hr-HR"/>
              </w:rPr>
            </w:pPr>
          </w:p>
        </w:tc>
        <w:tc>
          <w:tcPr>
            <w:tcW w:w="2256" w:type="pct"/>
            <w:shd w:val="clear" w:color="auto" w:fill="auto"/>
          </w:tcPr>
          <w:p w14:paraId="47EB5A12" w14:textId="77777777" w:rsidR="0024745F" w:rsidRPr="00ED4D49" w:rsidRDefault="0024745F" w:rsidP="0024745F">
            <w:pPr>
              <w:spacing w:before="0" w:after="0"/>
              <w:rPr>
                <w:rFonts w:cs="Calibri"/>
                <w:i/>
                <w:sz w:val="16"/>
                <w:szCs w:val="16"/>
                <w:lang w:val="en-US" w:eastAsia="hr-HR"/>
              </w:rPr>
            </w:pPr>
            <w:r w:rsidRPr="00ED4D49">
              <w:rPr>
                <w:rFonts w:cs="Calibri"/>
                <w:i/>
                <w:sz w:val="16"/>
                <w:szCs w:val="16"/>
                <w:lang w:val="en-US" w:eastAsia="hr-HR"/>
              </w:rPr>
              <w:t xml:space="preserve">Umbra </w:t>
            </w:r>
            <w:proofErr w:type="spellStart"/>
            <w:r w:rsidRPr="00ED4D49">
              <w:rPr>
                <w:rFonts w:cs="Calibri"/>
                <w:i/>
                <w:sz w:val="16"/>
                <w:szCs w:val="16"/>
                <w:lang w:val="en-US" w:eastAsia="hr-HR"/>
              </w:rPr>
              <w:t>krameri</w:t>
            </w:r>
            <w:proofErr w:type="spellEnd"/>
            <w:r w:rsidRPr="00ED4D49">
              <w:rPr>
                <w:rFonts w:cs="Calibri"/>
                <w:i/>
                <w:sz w:val="16"/>
                <w:szCs w:val="16"/>
                <w:lang w:val="en-US" w:eastAsia="hr-HR"/>
              </w:rPr>
              <w:t xml:space="preserve"> </w:t>
            </w:r>
          </w:p>
        </w:tc>
        <w:tc>
          <w:tcPr>
            <w:tcW w:w="2302" w:type="pct"/>
          </w:tcPr>
          <w:p w14:paraId="2AEB328B" w14:textId="77777777" w:rsidR="0024745F" w:rsidRPr="00ED4D49" w:rsidRDefault="0024745F" w:rsidP="0024745F">
            <w:pPr>
              <w:spacing w:before="0" w:after="0"/>
              <w:rPr>
                <w:rFonts w:cs="Calibri"/>
                <w:sz w:val="16"/>
                <w:szCs w:val="16"/>
                <w:lang w:val="en-US" w:eastAsia="hr-HR"/>
              </w:rPr>
            </w:pPr>
            <w:proofErr w:type="spellStart"/>
            <w:r w:rsidRPr="00ED4D49">
              <w:rPr>
                <w:rFonts w:cs="Calibri"/>
                <w:sz w:val="16"/>
                <w:szCs w:val="16"/>
                <w:lang w:val="en-US" w:eastAsia="hr-HR"/>
              </w:rPr>
              <w:t>Europaean</w:t>
            </w:r>
            <w:proofErr w:type="spellEnd"/>
            <w:r w:rsidRPr="00ED4D49">
              <w:rPr>
                <w:rFonts w:cs="Calibri"/>
                <w:sz w:val="16"/>
                <w:szCs w:val="16"/>
                <w:lang w:val="en-US" w:eastAsia="hr-HR"/>
              </w:rPr>
              <w:t xml:space="preserve"> mudminnow,</w:t>
            </w:r>
          </w:p>
        </w:tc>
      </w:tr>
      <w:tr w:rsidR="0024745F" w:rsidRPr="00ED4D49" w14:paraId="32C4A597" w14:textId="77777777" w:rsidTr="0024745F">
        <w:tc>
          <w:tcPr>
            <w:tcW w:w="442" w:type="pct"/>
            <w:shd w:val="clear" w:color="auto" w:fill="auto"/>
          </w:tcPr>
          <w:p w14:paraId="157FC950" w14:textId="77777777" w:rsidR="0024745F" w:rsidRPr="00ED4D49" w:rsidRDefault="0024745F" w:rsidP="00530056">
            <w:pPr>
              <w:numPr>
                <w:ilvl w:val="0"/>
                <w:numId w:val="23"/>
              </w:numPr>
              <w:spacing w:before="0" w:after="0"/>
              <w:rPr>
                <w:rFonts w:cs="Calibri"/>
                <w:sz w:val="16"/>
                <w:szCs w:val="16"/>
                <w:lang w:val="en-US" w:eastAsia="hr-HR"/>
              </w:rPr>
            </w:pPr>
          </w:p>
        </w:tc>
        <w:tc>
          <w:tcPr>
            <w:tcW w:w="2256" w:type="pct"/>
            <w:shd w:val="clear" w:color="auto" w:fill="auto"/>
          </w:tcPr>
          <w:p w14:paraId="625ABB75" w14:textId="77777777" w:rsidR="0024745F" w:rsidRPr="00ED4D49" w:rsidRDefault="0024745F" w:rsidP="0024745F">
            <w:pPr>
              <w:spacing w:before="0" w:after="0"/>
              <w:rPr>
                <w:rFonts w:cs="Calibri"/>
                <w:i/>
                <w:sz w:val="16"/>
                <w:szCs w:val="16"/>
                <w:lang w:val="en-US" w:eastAsia="hr-HR"/>
              </w:rPr>
            </w:pPr>
            <w:proofErr w:type="spellStart"/>
            <w:r w:rsidRPr="00ED4D49">
              <w:rPr>
                <w:rFonts w:cs="Calibri"/>
                <w:i/>
                <w:sz w:val="16"/>
                <w:szCs w:val="16"/>
                <w:lang w:val="en-US" w:eastAsia="hr-HR"/>
              </w:rPr>
              <w:t>Cobitis</w:t>
            </w:r>
            <w:proofErr w:type="spellEnd"/>
            <w:r w:rsidRPr="00ED4D49">
              <w:rPr>
                <w:rFonts w:cs="Calibri"/>
                <w:i/>
                <w:sz w:val="16"/>
                <w:szCs w:val="16"/>
                <w:lang w:val="en-US" w:eastAsia="hr-HR"/>
              </w:rPr>
              <w:t xml:space="preserve"> </w:t>
            </w:r>
            <w:proofErr w:type="spellStart"/>
            <w:r w:rsidRPr="00ED4D49">
              <w:rPr>
                <w:rFonts w:cs="Calibri"/>
                <w:i/>
                <w:sz w:val="16"/>
                <w:szCs w:val="16"/>
                <w:lang w:val="en-US" w:eastAsia="hr-HR"/>
              </w:rPr>
              <w:t>elengata</w:t>
            </w:r>
            <w:proofErr w:type="spellEnd"/>
            <w:r w:rsidRPr="00ED4D49">
              <w:rPr>
                <w:rFonts w:cs="Calibri"/>
                <w:i/>
                <w:sz w:val="16"/>
                <w:szCs w:val="16"/>
                <w:lang w:val="en-US" w:eastAsia="hr-HR"/>
              </w:rPr>
              <w:t xml:space="preserve"> </w:t>
            </w:r>
          </w:p>
        </w:tc>
        <w:tc>
          <w:tcPr>
            <w:tcW w:w="2302" w:type="pct"/>
          </w:tcPr>
          <w:p w14:paraId="4DD65696" w14:textId="77777777" w:rsidR="0024745F" w:rsidRPr="00ED4D49" w:rsidRDefault="0024745F" w:rsidP="0024745F">
            <w:pPr>
              <w:spacing w:before="0" w:after="0"/>
              <w:rPr>
                <w:rFonts w:cs="Calibri"/>
                <w:sz w:val="16"/>
                <w:szCs w:val="16"/>
                <w:lang w:val="en-US" w:eastAsia="hr-HR"/>
              </w:rPr>
            </w:pPr>
            <w:r w:rsidRPr="00ED4D49">
              <w:rPr>
                <w:rFonts w:cs="Calibri"/>
                <w:sz w:val="16"/>
                <w:szCs w:val="16"/>
                <w:lang w:val="en-US" w:eastAsia="hr-HR"/>
              </w:rPr>
              <w:t>Balkan loach</w:t>
            </w:r>
          </w:p>
        </w:tc>
      </w:tr>
      <w:tr w:rsidR="0024745F" w:rsidRPr="00ED4D49" w14:paraId="3E482EED" w14:textId="77777777" w:rsidTr="0024745F">
        <w:tc>
          <w:tcPr>
            <w:tcW w:w="442" w:type="pct"/>
            <w:shd w:val="clear" w:color="auto" w:fill="auto"/>
          </w:tcPr>
          <w:p w14:paraId="3D115751" w14:textId="77777777" w:rsidR="0024745F" w:rsidRPr="00ED4D49" w:rsidRDefault="0024745F" w:rsidP="00530056">
            <w:pPr>
              <w:numPr>
                <w:ilvl w:val="0"/>
                <w:numId w:val="23"/>
              </w:numPr>
              <w:spacing w:before="0" w:after="0"/>
              <w:rPr>
                <w:rFonts w:cs="Calibri"/>
                <w:bCs/>
                <w:sz w:val="16"/>
                <w:szCs w:val="16"/>
                <w:lang w:val="en-US" w:eastAsia="hr-HR"/>
              </w:rPr>
            </w:pPr>
          </w:p>
        </w:tc>
        <w:tc>
          <w:tcPr>
            <w:tcW w:w="2256" w:type="pct"/>
            <w:shd w:val="clear" w:color="auto" w:fill="auto"/>
          </w:tcPr>
          <w:p w14:paraId="5D4F8083" w14:textId="77777777" w:rsidR="0024745F" w:rsidRPr="00ED4D49" w:rsidRDefault="0024745F" w:rsidP="0024745F">
            <w:pPr>
              <w:spacing w:before="0" w:after="0"/>
              <w:rPr>
                <w:rFonts w:cs="Calibri"/>
                <w:i/>
                <w:sz w:val="16"/>
                <w:szCs w:val="16"/>
                <w:lang w:val="en-US" w:eastAsia="hr-HR"/>
              </w:rPr>
            </w:pPr>
            <w:proofErr w:type="spellStart"/>
            <w:r w:rsidRPr="00ED4D49">
              <w:rPr>
                <w:rFonts w:cs="Calibri"/>
                <w:i/>
                <w:sz w:val="16"/>
                <w:szCs w:val="16"/>
                <w:lang w:val="en-US" w:eastAsia="hr-HR"/>
              </w:rPr>
              <w:t>Sabanejewia</w:t>
            </w:r>
            <w:proofErr w:type="spellEnd"/>
            <w:r w:rsidRPr="00ED4D49">
              <w:rPr>
                <w:rFonts w:cs="Calibri"/>
                <w:i/>
                <w:sz w:val="16"/>
                <w:szCs w:val="16"/>
                <w:lang w:val="en-US" w:eastAsia="hr-HR"/>
              </w:rPr>
              <w:t xml:space="preserve"> </w:t>
            </w:r>
            <w:proofErr w:type="spellStart"/>
            <w:r w:rsidRPr="00ED4D49">
              <w:rPr>
                <w:rFonts w:cs="Calibri"/>
                <w:i/>
                <w:sz w:val="16"/>
                <w:szCs w:val="16"/>
                <w:lang w:val="en-US" w:eastAsia="hr-HR"/>
              </w:rPr>
              <w:t>balcanica</w:t>
            </w:r>
            <w:proofErr w:type="spellEnd"/>
            <w:r w:rsidRPr="00ED4D49">
              <w:rPr>
                <w:rFonts w:cs="Calibri"/>
                <w:i/>
                <w:sz w:val="16"/>
                <w:szCs w:val="16"/>
                <w:lang w:val="en-US" w:eastAsia="hr-HR"/>
              </w:rPr>
              <w:t xml:space="preserve"> </w:t>
            </w:r>
          </w:p>
        </w:tc>
        <w:tc>
          <w:tcPr>
            <w:tcW w:w="2302" w:type="pct"/>
          </w:tcPr>
          <w:p w14:paraId="4E02035F" w14:textId="77777777" w:rsidR="0024745F" w:rsidRPr="00ED4D49" w:rsidRDefault="0024745F" w:rsidP="0024745F">
            <w:pPr>
              <w:spacing w:before="0" w:after="0"/>
              <w:rPr>
                <w:rFonts w:cs="Calibri"/>
                <w:sz w:val="16"/>
                <w:szCs w:val="16"/>
                <w:lang w:val="en-US" w:eastAsia="hr-HR"/>
              </w:rPr>
            </w:pPr>
            <w:r w:rsidRPr="00ED4D49">
              <w:rPr>
                <w:rFonts w:cs="Calibri"/>
                <w:sz w:val="16"/>
                <w:szCs w:val="16"/>
                <w:lang w:val="en-US" w:eastAsia="hr-HR"/>
              </w:rPr>
              <w:t>Balkan golden loach</w:t>
            </w:r>
          </w:p>
        </w:tc>
      </w:tr>
      <w:tr w:rsidR="0024745F" w:rsidRPr="00ED4D49" w14:paraId="56F7F5AA" w14:textId="77777777" w:rsidTr="0024745F">
        <w:tc>
          <w:tcPr>
            <w:tcW w:w="442" w:type="pct"/>
            <w:shd w:val="clear" w:color="auto" w:fill="auto"/>
          </w:tcPr>
          <w:p w14:paraId="723D04A6" w14:textId="77777777" w:rsidR="0024745F" w:rsidRPr="00ED4D49" w:rsidRDefault="0024745F" w:rsidP="00530056">
            <w:pPr>
              <w:numPr>
                <w:ilvl w:val="0"/>
                <w:numId w:val="23"/>
              </w:numPr>
              <w:spacing w:before="0" w:after="0"/>
              <w:rPr>
                <w:rFonts w:cs="Calibri"/>
                <w:bCs/>
                <w:sz w:val="16"/>
                <w:szCs w:val="16"/>
                <w:lang w:val="en-US" w:eastAsia="hr-HR"/>
              </w:rPr>
            </w:pPr>
          </w:p>
        </w:tc>
        <w:tc>
          <w:tcPr>
            <w:tcW w:w="2256" w:type="pct"/>
            <w:shd w:val="clear" w:color="auto" w:fill="auto"/>
          </w:tcPr>
          <w:p w14:paraId="29E84A3E" w14:textId="77777777" w:rsidR="0024745F" w:rsidRPr="00ED4D49" w:rsidRDefault="0024745F" w:rsidP="0024745F">
            <w:pPr>
              <w:spacing w:before="0" w:after="0"/>
              <w:rPr>
                <w:rFonts w:cs="Calibri"/>
                <w:i/>
                <w:sz w:val="16"/>
                <w:szCs w:val="16"/>
                <w:lang w:val="en-US" w:eastAsia="hr-HR"/>
              </w:rPr>
            </w:pPr>
            <w:proofErr w:type="spellStart"/>
            <w:r w:rsidRPr="00ED4D49">
              <w:rPr>
                <w:rFonts w:cs="Calibri"/>
                <w:i/>
                <w:sz w:val="16"/>
                <w:szCs w:val="16"/>
                <w:lang w:val="en-US" w:eastAsia="hr-HR"/>
              </w:rPr>
              <w:t>Cottus</w:t>
            </w:r>
            <w:proofErr w:type="spellEnd"/>
            <w:r w:rsidRPr="00ED4D49">
              <w:rPr>
                <w:rFonts w:cs="Calibri"/>
                <w:i/>
                <w:sz w:val="16"/>
                <w:szCs w:val="16"/>
                <w:lang w:val="en-US" w:eastAsia="hr-HR"/>
              </w:rPr>
              <w:t xml:space="preserve"> gobio </w:t>
            </w:r>
          </w:p>
        </w:tc>
        <w:tc>
          <w:tcPr>
            <w:tcW w:w="2302" w:type="pct"/>
          </w:tcPr>
          <w:p w14:paraId="4F7502C4" w14:textId="77777777" w:rsidR="0024745F" w:rsidRPr="00ED4D49" w:rsidRDefault="0024745F" w:rsidP="0024745F">
            <w:pPr>
              <w:spacing w:before="0" w:after="0"/>
              <w:rPr>
                <w:rFonts w:cs="Calibri"/>
                <w:sz w:val="16"/>
                <w:szCs w:val="16"/>
                <w:lang w:val="en-US" w:eastAsia="hr-HR"/>
              </w:rPr>
            </w:pPr>
            <w:r w:rsidRPr="00ED4D49">
              <w:rPr>
                <w:rFonts w:cs="Calibri"/>
                <w:sz w:val="16"/>
                <w:szCs w:val="16"/>
                <w:lang w:val="en-US" w:eastAsia="hr-HR"/>
              </w:rPr>
              <w:t>Sculpin</w:t>
            </w:r>
          </w:p>
        </w:tc>
      </w:tr>
      <w:tr w:rsidR="0024745F" w:rsidRPr="00ED4D49" w14:paraId="3A68A50F" w14:textId="77777777" w:rsidTr="0024745F">
        <w:tc>
          <w:tcPr>
            <w:tcW w:w="442" w:type="pct"/>
            <w:shd w:val="clear" w:color="auto" w:fill="auto"/>
          </w:tcPr>
          <w:p w14:paraId="01985A25" w14:textId="77777777" w:rsidR="0024745F" w:rsidRPr="00ED4D49" w:rsidRDefault="0024745F" w:rsidP="00530056">
            <w:pPr>
              <w:numPr>
                <w:ilvl w:val="0"/>
                <w:numId w:val="23"/>
              </w:numPr>
              <w:spacing w:before="0" w:after="0"/>
              <w:rPr>
                <w:rFonts w:cs="Calibri"/>
                <w:sz w:val="16"/>
                <w:szCs w:val="16"/>
                <w:lang w:val="en-US" w:eastAsia="hr-HR"/>
              </w:rPr>
            </w:pPr>
          </w:p>
        </w:tc>
        <w:tc>
          <w:tcPr>
            <w:tcW w:w="2256" w:type="pct"/>
            <w:shd w:val="clear" w:color="auto" w:fill="auto"/>
          </w:tcPr>
          <w:p w14:paraId="4CC6F9AF" w14:textId="77777777" w:rsidR="0024745F" w:rsidRPr="00ED4D49" w:rsidRDefault="0024745F" w:rsidP="0024745F">
            <w:pPr>
              <w:spacing w:before="0" w:after="0"/>
              <w:rPr>
                <w:rFonts w:cs="Calibri"/>
                <w:i/>
                <w:sz w:val="16"/>
                <w:szCs w:val="16"/>
                <w:lang w:val="en-US" w:eastAsia="hr-HR"/>
              </w:rPr>
            </w:pPr>
            <w:proofErr w:type="spellStart"/>
            <w:r w:rsidRPr="00ED4D49">
              <w:rPr>
                <w:rFonts w:cs="Calibri"/>
                <w:i/>
                <w:sz w:val="16"/>
                <w:szCs w:val="16"/>
                <w:lang w:val="en-US" w:eastAsia="hr-HR"/>
              </w:rPr>
              <w:t>Gymnocephalus</w:t>
            </w:r>
            <w:proofErr w:type="spellEnd"/>
            <w:r w:rsidRPr="00ED4D49">
              <w:rPr>
                <w:rFonts w:cs="Calibri"/>
                <w:i/>
                <w:sz w:val="16"/>
                <w:szCs w:val="16"/>
                <w:lang w:val="en-US" w:eastAsia="hr-HR"/>
              </w:rPr>
              <w:t xml:space="preserve"> </w:t>
            </w:r>
            <w:proofErr w:type="spellStart"/>
            <w:r w:rsidRPr="00ED4D49">
              <w:rPr>
                <w:rFonts w:cs="Calibri"/>
                <w:i/>
                <w:sz w:val="16"/>
                <w:szCs w:val="16"/>
                <w:lang w:val="en-US" w:eastAsia="hr-HR"/>
              </w:rPr>
              <w:t>baloni</w:t>
            </w:r>
            <w:proofErr w:type="spellEnd"/>
            <w:r w:rsidRPr="00ED4D49">
              <w:rPr>
                <w:rFonts w:cs="Calibri"/>
                <w:i/>
                <w:sz w:val="16"/>
                <w:szCs w:val="16"/>
                <w:lang w:val="en-US" w:eastAsia="hr-HR"/>
              </w:rPr>
              <w:t xml:space="preserve"> </w:t>
            </w:r>
          </w:p>
        </w:tc>
        <w:tc>
          <w:tcPr>
            <w:tcW w:w="2302" w:type="pct"/>
          </w:tcPr>
          <w:p w14:paraId="086589EB" w14:textId="77777777" w:rsidR="0024745F" w:rsidRPr="00ED4D49" w:rsidRDefault="0024745F" w:rsidP="0024745F">
            <w:pPr>
              <w:spacing w:before="0" w:after="0"/>
              <w:rPr>
                <w:rFonts w:cs="Calibri"/>
                <w:sz w:val="16"/>
                <w:szCs w:val="16"/>
                <w:lang w:val="en-US" w:eastAsia="hr-HR"/>
              </w:rPr>
            </w:pPr>
            <w:proofErr w:type="spellStart"/>
            <w:r w:rsidRPr="00ED4D49">
              <w:rPr>
                <w:rFonts w:cs="Calibri"/>
                <w:sz w:val="16"/>
                <w:szCs w:val="16"/>
                <w:lang w:val="en-US" w:eastAsia="hr-HR"/>
              </w:rPr>
              <w:t>Balon’s</w:t>
            </w:r>
            <w:proofErr w:type="spellEnd"/>
            <w:r w:rsidRPr="00ED4D49">
              <w:rPr>
                <w:rFonts w:cs="Calibri"/>
                <w:sz w:val="16"/>
                <w:szCs w:val="16"/>
                <w:lang w:val="en-US" w:eastAsia="hr-HR"/>
              </w:rPr>
              <w:t xml:space="preserve"> ruffe</w:t>
            </w:r>
          </w:p>
        </w:tc>
      </w:tr>
      <w:tr w:rsidR="0024745F" w:rsidRPr="00ED4D49" w14:paraId="73B308B8" w14:textId="77777777" w:rsidTr="0024745F">
        <w:tc>
          <w:tcPr>
            <w:tcW w:w="442" w:type="pct"/>
            <w:shd w:val="clear" w:color="auto" w:fill="auto"/>
          </w:tcPr>
          <w:p w14:paraId="5B90FC20" w14:textId="77777777" w:rsidR="0024745F" w:rsidRPr="00ED4D49" w:rsidRDefault="0024745F" w:rsidP="00530056">
            <w:pPr>
              <w:numPr>
                <w:ilvl w:val="0"/>
                <w:numId w:val="23"/>
              </w:numPr>
              <w:spacing w:before="0" w:after="0"/>
              <w:rPr>
                <w:rFonts w:cs="Calibri"/>
                <w:sz w:val="16"/>
                <w:szCs w:val="16"/>
                <w:lang w:val="en-US" w:eastAsia="hr-HR"/>
              </w:rPr>
            </w:pPr>
          </w:p>
        </w:tc>
        <w:tc>
          <w:tcPr>
            <w:tcW w:w="2256" w:type="pct"/>
            <w:shd w:val="clear" w:color="auto" w:fill="auto"/>
          </w:tcPr>
          <w:p w14:paraId="642542FF" w14:textId="77777777" w:rsidR="0024745F" w:rsidRPr="00ED4D49" w:rsidRDefault="0024745F" w:rsidP="0024745F">
            <w:pPr>
              <w:spacing w:before="0" w:after="0"/>
              <w:rPr>
                <w:rFonts w:cs="Calibri"/>
                <w:i/>
                <w:sz w:val="16"/>
                <w:szCs w:val="16"/>
                <w:lang w:val="en-US" w:eastAsia="hr-HR"/>
              </w:rPr>
            </w:pPr>
            <w:proofErr w:type="spellStart"/>
            <w:r w:rsidRPr="00ED4D49">
              <w:rPr>
                <w:rFonts w:cs="Calibri"/>
                <w:i/>
                <w:sz w:val="16"/>
                <w:szCs w:val="16"/>
                <w:lang w:val="en-US" w:eastAsia="hr-HR"/>
              </w:rPr>
              <w:t>Gymnocephalus</w:t>
            </w:r>
            <w:proofErr w:type="spellEnd"/>
            <w:r w:rsidRPr="00ED4D49">
              <w:rPr>
                <w:rFonts w:cs="Calibri"/>
                <w:i/>
                <w:sz w:val="16"/>
                <w:szCs w:val="16"/>
                <w:lang w:val="en-US" w:eastAsia="hr-HR"/>
              </w:rPr>
              <w:t xml:space="preserve"> </w:t>
            </w:r>
            <w:proofErr w:type="spellStart"/>
            <w:r w:rsidRPr="00ED4D49">
              <w:rPr>
                <w:rFonts w:cs="Calibri"/>
                <w:i/>
                <w:sz w:val="16"/>
                <w:szCs w:val="16"/>
                <w:lang w:val="en-US" w:eastAsia="hr-HR"/>
              </w:rPr>
              <w:t>schraetser</w:t>
            </w:r>
            <w:proofErr w:type="spellEnd"/>
            <w:r w:rsidRPr="00ED4D49">
              <w:rPr>
                <w:rFonts w:cs="Calibri"/>
                <w:i/>
                <w:sz w:val="16"/>
                <w:szCs w:val="16"/>
                <w:lang w:val="en-US" w:eastAsia="hr-HR"/>
              </w:rPr>
              <w:t xml:space="preserve"> </w:t>
            </w:r>
          </w:p>
        </w:tc>
        <w:tc>
          <w:tcPr>
            <w:tcW w:w="2302" w:type="pct"/>
          </w:tcPr>
          <w:p w14:paraId="048815A5" w14:textId="77777777" w:rsidR="0024745F" w:rsidRPr="00ED4D49" w:rsidRDefault="0024745F" w:rsidP="0024745F">
            <w:pPr>
              <w:spacing w:before="0" w:after="0"/>
              <w:rPr>
                <w:rFonts w:cs="Calibri"/>
                <w:sz w:val="16"/>
                <w:szCs w:val="16"/>
                <w:lang w:val="en-US" w:eastAsia="hr-HR"/>
              </w:rPr>
            </w:pPr>
            <w:proofErr w:type="spellStart"/>
            <w:r w:rsidRPr="00ED4D49">
              <w:rPr>
                <w:rFonts w:cs="Calibri"/>
                <w:sz w:val="16"/>
                <w:szCs w:val="16"/>
                <w:lang w:val="en-US" w:eastAsia="hr-HR"/>
              </w:rPr>
              <w:t>Schraetzer</w:t>
            </w:r>
            <w:proofErr w:type="spellEnd"/>
          </w:p>
        </w:tc>
      </w:tr>
      <w:tr w:rsidR="0024745F" w:rsidRPr="00ED4D49" w14:paraId="0FFD04F2" w14:textId="77777777" w:rsidTr="0024745F">
        <w:tc>
          <w:tcPr>
            <w:tcW w:w="442" w:type="pct"/>
            <w:shd w:val="clear" w:color="auto" w:fill="auto"/>
          </w:tcPr>
          <w:p w14:paraId="36627A5F" w14:textId="77777777" w:rsidR="0024745F" w:rsidRPr="00ED4D49" w:rsidRDefault="0024745F" w:rsidP="00530056">
            <w:pPr>
              <w:numPr>
                <w:ilvl w:val="0"/>
                <w:numId w:val="23"/>
              </w:numPr>
              <w:spacing w:before="0" w:after="0"/>
              <w:rPr>
                <w:rFonts w:cs="Calibri"/>
                <w:sz w:val="16"/>
                <w:szCs w:val="16"/>
                <w:lang w:val="en-US" w:eastAsia="hr-HR"/>
              </w:rPr>
            </w:pPr>
          </w:p>
        </w:tc>
        <w:tc>
          <w:tcPr>
            <w:tcW w:w="2256" w:type="pct"/>
            <w:shd w:val="clear" w:color="auto" w:fill="auto"/>
          </w:tcPr>
          <w:p w14:paraId="7AFD6E57" w14:textId="77777777" w:rsidR="0024745F" w:rsidRPr="00ED4D49" w:rsidRDefault="0024745F" w:rsidP="0024745F">
            <w:pPr>
              <w:spacing w:before="0" w:after="0"/>
              <w:rPr>
                <w:rFonts w:cs="Calibri"/>
                <w:i/>
                <w:sz w:val="16"/>
                <w:szCs w:val="16"/>
                <w:lang w:val="en-US" w:eastAsia="hr-HR"/>
              </w:rPr>
            </w:pPr>
            <w:r w:rsidRPr="00ED4D49">
              <w:rPr>
                <w:rFonts w:cs="Calibri"/>
                <w:i/>
                <w:sz w:val="16"/>
                <w:szCs w:val="16"/>
                <w:lang w:val="en-US" w:eastAsia="hr-HR"/>
              </w:rPr>
              <w:t xml:space="preserve">Zingel </w:t>
            </w:r>
            <w:proofErr w:type="spellStart"/>
            <w:r w:rsidRPr="00ED4D49">
              <w:rPr>
                <w:rFonts w:cs="Calibri"/>
                <w:i/>
                <w:sz w:val="16"/>
                <w:szCs w:val="16"/>
                <w:lang w:val="en-US" w:eastAsia="hr-HR"/>
              </w:rPr>
              <w:t>zingel</w:t>
            </w:r>
            <w:proofErr w:type="spellEnd"/>
            <w:r w:rsidRPr="00ED4D49">
              <w:rPr>
                <w:rFonts w:cs="Calibri"/>
                <w:i/>
                <w:sz w:val="16"/>
                <w:szCs w:val="16"/>
                <w:lang w:val="en-US" w:eastAsia="hr-HR"/>
              </w:rPr>
              <w:t xml:space="preserve"> </w:t>
            </w:r>
          </w:p>
        </w:tc>
        <w:tc>
          <w:tcPr>
            <w:tcW w:w="2302" w:type="pct"/>
          </w:tcPr>
          <w:p w14:paraId="677F0C05" w14:textId="77777777" w:rsidR="0024745F" w:rsidRPr="00ED4D49" w:rsidRDefault="0024745F" w:rsidP="0024745F">
            <w:pPr>
              <w:spacing w:before="0" w:after="0"/>
              <w:rPr>
                <w:rFonts w:cs="Calibri"/>
                <w:sz w:val="16"/>
                <w:szCs w:val="16"/>
                <w:lang w:val="en-US" w:eastAsia="hr-HR"/>
              </w:rPr>
            </w:pPr>
            <w:r w:rsidRPr="00ED4D49">
              <w:rPr>
                <w:rFonts w:cs="Calibri"/>
                <w:sz w:val="16"/>
                <w:szCs w:val="16"/>
                <w:lang w:val="en-US" w:eastAsia="hr-HR"/>
              </w:rPr>
              <w:t>Zingel</w:t>
            </w:r>
          </w:p>
        </w:tc>
      </w:tr>
      <w:tr w:rsidR="0024745F" w:rsidRPr="00ED4D49" w14:paraId="05DDF401" w14:textId="77777777" w:rsidTr="0024745F">
        <w:tc>
          <w:tcPr>
            <w:tcW w:w="442" w:type="pct"/>
            <w:shd w:val="clear" w:color="auto" w:fill="auto"/>
          </w:tcPr>
          <w:p w14:paraId="78B36551" w14:textId="77777777" w:rsidR="0024745F" w:rsidRPr="00ED4D49" w:rsidRDefault="0024745F" w:rsidP="00530056">
            <w:pPr>
              <w:numPr>
                <w:ilvl w:val="0"/>
                <w:numId w:val="23"/>
              </w:numPr>
              <w:spacing w:before="0" w:after="0"/>
              <w:rPr>
                <w:rFonts w:cs="Calibri"/>
                <w:sz w:val="16"/>
                <w:szCs w:val="16"/>
                <w:lang w:val="en-US" w:eastAsia="hr-HR"/>
              </w:rPr>
            </w:pPr>
          </w:p>
        </w:tc>
        <w:tc>
          <w:tcPr>
            <w:tcW w:w="2256" w:type="pct"/>
            <w:shd w:val="clear" w:color="auto" w:fill="auto"/>
          </w:tcPr>
          <w:p w14:paraId="1542D77A" w14:textId="77777777" w:rsidR="0024745F" w:rsidRPr="00ED4D49" w:rsidRDefault="0024745F" w:rsidP="0024745F">
            <w:pPr>
              <w:spacing w:before="0" w:after="0"/>
              <w:rPr>
                <w:rFonts w:cs="Calibri"/>
                <w:i/>
                <w:sz w:val="16"/>
                <w:szCs w:val="16"/>
                <w:lang w:val="en-US" w:eastAsia="hr-HR"/>
              </w:rPr>
            </w:pPr>
            <w:r w:rsidRPr="00ED4D49">
              <w:rPr>
                <w:rFonts w:cs="Calibri"/>
                <w:i/>
                <w:sz w:val="16"/>
                <w:szCs w:val="16"/>
                <w:lang w:val="en-US" w:eastAsia="hr-HR"/>
              </w:rPr>
              <w:t xml:space="preserve">Zingel </w:t>
            </w:r>
            <w:proofErr w:type="spellStart"/>
            <w:r w:rsidRPr="00ED4D49">
              <w:rPr>
                <w:rFonts w:cs="Calibri"/>
                <w:i/>
                <w:sz w:val="16"/>
                <w:szCs w:val="16"/>
                <w:lang w:val="en-US" w:eastAsia="hr-HR"/>
              </w:rPr>
              <w:t>streber</w:t>
            </w:r>
            <w:proofErr w:type="spellEnd"/>
            <w:r w:rsidRPr="00ED4D49">
              <w:rPr>
                <w:rFonts w:cs="Calibri"/>
                <w:i/>
                <w:sz w:val="16"/>
                <w:szCs w:val="16"/>
                <w:lang w:val="en-US" w:eastAsia="hr-HR"/>
              </w:rPr>
              <w:t xml:space="preserve"> </w:t>
            </w:r>
          </w:p>
        </w:tc>
        <w:tc>
          <w:tcPr>
            <w:tcW w:w="2302" w:type="pct"/>
          </w:tcPr>
          <w:p w14:paraId="40513152" w14:textId="77777777" w:rsidR="0024745F" w:rsidRPr="00ED4D49" w:rsidRDefault="0024745F" w:rsidP="0024745F">
            <w:pPr>
              <w:spacing w:before="0" w:after="0"/>
              <w:rPr>
                <w:rFonts w:cs="Calibri"/>
                <w:sz w:val="16"/>
                <w:szCs w:val="16"/>
                <w:lang w:val="en-US" w:eastAsia="hr-HR"/>
              </w:rPr>
            </w:pPr>
            <w:r w:rsidRPr="00ED4D49">
              <w:rPr>
                <w:rFonts w:cs="Calibri"/>
                <w:sz w:val="16"/>
                <w:szCs w:val="16"/>
                <w:lang w:val="en-US" w:eastAsia="hr-HR"/>
              </w:rPr>
              <w:t xml:space="preserve">Danube </w:t>
            </w:r>
            <w:proofErr w:type="spellStart"/>
            <w:r w:rsidRPr="00ED4D49">
              <w:rPr>
                <w:rFonts w:cs="Calibri"/>
                <w:sz w:val="16"/>
                <w:szCs w:val="16"/>
                <w:lang w:val="en-US" w:eastAsia="hr-HR"/>
              </w:rPr>
              <w:t>streber</w:t>
            </w:r>
            <w:proofErr w:type="spellEnd"/>
          </w:p>
        </w:tc>
      </w:tr>
      <w:tr w:rsidR="0024745F" w:rsidRPr="00ED4D49" w14:paraId="5D3C64BE" w14:textId="77777777" w:rsidTr="0024745F">
        <w:tc>
          <w:tcPr>
            <w:tcW w:w="442" w:type="pct"/>
            <w:shd w:val="clear" w:color="auto" w:fill="auto"/>
          </w:tcPr>
          <w:p w14:paraId="2EE67C58" w14:textId="77777777" w:rsidR="0024745F" w:rsidRPr="00ED4D49" w:rsidRDefault="0024745F" w:rsidP="00530056">
            <w:pPr>
              <w:numPr>
                <w:ilvl w:val="0"/>
                <w:numId w:val="23"/>
              </w:numPr>
              <w:spacing w:before="0" w:after="0"/>
              <w:rPr>
                <w:rFonts w:cs="Calibri"/>
                <w:sz w:val="16"/>
                <w:szCs w:val="16"/>
                <w:lang w:val="en-US" w:eastAsia="hr-HR"/>
              </w:rPr>
            </w:pPr>
          </w:p>
        </w:tc>
        <w:tc>
          <w:tcPr>
            <w:tcW w:w="2256" w:type="pct"/>
            <w:shd w:val="clear" w:color="auto" w:fill="auto"/>
          </w:tcPr>
          <w:p w14:paraId="5B3CF55D" w14:textId="77777777" w:rsidR="0024745F" w:rsidRPr="00ED4D49" w:rsidRDefault="0024745F" w:rsidP="0024745F">
            <w:pPr>
              <w:spacing w:before="0" w:after="0"/>
              <w:rPr>
                <w:rFonts w:cs="Calibri"/>
                <w:i/>
                <w:sz w:val="16"/>
                <w:szCs w:val="16"/>
                <w:lang w:val="en-US" w:eastAsia="hr-HR"/>
              </w:rPr>
            </w:pPr>
            <w:r w:rsidRPr="00ED4D49">
              <w:rPr>
                <w:rFonts w:cs="Calibri"/>
                <w:sz w:val="16"/>
                <w:szCs w:val="16"/>
                <w:lang w:val="en-US" w:eastAsia="hr-HR"/>
              </w:rPr>
              <w:t xml:space="preserve">Vertigo </w:t>
            </w:r>
            <w:proofErr w:type="spellStart"/>
            <w:r w:rsidRPr="00ED4D49">
              <w:rPr>
                <w:rFonts w:cs="Calibri"/>
                <w:sz w:val="16"/>
                <w:szCs w:val="16"/>
                <w:lang w:val="en-US" w:eastAsia="hr-HR"/>
              </w:rPr>
              <w:t>angustior</w:t>
            </w:r>
            <w:proofErr w:type="spellEnd"/>
          </w:p>
        </w:tc>
        <w:tc>
          <w:tcPr>
            <w:tcW w:w="2302" w:type="pct"/>
          </w:tcPr>
          <w:p w14:paraId="4C9DCFDE" w14:textId="77777777" w:rsidR="0024745F" w:rsidRPr="00ED4D49" w:rsidRDefault="0024745F" w:rsidP="0024745F">
            <w:pPr>
              <w:autoSpaceDE w:val="0"/>
              <w:autoSpaceDN w:val="0"/>
              <w:adjustRightInd w:val="0"/>
              <w:spacing w:before="0" w:after="0" w:line="240" w:lineRule="auto"/>
              <w:rPr>
                <w:rFonts w:cs="Calibri"/>
                <w:sz w:val="16"/>
                <w:szCs w:val="16"/>
                <w:lang w:val="en-US" w:eastAsia="hr-HR"/>
              </w:rPr>
            </w:pPr>
            <w:r w:rsidRPr="00ED4D49">
              <w:rPr>
                <w:rFonts w:cs="Calibri"/>
                <w:sz w:val="16"/>
                <w:szCs w:val="16"/>
                <w:lang w:val="en-US" w:eastAsia="hr-HR"/>
              </w:rPr>
              <w:t>Narrow-mouthed Whorl Snail</w:t>
            </w:r>
          </w:p>
        </w:tc>
      </w:tr>
      <w:tr w:rsidR="0024745F" w:rsidRPr="00ED4D49" w14:paraId="50FA1652" w14:textId="77777777" w:rsidTr="0024745F">
        <w:tc>
          <w:tcPr>
            <w:tcW w:w="442" w:type="pct"/>
            <w:shd w:val="clear" w:color="auto" w:fill="auto"/>
          </w:tcPr>
          <w:p w14:paraId="70F1B8D8" w14:textId="77777777" w:rsidR="0024745F" w:rsidRPr="00ED4D49" w:rsidRDefault="0024745F" w:rsidP="00530056">
            <w:pPr>
              <w:numPr>
                <w:ilvl w:val="0"/>
                <w:numId w:val="23"/>
              </w:numPr>
              <w:spacing w:before="0" w:after="0"/>
              <w:rPr>
                <w:rFonts w:cs="Calibri"/>
                <w:sz w:val="16"/>
                <w:szCs w:val="16"/>
                <w:lang w:val="en-US" w:eastAsia="hr-HR"/>
              </w:rPr>
            </w:pPr>
          </w:p>
        </w:tc>
        <w:tc>
          <w:tcPr>
            <w:tcW w:w="2256" w:type="pct"/>
            <w:shd w:val="clear" w:color="auto" w:fill="auto"/>
          </w:tcPr>
          <w:p w14:paraId="044D1EEC" w14:textId="77777777" w:rsidR="0024745F" w:rsidRPr="00ED4D49" w:rsidRDefault="0024745F" w:rsidP="0024745F">
            <w:pPr>
              <w:spacing w:before="0" w:after="0"/>
              <w:rPr>
                <w:rFonts w:cs="Calibri"/>
                <w:sz w:val="16"/>
                <w:szCs w:val="16"/>
                <w:lang w:val="en-US" w:eastAsia="hr-HR"/>
              </w:rPr>
            </w:pPr>
            <w:r w:rsidRPr="00ED4D49">
              <w:rPr>
                <w:rFonts w:cs="Calibri"/>
                <w:sz w:val="16"/>
                <w:szCs w:val="16"/>
                <w:lang w:val="en-US" w:eastAsia="hr-HR"/>
              </w:rPr>
              <w:t xml:space="preserve">Unio </w:t>
            </w:r>
            <w:proofErr w:type="spellStart"/>
            <w:r w:rsidRPr="00ED4D49">
              <w:rPr>
                <w:rFonts w:cs="Calibri"/>
                <w:sz w:val="16"/>
                <w:szCs w:val="16"/>
                <w:lang w:val="en-US" w:eastAsia="hr-HR"/>
              </w:rPr>
              <w:t>crassus</w:t>
            </w:r>
            <w:proofErr w:type="spellEnd"/>
          </w:p>
        </w:tc>
        <w:tc>
          <w:tcPr>
            <w:tcW w:w="2302" w:type="pct"/>
          </w:tcPr>
          <w:p w14:paraId="1DA7FF4E" w14:textId="77777777" w:rsidR="0024745F" w:rsidRPr="00ED4D49" w:rsidRDefault="0024745F" w:rsidP="0024745F">
            <w:pPr>
              <w:autoSpaceDE w:val="0"/>
              <w:autoSpaceDN w:val="0"/>
              <w:adjustRightInd w:val="0"/>
              <w:spacing w:before="0" w:after="0" w:line="240" w:lineRule="auto"/>
              <w:rPr>
                <w:rFonts w:cs="Calibri"/>
                <w:sz w:val="16"/>
                <w:szCs w:val="16"/>
                <w:lang w:val="en-US" w:eastAsia="hr-HR"/>
              </w:rPr>
            </w:pPr>
            <w:r w:rsidRPr="00ED4D49">
              <w:rPr>
                <w:rFonts w:cs="Calibri"/>
                <w:sz w:val="16"/>
                <w:szCs w:val="16"/>
                <w:lang w:val="en-US" w:eastAsia="hr-HR"/>
              </w:rPr>
              <w:t>Thick Shelled River Mussel</w:t>
            </w:r>
          </w:p>
        </w:tc>
      </w:tr>
    </w:tbl>
    <w:p w14:paraId="25373077" w14:textId="77777777" w:rsidR="0024745F" w:rsidRPr="00ED4D49" w:rsidRDefault="0024745F" w:rsidP="0024745F">
      <w:pPr>
        <w:spacing w:before="0" w:after="0"/>
        <w:jc w:val="both"/>
        <w:rPr>
          <w:lang w:val="en-US"/>
        </w:rPr>
      </w:pPr>
    </w:p>
    <w:p w14:paraId="514B158E" w14:textId="2391A42C" w:rsidR="0024745F" w:rsidRPr="00ED4D49" w:rsidRDefault="0024745F" w:rsidP="0024745F">
      <w:pPr>
        <w:jc w:val="both"/>
        <w:rPr>
          <w:lang w:val="en-US"/>
        </w:rPr>
      </w:pPr>
      <w:r w:rsidRPr="00ED4D49">
        <w:rPr>
          <w:lang w:val="en-US"/>
        </w:rPr>
        <w:t xml:space="preserve">Unfortunately, bylaws related to identification of bird and habitat protection areas are still missing </w:t>
      </w:r>
      <w:r w:rsidR="00526F35" w:rsidRPr="00ED4D49">
        <w:rPr>
          <w:lang w:val="en-US"/>
        </w:rPr>
        <w:t xml:space="preserve">in BiH, </w:t>
      </w:r>
      <w:r w:rsidRPr="00ED4D49">
        <w:rPr>
          <w:lang w:val="en-US"/>
        </w:rPr>
        <w:t>and none of the sites ha</w:t>
      </w:r>
      <w:r w:rsidR="00526F35" w:rsidRPr="00ED4D49">
        <w:rPr>
          <w:lang w:val="en-US"/>
        </w:rPr>
        <w:t>ve</w:t>
      </w:r>
      <w:r w:rsidRPr="00ED4D49">
        <w:rPr>
          <w:lang w:val="en-US"/>
        </w:rPr>
        <w:t xml:space="preserve"> been officially designated yet. With the formal processes of Natura 2000 designation in BiH</w:t>
      </w:r>
      <w:r w:rsidR="00526F35" w:rsidRPr="00ED4D49">
        <w:rPr>
          <w:lang w:val="en-US"/>
        </w:rPr>
        <w:t>,</w:t>
      </w:r>
      <w:r w:rsidRPr="00ED4D49">
        <w:rPr>
          <w:lang w:val="en-US"/>
        </w:rPr>
        <w:t xml:space="preserve"> it is expected that the numbers and surface area of protected areas will increase.</w:t>
      </w:r>
    </w:p>
    <w:p w14:paraId="4886B7A3" w14:textId="77777777" w:rsidR="0024745F" w:rsidRPr="00ED4D49" w:rsidRDefault="0024745F" w:rsidP="0024745F">
      <w:pPr>
        <w:spacing w:after="0"/>
        <w:jc w:val="both"/>
        <w:rPr>
          <w:rStyle w:val="tlid-translation"/>
          <w:color w:val="1F497D"/>
          <w:lang w:val="en-US"/>
        </w:rPr>
      </w:pPr>
      <w:r w:rsidRPr="00ED4D49">
        <w:rPr>
          <w:rStyle w:val="tlid-translation"/>
          <w:color w:val="1F497D"/>
          <w:lang w:val="en-US"/>
        </w:rPr>
        <w:t>Fauna</w:t>
      </w:r>
    </w:p>
    <w:p w14:paraId="733FB3E4" w14:textId="4BA35791" w:rsidR="0024745F" w:rsidRPr="00ED4D49" w:rsidRDefault="00526F35" w:rsidP="0024745F">
      <w:pPr>
        <w:jc w:val="both"/>
        <w:rPr>
          <w:rFonts w:eastAsia="Times New Roman"/>
          <w:color w:val="000000"/>
          <w:lang w:val="en-US" w:eastAsia="hr-HR"/>
        </w:rPr>
      </w:pPr>
      <w:r w:rsidRPr="00ED4D49">
        <w:rPr>
          <w:lang w:val="en-US"/>
        </w:rPr>
        <w:t xml:space="preserve">The </w:t>
      </w:r>
      <w:r w:rsidR="0024745F" w:rsidRPr="00ED4D49">
        <w:rPr>
          <w:lang w:val="en-US"/>
        </w:rPr>
        <w:t xml:space="preserve">Sava </w:t>
      </w:r>
      <w:r w:rsidRPr="00ED4D49">
        <w:rPr>
          <w:lang w:val="en-US"/>
        </w:rPr>
        <w:t>R</w:t>
      </w:r>
      <w:r w:rsidR="0024745F" w:rsidRPr="00ED4D49">
        <w:rPr>
          <w:lang w:val="en-US"/>
        </w:rPr>
        <w:t xml:space="preserve">iver is one of the most significant aquatic </w:t>
      </w:r>
      <w:proofErr w:type="gramStart"/>
      <w:r w:rsidR="0024745F" w:rsidRPr="00ED4D49">
        <w:rPr>
          <w:lang w:val="en-US"/>
        </w:rPr>
        <w:t>ecosystem</w:t>
      </w:r>
      <w:proofErr w:type="gramEnd"/>
      <w:r w:rsidR="0024745F" w:rsidRPr="00ED4D49">
        <w:rPr>
          <w:lang w:val="en-US"/>
        </w:rPr>
        <w:t xml:space="preserve"> in BiH and especially very rich in fish biodiversity. During the research</w:t>
      </w:r>
      <w:r w:rsidR="00420DF1" w:rsidRPr="00ED4D49">
        <w:rPr>
          <w:lang w:val="en-US"/>
        </w:rPr>
        <w:t xml:space="preserve"> conducted</w:t>
      </w:r>
      <w:r w:rsidR="0024745F" w:rsidRPr="00ED4D49">
        <w:rPr>
          <w:lang w:val="en-US"/>
        </w:rPr>
        <w:t xml:space="preserve"> on the lower reaches of the Sava River</w:t>
      </w:r>
      <w:r w:rsidR="0024745F" w:rsidRPr="00ED4D49">
        <w:rPr>
          <w:rStyle w:val="FootnoteReference"/>
          <w:lang w:val="en-US"/>
        </w:rPr>
        <w:footnoteReference w:id="20"/>
      </w:r>
      <w:r w:rsidR="0024745F" w:rsidRPr="00ED4D49">
        <w:rPr>
          <w:lang w:val="en-US"/>
        </w:rPr>
        <w:t xml:space="preserve"> in 2013, a total of 15 species from six fish families were collected. </w:t>
      </w:r>
      <w:r w:rsidR="00420DF1" w:rsidRPr="00ED4D49">
        <w:rPr>
          <w:lang w:val="en-US"/>
        </w:rPr>
        <w:t>The f</w:t>
      </w:r>
      <w:r w:rsidR="0024745F" w:rsidRPr="00ED4D49">
        <w:rPr>
          <w:lang w:val="en-US"/>
        </w:rPr>
        <w:t xml:space="preserve">ollowing species were recorded: </w:t>
      </w:r>
      <w:r w:rsidR="0024745F" w:rsidRPr="00ED4D49">
        <w:rPr>
          <w:rFonts w:eastAsia="Times New Roman"/>
          <w:color w:val="000000"/>
          <w:lang w:val="en-US" w:eastAsia="hr-HR"/>
        </w:rPr>
        <w:t>bream (</w:t>
      </w:r>
      <w:r w:rsidR="0024745F" w:rsidRPr="00ED4D49">
        <w:rPr>
          <w:rFonts w:eastAsia="Times New Roman"/>
          <w:i/>
          <w:color w:val="000000"/>
          <w:lang w:val="en-US" w:eastAsia="hr-HR"/>
        </w:rPr>
        <w:t xml:space="preserve">Abramis </w:t>
      </w:r>
      <w:proofErr w:type="spellStart"/>
      <w:r w:rsidR="0024745F" w:rsidRPr="00ED4D49">
        <w:rPr>
          <w:rFonts w:eastAsia="Times New Roman"/>
          <w:i/>
          <w:color w:val="000000"/>
          <w:lang w:val="en-US" w:eastAsia="hr-HR"/>
        </w:rPr>
        <w:t>brama</w:t>
      </w:r>
      <w:proofErr w:type="spellEnd"/>
      <w:r w:rsidR="0024745F" w:rsidRPr="00ED4D49">
        <w:rPr>
          <w:rFonts w:eastAsia="Times New Roman"/>
          <w:color w:val="000000"/>
          <w:lang w:val="en-US" w:eastAsia="hr-HR"/>
        </w:rPr>
        <w:t>), carp (</w:t>
      </w:r>
      <w:r w:rsidR="0024745F" w:rsidRPr="00ED4D49">
        <w:rPr>
          <w:rFonts w:eastAsia="Times New Roman"/>
          <w:i/>
          <w:color w:val="000000"/>
          <w:lang w:val="en-US" w:eastAsia="hr-HR"/>
        </w:rPr>
        <w:t xml:space="preserve">Cyprinus </w:t>
      </w:r>
      <w:proofErr w:type="spellStart"/>
      <w:r w:rsidR="0024745F" w:rsidRPr="00ED4D49">
        <w:rPr>
          <w:rFonts w:eastAsia="Times New Roman"/>
          <w:i/>
          <w:color w:val="000000"/>
          <w:lang w:val="en-US" w:eastAsia="hr-HR"/>
        </w:rPr>
        <w:t>carpio</w:t>
      </w:r>
      <w:proofErr w:type="spellEnd"/>
      <w:r w:rsidR="0024745F" w:rsidRPr="00ED4D49">
        <w:rPr>
          <w:rFonts w:eastAsia="Times New Roman"/>
          <w:color w:val="000000"/>
          <w:lang w:val="en-US" w:eastAsia="hr-HR"/>
        </w:rPr>
        <w:t>),</w:t>
      </w:r>
      <w:r w:rsidR="00C6478C" w:rsidRPr="00ED4D49">
        <w:rPr>
          <w:rFonts w:eastAsia="Times New Roman"/>
          <w:color w:val="000000"/>
          <w:lang w:val="en-US" w:eastAsia="hr-HR"/>
        </w:rPr>
        <w:t xml:space="preserve"> </w:t>
      </w:r>
      <w:r w:rsidR="0024745F" w:rsidRPr="00ED4D49">
        <w:rPr>
          <w:rFonts w:eastAsia="Times New Roman"/>
          <w:color w:val="000000"/>
          <w:lang w:val="en-US" w:eastAsia="hr-HR"/>
        </w:rPr>
        <w:t>chub (</w:t>
      </w:r>
      <w:proofErr w:type="spellStart"/>
      <w:r w:rsidR="0024745F" w:rsidRPr="00ED4D49">
        <w:rPr>
          <w:rFonts w:eastAsia="Times New Roman"/>
          <w:i/>
          <w:color w:val="000000"/>
          <w:lang w:val="en-US" w:eastAsia="hr-HR"/>
        </w:rPr>
        <w:t>Squalius</w:t>
      </w:r>
      <w:proofErr w:type="spellEnd"/>
      <w:r w:rsidR="0024745F" w:rsidRPr="00ED4D49">
        <w:rPr>
          <w:rFonts w:eastAsia="Times New Roman"/>
          <w:i/>
          <w:color w:val="000000"/>
          <w:lang w:val="en-US" w:eastAsia="hr-HR"/>
        </w:rPr>
        <w:t xml:space="preserve"> </w:t>
      </w:r>
      <w:proofErr w:type="spellStart"/>
      <w:r w:rsidR="0024745F" w:rsidRPr="00ED4D49">
        <w:rPr>
          <w:rFonts w:eastAsia="Times New Roman"/>
          <w:i/>
          <w:color w:val="000000"/>
          <w:lang w:val="en-US" w:eastAsia="hr-HR"/>
        </w:rPr>
        <w:t>cephalus</w:t>
      </w:r>
      <w:proofErr w:type="spellEnd"/>
      <w:r w:rsidR="0024745F" w:rsidRPr="00ED4D49">
        <w:rPr>
          <w:rFonts w:eastAsia="Times New Roman"/>
          <w:color w:val="000000"/>
          <w:lang w:val="en-US" w:eastAsia="hr-HR"/>
        </w:rPr>
        <w:t>), crucian carp</w:t>
      </w:r>
      <w:r w:rsidR="00C6478C" w:rsidRPr="00ED4D49">
        <w:rPr>
          <w:rFonts w:eastAsia="Times New Roman"/>
          <w:color w:val="000000"/>
          <w:lang w:val="en-US" w:eastAsia="hr-HR"/>
        </w:rPr>
        <w:t xml:space="preserve"> </w:t>
      </w:r>
      <w:r w:rsidR="0024745F" w:rsidRPr="00ED4D49">
        <w:rPr>
          <w:rFonts w:eastAsia="Times New Roman"/>
          <w:color w:val="000000"/>
          <w:lang w:val="en-US" w:eastAsia="hr-HR"/>
        </w:rPr>
        <w:t>(</w:t>
      </w:r>
      <w:r w:rsidR="0024745F" w:rsidRPr="00ED4D49">
        <w:rPr>
          <w:rFonts w:eastAsia="Times New Roman"/>
          <w:i/>
          <w:color w:val="000000"/>
          <w:lang w:val="en-US" w:eastAsia="hr-HR"/>
        </w:rPr>
        <w:t>Carassius</w:t>
      </w:r>
      <w:r w:rsidR="00C6478C" w:rsidRPr="00ED4D49">
        <w:rPr>
          <w:rFonts w:eastAsia="Times New Roman"/>
          <w:i/>
          <w:color w:val="000000"/>
          <w:lang w:val="en-US" w:eastAsia="hr-HR"/>
        </w:rPr>
        <w:t xml:space="preserve"> </w:t>
      </w:r>
      <w:proofErr w:type="spellStart"/>
      <w:r w:rsidR="0024745F" w:rsidRPr="00ED4D49">
        <w:rPr>
          <w:rFonts w:eastAsia="Times New Roman"/>
          <w:i/>
          <w:color w:val="000000"/>
          <w:lang w:val="en-US" w:eastAsia="hr-HR"/>
        </w:rPr>
        <w:t>gibelio</w:t>
      </w:r>
      <w:proofErr w:type="spellEnd"/>
      <w:r w:rsidR="0024745F" w:rsidRPr="00ED4D49">
        <w:rPr>
          <w:rFonts w:eastAsia="Times New Roman"/>
          <w:color w:val="000000"/>
          <w:lang w:val="en-US" w:eastAsia="hr-HR"/>
        </w:rPr>
        <w:t>),</w:t>
      </w:r>
      <w:r w:rsidR="00C6478C" w:rsidRPr="00ED4D49">
        <w:rPr>
          <w:rFonts w:eastAsia="Times New Roman"/>
          <w:color w:val="000000"/>
          <w:lang w:val="en-US" w:eastAsia="hr-HR"/>
        </w:rPr>
        <w:t xml:space="preserve"> </w:t>
      </w:r>
      <w:r w:rsidR="0024745F" w:rsidRPr="00ED4D49">
        <w:rPr>
          <w:rFonts w:eastAsia="Times New Roman"/>
          <w:color w:val="000000"/>
          <w:lang w:val="en-US" w:eastAsia="hr-HR"/>
        </w:rPr>
        <w:t>grass</w:t>
      </w:r>
      <w:r w:rsidR="00C6478C" w:rsidRPr="00ED4D49">
        <w:rPr>
          <w:rFonts w:eastAsia="Times New Roman"/>
          <w:color w:val="000000"/>
          <w:lang w:val="en-US" w:eastAsia="hr-HR"/>
        </w:rPr>
        <w:t xml:space="preserve"> </w:t>
      </w:r>
      <w:r w:rsidR="0024745F" w:rsidRPr="00ED4D49">
        <w:rPr>
          <w:rFonts w:eastAsia="Times New Roman"/>
          <w:color w:val="000000"/>
          <w:lang w:val="en-US" w:eastAsia="hr-HR"/>
        </w:rPr>
        <w:t xml:space="preserve">carp </w:t>
      </w:r>
      <w:r w:rsidR="0024745F" w:rsidRPr="00ED4D49">
        <w:rPr>
          <w:rFonts w:eastAsia="Times New Roman"/>
          <w:color w:val="000000"/>
          <w:spacing w:val="2"/>
          <w:lang w:val="en-US" w:eastAsia="hr-HR"/>
        </w:rPr>
        <w:t>(</w:t>
      </w:r>
      <w:proofErr w:type="spellStart"/>
      <w:r w:rsidR="0024745F" w:rsidRPr="00ED4D49">
        <w:rPr>
          <w:rFonts w:eastAsia="Times New Roman"/>
          <w:i/>
          <w:color w:val="000000"/>
          <w:lang w:val="en-US" w:eastAsia="hr-HR"/>
        </w:rPr>
        <w:t>Ctenopharyngodon</w:t>
      </w:r>
      <w:proofErr w:type="spellEnd"/>
      <w:r w:rsidR="00C6478C" w:rsidRPr="00ED4D49">
        <w:rPr>
          <w:rFonts w:eastAsia="Times New Roman"/>
          <w:i/>
          <w:color w:val="000000"/>
          <w:lang w:val="en-US" w:eastAsia="hr-HR"/>
        </w:rPr>
        <w:t xml:space="preserve"> </w:t>
      </w:r>
      <w:proofErr w:type="spellStart"/>
      <w:r w:rsidR="0024745F" w:rsidRPr="00ED4D49">
        <w:rPr>
          <w:rFonts w:eastAsia="Times New Roman"/>
          <w:i/>
          <w:color w:val="000000"/>
          <w:lang w:val="en-US" w:eastAsia="hr-HR"/>
        </w:rPr>
        <w:t>idella</w:t>
      </w:r>
      <w:proofErr w:type="spellEnd"/>
      <w:r w:rsidR="0024745F" w:rsidRPr="00ED4D49">
        <w:rPr>
          <w:rFonts w:eastAsia="Times New Roman"/>
          <w:color w:val="000000"/>
          <w:lang w:val="en-US" w:eastAsia="hr-HR"/>
        </w:rPr>
        <w:t>),</w:t>
      </w:r>
      <w:r w:rsidR="00C6478C" w:rsidRPr="00ED4D49">
        <w:rPr>
          <w:rFonts w:eastAsia="Times New Roman"/>
          <w:color w:val="000000"/>
          <w:lang w:val="en-US" w:eastAsia="hr-HR"/>
        </w:rPr>
        <w:t xml:space="preserve"> </w:t>
      </w:r>
      <w:proofErr w:type="spellStart"/>
      <w:r w:rsidR="0024745F" w:rsidRPr="00ED4D49">
        <w:rPr>
          <w:rFonts w:eastAsia="Times New Roman"/>
          <w:color w:val="000000"/>
          <w:lang w:val="en-US" w:eastAsia="hr-HR"/>
        </w:rPr>
        <w:t>rudd</w:t>
      </w:r>
      <w:proofErr w:type="spellEnd"/>
      <w:r w:rsidR="00C6478C" w:rsidRPr="00ED4D49">
        <w:rPr>
          <w:rFonts w:eastAsia="Times New Roman"/>
          <w:color w:val="000000"/>
          <w:lang w:val="en-US" w:eastAsia="hr-HR"/>
        </w:rPr>
        <w:t xml:space="preserve"> </w:t>
      </w:r>
      <w:r w:rsidR="0024745F" w:rsidRPr="00ED4D49">
        <w:rPr>
          <w:rFonts w:eastAsia="Times New Roman"/>
          <w:color w:val="000000"/>
          <w:lang w:val="en-US" w:eastAsia="hr-HR"/>
        </w:rPr>
        <w:t>roach</w:t>
      </w:r>
      <w:r w:rsidR="00C6478C" w:rsidRPr="00ED4D49">
        <w:rPr>
          <w:rFonts w:eastAsia="Times New Roman"/>
          <w:color w:val="000000"/>
          <w:lang w:val="en-US" w:eastAsia="hr-HR"/>
        </w:rPr>
        <w:t xml:space="preserve"> </w:t>
      </w:r>
      <w:r w:rsidR="0024745F" w:rsidRPr="00ED4D49">
        <w:rPr>
          <w:rFonts w:eastAsia="Times New Roman"/>
          <w:color w:val="000000"/>
          <w:lang w:val="en-US" w:eastAsia="hr-HR"/>
        </w:rPr>
        <w:t>(</w:t>
      </w:r>
      <w:proofErr w:type="spellStart"/>
      <w:r w:rsidR="0024745F" w:rsidRPr="00ED4D49">
        <w:rPr>
          <w:rFonts w:eastAsia="Times New Roman"/>
          <w:i/>
          <w:color w:val="000000"/>
          <w:lang w:val="en-US" w:eastAsia="hr-HR"/>
        </w:rPr>
        <w:t>Scardinius</w:t>
      </w:r>
      <w:proofErr w:type="spellEnd"/>
      <w:r w:rsidR="00C6478C" w:rsidRPr="00ED4D49">
        <w:rPr>
          <w:rFonts w:eastAsia="Times New Roman"/>
          <w:i/>
          <w:color w:val="000000"/>
          <w:lang w:val="en-US" w:eastAsia="hr-HR"/>
        </w:rPr>
        <w:t xml:space="preserve"> </w:t>
      </w:r>
      <w:r w:rsidR="0024745F" w:rsidRPr="00ED4D49">
        <w:rPr>
          <w:rFonts w:eastAsia="Times New Roman"/>
          <w:i/>
          <w:color w:val="000000"/>
          <w:lang w:val="en-US" w:eastAsia="hr-HR"/>
        </w:rPr>
        <w:t>erythrophthalmus</w:t>
      </w:r>
      <w:r w:rsidR="0024745F" w:rsidRPr="00ED4D49">
        <w:rPr>
          <w:rFonts w:eastAsia="Times New Roman"/>
          <w:color w:val="000000"/>
          <w:lang w:val="en-US" w:eastAsia="hr-HR"/>
        </w:rPr>
        <w:t>),</w:t>
      </w:r>
      <w:r w:rsidR="00C6478C" w:rsidRPr="00ED4D49">
        <w:rPr>
          <w:rFonts w:eastAsia="Times New Roman"/>
          <w:color w:val="000000"/>
          <w:lang w:val="en-US" w:eastAsia="hr-HR"/>
        </w:rPr>
        <w:t xml:space="preserve"> </w:t>
      </w:r>
      <w:r w:rsidR="0024745F" w:rsidRPr="00ED4D49">
        <w:rPr>
          <w:rFonts w:eastAsia="Times New Roman"/>
          <w:color w:val="000000"/>
          <w:lang w:val="en-US" w:eastAsia="hr-HR"/>
        </w:rPr>
        <w:t>bleak</w:t>
      </w:r>
      <w:r w:rsidR="00C6478C" w:rsidRPr="00ED4D49">
        <w:rPr>
          <w:rFonts w:eastAsia="Times New Roman"/>
          <w:color w:val="000000"/>
          <w:lang w:val="en-US" w:eastAsia="hr-HR"/>
        </w:rPr>
        <w:t xml:space="preserve"> </w:t>
      </w:r>
      <w:r w:rsidR="0024745F" w:rsidRPr="00ED4D49">
        <w:rPr>
          <w:rFonts w:eastAsia="Times New Roman"/>
          <w:color w:val="000000"/>
          <w:lang w:val="en-US" w:eastAsia="hr-HR"/>
        </w:rPr>
        <w:t>(</w:t>
      </w:r>
      <w:proofErr w:type="spellStart"/>
      <w:r w:rsidR="0024745F" w:rsidRPr="00ED4D49">
        <w:rPr>
          <w:rFonts w:eastAsia="Times New Roman"/>
          <w:i/>
          <w:color w:val="000000"/>
          <w:lang w:val="en-US" w:eastAsia="hr-HR"/>
        </w:rPr>
        <w:t>Alburnus</w:t>
      </w:r>
      <w:proofErr w:type="spellEnd"/>
      <w:r w:rsidR="00C6478C" w:rsidRPr="00ED4D49">
        <w:rPr>
          <w:rFonts w:eastAsia="Times New Roman"/>
          <w:i/>
          <w:color w:val="000000"/>
          <w:lang w:val="en-US" w:eastAsia="hr-HR"/>
        </w:rPr>
        <w:t xml:space="preserve"> </w:t>
      </w:r>
      <w:proofErr w:type="spellStart"/>
      <w:r w:rsidR="0024745F" w:rsidRPr="00ED4D49">
        <w:rPr>
          <w:rFonts w:eastAsia="Times New Roman"/>
          <w:i/>
          <w:color w:val="000000"/>
          <w:lang w:val="en-US" w:eastAsia="hr-HR"/>
        </w:rPr>
        <w:t>alburnus</w:t>
      </w:r>
      <w:proofErr w:type="spellEnd"/>
      <w:r w:rsidR="0024745F" w:rsidRPr="00ED4D49">
        <w:rPr>
          <w:rFonts w:eastAsia="Times New Roman"/>
          <w:color w:val="000000"/>
          <w:lang w:val="en-US" w:eastAsia="hr-HR"/>
        </w:rPr>
        <w:t>),</w:t>
      </w:r>
      <w:r w:rsidR="00C6478C" w:rsidRPr="00ED4D49">
        <w:rPr>
          <w:rFonts w:eastAsia="Times New Roman"/>
          <w:color w:val="000000"/>
          <w:lang w:val="en-US" w:eastAsia="hr-HR"/>
        </w:rPr>
        <w:t xml:space="preserve"> </w:t>
      </w:r>
      <w:r w:rsidR="0024745F" w:rsidRPr="00ED4D49">
        <w:rPr>
          <w:rFonts w:eastAsia="Times New Roman"/>
          <w:color w:val="000000"/>
          <w:lang w:val="en-US" w:eastAsia="hr-HR"/>
        </w:rPr>
        <w:t>asp</w:t>
      </w:r>
      <w:r w:rsidR="00C6478C" w:rsidRPr="00ED4D49">
        <w:rPr>
          <w:rFonts w:eastAsia="Times New Roman"/>
          <w:color w:val="000000"/>
          <w:lang w:val="en-US" w:eastAsia="hr-HR"/>
        </w:rPr>
        <w:t xml:space="preserve"> </w:t>
      </w:r>
      <w:r w:rsidR="0024745F" w:rsidRPr="00ED4D49">
        <w:rPr>
          <w:rFonts w:eastAsia="Times New Roman"/>
          <w:color w:val="000000"/>
          <w:spacing w:val="2"/>
          <w:lang w:val="en-US" w:eastAsia="hr-HR"/>
        </w:rPr>
        <w:t>(</w:t>
      </w:r>
      <w:r w:rsidR="0024745F" w:rsidRPr="00ED4D49">
        <w:rPr>
          <w:rFonts w:eastAsia="Times New Roman"/>
          <w:i/>
          <w:color w:val="000000"/>
          <w:lang w:val="en-US" w:eastAsia="hr-HR"/>
        </w:rPr>
        <w:t>Leuciscus</w:t>
      </w:r>
      <w:r w:rsidR="00C6478C" w:rsidRPr="00ED4D49">
        <w:rPr>
          <w:rFonts w:eastAsia="Times New Roman"/>
          <w:i/>
          <w:color w:val="000000"/>
          <w:lang w:val="en-US" w:eastAsia="hr-HR"/>
        </w:rPr>
        <w:t xml:space="preserve"> </w:t>
      </w:r>
      <w:proofErr w:type="spellStart"/>
      <w:r w:rsidR="0024745F" w:rsidRPr="00ED4D49">
        <w:rPr>
          <w:rFonts w:eastAsia="Times New Roman"/>
          <w:i/>
          <w:color w:val="000000"/>
          <w:lang w:val="en-US" w:eastAsia="hr-HR"/>
        </w:rPr>
        <w:t>aspius</w:t>
      </w:r>
      <w:proofErr w:type="spellEnd"/>
      <w:r w:rsidR="0024745F" w:rsidRPr="00ED4D49">
        <w:rPr>
          <w:rFonts w:eastAsia="Times New Roman"/>
          <w:color w:val="000000"/>
          <w:lang w:val="en-US" w:eastAsia="hr-HR"/>
        </w:rPr>
        <w:t>),</w:t>
      </w:r>
      <w:r w:rsidR="00C6478C" w:rsidRPr="00ED4D49">
        <w:rPr>
          <w:rFonts w:eastAsia="Times New Roman"/>
          <w:color w:val="000000"/>
          <w:lang w:val="en-US" w:eastAsia="hr-HR"/>
        </w:rPr>
        <w:t xml:space="preserve"> </w:t>
      </w:r>
      <w:r w:rsidR="0024745F" w:rsidRPr="00ED4D49">
        <w:rPr>
          <w:rFonts w:eastAsia="Times New Roman"/>
          <w:color w:val="000000"/>
          <w:lang w:val="en-US" w:eastAsia="hr-HR"/>
        </w:rPr>
        <w:t>vimba</w:t>
      </w:r>
      <w:r w:rsidR="00C6478C" w:rsidRPr="00ED4D49">
        <w:rPr>
          <w:rFonts w:eastAsia="Times New Roman"/>
          <w:color w:val="000000"/>
          <w:lang w:val="en-US" w:eastAsia="hr-HR"/>
        </w:rPr>
        <w:t xml:space="preserve"> </w:t>
      </w:r>
      <w:r w:rsidR="0024745F" w:rsidRPr="00ED4D49">
        <w:rPr>
          <w:rFonts w:eastAsia="Times New Roman"/>
          <w:color w:val="000000"/>
          <w:lang w:val="en-US" w:eastAsia="hr-HR"/>
        </w:rPr>
        <w:t>bream</w:t>
      </w:r>
      <w:r w:rsidR="00C6478C" w:rsidRPr="00ED4D49">
        <w:rPr>
          <w:rFonts w:eastAsia="Times New Roman"/>
          <w:color w:val="000000"/>
          <w:lang w:val="en-US" w:eastAsia="hr-HR"/>
        </w:rPr>
        <w:t xml:space="preserve"> </w:t>
      </w:r>
      <w:r w:rsidR="0024745F" w:rsidRPr="00ED4D49">
        <w:rPr>
          <w:rFonts w:eastAsia="Times New Roman"/>
          <w:color w:val="000000"/>
          <w:lang w:val="en-US" w:eastAsia="hr-HR"/>
        </w:rPr>
        <w:t>fish</w:t>
      </w:r>
      <w:r w:rsidR="00C6478C" w:rsidRPr="00ED4D49">
        <w:rPr>
          <w:rFonts w:eastAsia="Times New Roman"/>
          <w:color w:val="000000"/>
          <w:lang w:val="en-US" w:eastAsia="hr-HR"/>
        </w:rPr>
        <w:t xml:space="preserve"> </w:t>
      </w:r>
      <w:r w:rsidR="0024745F" w:rsidRPr="00ED4D49">
        <w:rPr>
          <w:rFonts w:eastAsia="Times New Roman"/>
          <w:color w:val="000000"/>
          <w:spacing w:val="2"/>
          <w:lang w:val="en-US" w:eastAsia="hr-HR"/>
        </w:rPr>
        <w:t>(</w:t>
      </w:r>
      <w:r w:rsidR="0024745F" w:rsidRPr="00ED4D49">
        <w:rPr>
          <w:rFonts w:eastAsia="Times New Roman"/>
          <w:i/>
          <w:color w:val="000000"/>
          <w:lang w:val="en-US" w:eastAsia="hr-HR"/>
        </w:rPr>
        <w:t>Vimba</w:t>
      </w:r>
      <w:r w:rsidR="00C6478C" w:rsidRPr="00ED4D49">
        <w:rPr>
          <w:rFonts w:eastAsia="Times New Roman"/>
          <w:i/>
          <w:color w:val="000000"/>
          <w:lang w:val="en-US" w:eastAsia="hr-HR"/>
        </w:rPr>
        <w:t xml:space="preserve"> </w:t>
      </w:r>
      <w:r w:rsidR="0024745F" w:rsidRPr="00ED4D49">
        <w:rPr>
          <w:rFonts w:eastAsia="Times New Roman"/>
          <w:i/>
          <w:color w:val="000000"/>
          <w:lang w:val="en-US" w:eastAsia="hr-HR"/>
        </w:rPr>
        <w:t>vimba</w:t>
      </w:r>
      <w:r w:rsidR="0024745F" w:rsidRPr="00ED4D49">
        <w:rPr>
          <w:rFonts w:eastAsia="Times New Roman"/>
          <w:color w:val="000000"/>
          <w:lang w:val="en-US" w:eastAsia="hr-HR"/>
        </w:rPr>
        <w:t>), European</w:t>
      </w:r>
      <w:r w:rsidR="00C6478C" w:rsidRPr="00ED4D49">
        <w:rPr>
          <w:rFonts w:eastAsia="Times New Roman"/>
          <w:color w:val="000000"/>
          <w:lang w:val="en-US" w:eastAsia="hr-HR"/>
        </w:rPr>
        <w:t xml:space="preserve"> </w:t>
      </w:r>
      <w:r w:rsidR="0024745F" w:rsidRPr="00ED4D49">
        <w:rPr>
          <w:rFonts w:eastAsia="Times New Roman"/>
          <w:color w:val="000000"/>
          <w:lang w:val="en-US" w:eastAsia="hr-HR"/>
        </w:rPr>
        <w:t>perch (</w:t>
      </w:r>
      <w:proofErr w:type="spellStart"/>
      <w:r w:rsidR="0024745F" w:rsidRPr="00ED4D49">
        <w:rPr>
          <w:rFonts w:eastAsia="Times New Roman"/>
          <w:i/>
          <w:color w:val="000000"/>
          <w:lang w:val="en-US" w:eastAsia="hr-HR"/>
        </w:rPr>
        <w:t>Perca</w:t>
      </w:r>
      <w:proofErr w:type="spellEnd"/>
      <w:r w:rsidR="00C6478C" w:rsidRPr="00ED4D49">
        <w:rPr>
          <w:rFonts w:eastAsia="Times New Roman"/>
          <w:i/>
          <w:color w:val="000000"/>
          <w:lang w:val="en-US" w:eastAsia="hr-HR"/>
        </w:rPr>
        <w:t xml:space="preserve"> </w:t>
      </w:r>
      <w:proofErr w:type="spellStart"/>
      <w:r w:rsidR="0024745F" w:rsidRPr="00ED4D49">
        <w:rPr>
          <w:rFonts w:eastAsia="Times New Roman"/>
          <w:i/>
          <w:color w:val="000000"/>
          <w:lang w:val="en-US" w:eastAsia="hr-HR"/>
        </w:rPr>
        <w:t>gluviatilis</w:t>
      </w:r>
      <w:proofErr w:type="spellEnd"/>
      <w:r w:rsidR="0024745F" w:rsidRPr="00ED4D49">
        <w:rPr>
          <w:rFonts w:eastAsia="Times New Roman"/>
          <w:color w:val="000000"/>
          <w:lang w:val="en-US" w:eastAsia="hr-HR"/>
        </w:rPr>
        <w:t>)</w:t>
      </w:r>
      <w:r w:rsidR="00C6478C" w:rsidRPr="00ED4D49">
        <w:rPr>
          <w:rFonts w:eastAsia="Times New Roman"/>
          <w:color w:val="000000"/>
          <w:lang w:val="en-US" w:eastAsia="hr-HR"/>
        </w:rPr>
        <w:t xml:space="preserve"> </w:t>
      </w:r>
      <w:r w:rsidR="0024745F" w:rsidRPr="00ED4D49">
        <w:rPr>
          <w:rFonts w:eastAsia="Times New Roman"/>
          <w:color w:val="000000"/>
          <w:lang w:val="en-US" w:eastAsia="hr-HR"/>
        </w:rPr>
        <w:t>and</w:t>
      </w:r>
      <w:r w:rsidR="00C6478C" w:rsidRPr="00ED4D49">
        <w:rPr>
          <w:rFonts w:eastAsia="Times New Roman"/>
          <w:color w:val="000000"/>
          <w:lang w:val="en-US" w:eastAsia="hr-HR"/>
        </w:rPr>
        <w:t xml:space="preserve"> </w:t>
      </w:r>
      <w:r w:rsidR="0024745F" w:rsidRPr="00ED4D49">
        <w:rPr>
          <w:rFonts w:eastAsia="Times New Roman"/>
          <w:color w:val="000000"/>
          <w:lang w:val="en-US" w:eastAsia="hr-HR"/>
        </w:rPr>
        <w:t>pike-perch</w:t>
      </w:r>
      <w:r w:rsidR="00C6478C" w:rsidRPr="00ED4D49">
        <w:rPr>
          <w:rFonts w:eastAsia="Times New Roman"/>
          <w:color w:val="000000"/>
          <w:lang w:val="en-US" w:eastAsia="hr-HR"/>
        </w:rPr>
        <w:t xml:space="preserve"> </w:t>
      </w:r>
      <w:r w:rsidR="0024745F" w:rsidRPr="00ED4D49">
        <w:rPr>
          <w:rFonts w:eastAsia="Times New Roman"/>
          <w:color w:val="000000"/>
          <w:lang w:val="en-US" w:eastAsia="hr-HR"/>
        </w:rPr>
        <w:t>zander (</w:t>
      </w:r>
      <w:r w:rsidR="0024745F" w:rsidRPr="00ED4D49">
        <w:rPr>
          <w:rFonts w:eastAsia="Times New Roman"/>
          <w:i/>
          <w:color w:val="000000"/>
          <w:lang w:val="en-US" w:eastAsia="hr-HR"/>
        </w:rPr>
        <w:t>Sander</w:t>
      </w:r>
      <w:r w:rsidR="00C6478C" w:rsidRPr="00ED4D49">
        <w:rPr>
          <w:rFonts w:eastAsia="Times New Roman"/>
          <w:i/>
          <w:color w:val="000000"/>
          <w:lang w:val="en-US" w:eastAsia="hr-HR"/>
        </w:rPr>
        <w:t xml:space="preserve"> </w:t>
      </w:r>
      <w:proofErr w:type="spellStart"/>
      <w:r w:rsidR="0024745F" w:rsidRPr="00ED4D49">
        <w:rPr>
          <w:rFonts w:eastAsia="Times New Roman"/>
          <w:i/>
          <w:color w:val="000000"/>
          <w:lang w:val="en-US" w:eastAsia="hr-HR"/>
        </w:rPr>
        <w:t>lucioperca</w:t>
      </w:r>
      <w:proofErr w:type="spellEnd"/>
      <w:r w:rsidR="0024745F" w:rsidRPr="00ED4D49">
        <w:rPr>
          <w:rFonts w:eastAsia="Times New Roman"/>
          <w:color w:val="000000"/>
          <w:lang w:val="en-US" w:eastAsia="hr-HR"/>
        </w:rPr>
        <w:t xml:space="preserve">), </w:t>
      </w:r>
      <w:proofErr w:type="spellStart"/>
      <w:r w:rsidR="0024745F" w:rsidRPr="00ED4D49">
        <w:rPr>
          <w:rFonts w:eastAsia="Times New Roman"/>
          <w:color w:val="000000"/>
          <w:lang w:val="en-US" w:eastAsia="hr-HR"/>
        </w:rPr>
        <w:t>wels</w:t>
      </w:r>
      <w:proofErr w:type="spellEnd"/>
      <w:r w:rsidR="0024745F" w:rsidRPr="00ED4D49">
        <w:rPr>
          <w:rFonts w:eastAsia="Times New Roman"/>
          <w:color w:val="000000"/>
          <w:lang w:val="en-US" w:eastAsia="hr-HR"/>
        </w:rPr>
        <w:t xml:space="preserve"> catfish</w:t>
      </w:r>
      <w:r w:rsidR="00C6478C" w:rsidRPr="00ED4D49">
        <w:rPr>
          <w:rFonts w:eastAsia="Times New Roman"/>
          <w:color w:val="000000"/>
          <w:lang w:val="en-US" w:eastAsia="hr-HR"/>
        </w:rPr>
        <w:t xml:space="preserve"> </w:t>
      </w:r>
      <w:r w:rsidR="0024745F" w:rsidRPr="00ED4D49">
        <w:rPr>
          <w:rFonts w:eastAsia="Times New Roman"/>
          <w:color w:val="000000"/>
          <w:lang w:val="en-US" w:eastAsia="hr-HR"/>
        </w:rPr>
        <w:t>(</w:t>
      </w:r>
      <w:proofErr w:type="spellStart"/>
      <w:r w:rsidR="0024745F" w:rsidRPr="00ED4D49">
        <w:rPr>
          <w:rFonts w:eastAsia="Times New Roman"/>
          <w:color w:val="000000"/>
          <w:lang w:val="en-US" w:eastAsia="hr-HR"/>
        </w:rPr>
        <w:t>Silurus</w:t>
      </w:r>
      <w:proofErr w:type="spellEnd"/>
      <w:r w:rsidR="00C6478C" w:rsidRPr="00ED4D49">
        <w:rPr>
          <w:rFonts w:eastAsia="Times New Roman"/>
          <w:color w:val="000000"/>
          <w:lang w:val="en-US" w:eastAsia="hr-HR"/>
        </w:rPr>
        <w:t xml:space="preserve"> </w:t>
      </w:r>
      <w:proofErr w:type="spellStart"/>
      <w:r w:rsidR="0024745F" w:rsidRPr="00ED4D49">
        <w:rPr>
          <w:rFonts w:eastAsia="Times New Roman"/>
          <w:color w:val="000000"/>
          <w:lang w:val="en-US" w:eastAsia="hr-HR"/>
        </w:rPr>
        <w:t>glanis</w:t>
      </w:r>
      <w:proofErr w:type="spellEnd"/>
      <w:r w:rsidR="0024745F" w:rsidRPr="00ED4D49">
        <w:rPr>
          <w:rFonts w:eastAsia="Times New Roman"/>
          <w:color w:val="000000"/>
          <w:lang w:val="en-US" w:eastAsia="hr-HR"/>
        </w:rPr>
        <w:t xml:space="preserve">), </w:t>
      </w:r>
      <w:proofErr w:type="spellStart"/>
      <w:r w:rsidR="0024745F" w:rsidRPr="00ED4D49">
        <w:rPr>
          <w:rFonts w:eastAsia="Times New Roman"/>
          <w:color w:val="000000"/>
          <w:lang w:val="en-US" w:eastAsia="hr-HR"/>
        </w:rPr>
        <w:t>american</w:t>
      </w:r>
      <w:proofErr w:type="spellEnd"/>
      <w:r w:rsidR="00C6478C" w:rsidRPr="00ED4D49">
        <w:rPr>
          <w:rFonts w:eastAsia="Times New Roman"/>
          <w:color w:val="000000"/>
          <w:lang w:val="en-US" w:eastAsia="hr-HR"/>
        </w:rPr>
        <w:t xml:space="preserve"> </w:t>
      </w:r>
      <w:r w:rsidR="0024745F" w:rsidRPr="00ED4D49">
        <w:rPr>
          <w:rFonts w:eastAsia="Times New Roman"/>
          <w:color w:val="000000"/>
          <w:lang w:val="en-US" w:eastAsia="hr-HR"/>
        </w:rPr>
        <w:t xml:space="preserve">catfish </w:t>
      </w:r>
      <w:r w:rsidR="0024745F" w:rsidRPr="00ED4D49">
        <w:rPr>
          <w:rFonts w:eastAsia="Times New Roman"/>
          <w:color w:val="000000"/>
          <w:spacing w:val="2"/>
          <w:lang w:val="en-US" w:eastAsia="hr-HR"/>
        </w:rPr>
        <w:t>(</w:t>
      </w:r>
      <w:r w:rsidR="0024745F" w:rsidRPr="00ED4D49">
        <w:rPr>
          <w:rFonts w:eastAsia="Times New Roman"/>
          <w:i/>
          <w:color w:val="000000"/>
          <w:lang w:val="en-US" w:eastAsia="hr-HR"/>
        </w:rPr>
        <w:t>Ameiurus nebulosus</w:t>
      </w:r>
      <w:r w:rsidR="0024745F" w:rsidRPr="00ED4D49">
        <w:rPr>
          <w:rFonts w:eastAsia="Times New Roman"/>
          <w:color w:val="000000"/>
          <w:lang w:val="en-US" w:eastAsia="hr-HR"/>
        </w:rPr>
        <w:t xml:space="preserve">), pike </w:t>
      </w:r>
      <w:r w:rsidR="0024745F" w:rsidRPr="00ED4D49">
        <w:rPr>
          <w:rFonts w:eastAsia="Times New Roman"/>
          <w:color w:val="000000"/>
          <w:spacing w:val="2"/>
          <w:lang w:val="en-US" w:eastAsia="hr-HR"/>
        </w:rPr>
        <w:t>(</w:t>
      </w:r>
      <w:r w:rsidR="0024745F" w:rsidRPr="00ED4D49">
        <w:rPr>
          <w:rFonts w:eastAsia="Times New Roman"/>
          <w:i/>
          <w:color w:val="000000"/>
          <w:lang w:val="en-US" w:eastAsia="hr-HR"/>
        </w:rPr>
        <w:t xml:space="preserve">Esox </w:t>
      </w:r>
      <w:proofErr w:type="spellStart"/>
      <w:r w:rsidR="0024745F" w:rsidRPr="00ED4D49">
        <w:rPr>
          <w:rFonts w:eastAsia="Times New Roman"/>
          <w:i/>
          <w:color w:val="000000"/>
          <w:lang w:val="en-US" w:eastAsia="hr-HR"/>
        </w:rPr>
        <w:t>lucius</w:t>
      </w:r>
      <w:proofErr w:type="spellEnd"/>
      <w:r w:rsidR="0024745F" w:rsidRPr="00ED4D49">
        <w:rPr>
          <w:rFonts w:eastAsia="Times New Roman"/>
          <w:color w:val="000000"/>
          <w:lang w:val="en-US" w:eastAsia="hr-HR"/>
        </w:rPr>
        <w:t>), monkey goby (</w:t>
      </w:r>
      <w:proofErr w:type="spellStart"/>
      <w:r w:rsidR="0024745F" w:rsidRPr="00ED4D49">
        <w:rPr>
          <w:rFonts w:eastAsia="Times New Roman"/>
          <w:i/>
          <w:color w:val="000000"/>
          <w:lang w:val="en-US" w:eastAsia="hr-HR"/>
        </w:rPr>
        <w:t>Neogobius</w:t>
      </w:r>
      <w:proofErr w:type="spellEnd"/>
      <w:r w:rsidR="0024745F" w:rsidRPr="00ED4D49">
        <w:rPr>
          <w:rFonts w:eastAsia="Times New Roman"/>
          <w:i/>
          <w:color w:val="000000"/>
          <w:lang w:val="en-US" w:eastAsia="hr-HR"/>
        </w:rPr>
        <w:t xml:space="preserve"> </w:t>
      </w:r>
      <w:proofErr w:type="spellStart"/>
      <w:r w:rsidR="0024745F" w:rsidRPr="00ED4D49">
        <w:rPr>
          <w:rFonts w:eastAsia="Times New Roman"/>
          <w:i/>
          <w:color w:val="000000"/>
          <w:lang w:val="en-US" w:eastAsia="hr-HR"/>
        </w:rPr>
        <w:t>fluviatilis</w:t>
      </w:r>
      <w:proofErr w:type="spellEnd"/>
      <w:r w:rsidR="0024745F" w:rsidRPr="00ED4D49">
        <w:rPr>
          <w:rFonts w:eastAsia="Times New Roman"/>
          <w:color w:val="000000"/>
          <w:lang w:val="en-US" w:eastAsia="hr-HR"/>
        </w:rPr>
        <w:t xml:space="preserve">). Based on </w:t>
      </w:r>
      <w:r w:rsidR="00544666" w:rsidRPr="00ED4D49">
        <w:rPr>
          <w:rFonts w:eastAsia="Times New Roman"/>
          <w:color w:val="000000"/>
          <w:lang w:val="en-US" w:eastAsia="hr-HR"/>
        </w:rPr>
        <w:t xml:space="preserve">the </w:t>
      </w:r>
      <w:r w:rsidR="0024745F" w:rsidRPr="00ED4D49">
        <w:rPr>
          <w:rFonts w:eastAsia="Times New Roman"/>
          <w:color w:val="000000"/>
          <w:lang w:val="en-US" w:eastAsia="hr-HR"/>
        </w:rPr>
        <w:t>results</w:t>
      </w:r>
      <w:r w:rsidR="00773E1A" w:rsidRPr="00ED4D49">
        <w:rPr>
          <w:rFonts w:eastAsia="Times New Roman"/>
          <w:color w:val="000000"/>
          <w:lang w:val="en-US" w:eastAsia="hr-HR"/>
        </w:rPr>
        <w:t>,</w:t>
      </w:r>
      <w:r w:rsidR="0024745F" w:rsidRPr="00ED4D49">
        <w:rPr>
          <w:rFonts w:eastAsia="Times New Roman"/>
          <w:color w:val="000000"/>
          <w:lang w:val="en-US" w:eastAsia="hr-HR"/>
        </w:rPr>
        <w:t xml:space="preserve"> it </w:t>
      </w:r>
      <w:r w:rsidR="00773E1A" w:rsidRPr="00ED4D49">
        <w:rPr>
          <w:rFonts w:eastAsia="Times New Roman"/>
          <w:color w:val="000000"/>
          <w:lang w:val="en-US" w:eastAsia="hr-HR"/>
        </w:rPr>
        <w:t>was</w:t>
      </w:r>
      <w:r w:rsidR="0024745F" w:rsidRPr="00ED4D49">
        <w:rPr>
          <w:rFonts w:eastAsia="Times New Roman"/>
          <w:color w:val="000000"/>
          <w:lang w:val="en-US" w:eastAsia="hr-HR"/>
        </w:rPr>
        <w:t xml:space="preserve"> concluded that the number of fish species </w:t>
      </w:r>
      <w:r w:rsidR="00773E1A" w:rsidRPr="00ED4D49">
        <w:rPr>
          <w:rFonts w:eastAsia="Times New Roman"/>
          <w:color w:val="000000"/>
          <w:lang w:val="en-US" w:eastAsia="hr-HR"/>
        </w:rPr>
        <w:t>in</w:t>
      </w:r>
      <w:r w:rsidR="0024745F" w:rsidRPr="00ED4D49">
        <w:rPr>
          <w:rFonts w:eastAsia="Times New Roman"/>
          <w:color w:val="000000"/>
          <w:lang w:val="en-US" w:eastAsia="hr-HR"/>
        </w:rPr>
        <w:t xml:space="preserve"> the Sava River has declined in</w:t>
      </w:r>
      <w:r w:rsidR="00773E1A" w:rsidRPr="00ED4D49">
        <w:rPr>
          <w:rFonts w:eastAsia="Times New Roman"/>
          <w:color w:val="000000"/>
          <w:lang w:val="en-US" w:eastAsia="hr-HR"/>
        </w:rPr>
        <w:t xml:space="preserve"> the</w:t>
      </w:r>
      <w:r w:rsidR="0024745F" w:rsidRPr="00ED4D49">
        <w:rPr>
          <w:rFonts w:eastAsia="Times New Roman"/>
          <w:color w:val="000000"/>
          <w:lang w:val="en-US" w:eastAsia="hr-HR"/>
        </w:rPr>
        <w:t xml:space="preserve"> last 20 years. </w:t>
      </w:r>
    </w:p>
    <w:p w14:paraId="6DE51D33" w14:textId="3A2D2270" w:rsidR="0024745F" w:rsidRPr="00ED4D49" w:rsidRDefault="0024745F" w:rsidP="0024745F">
      <w:pPr>
        <w:jc w:val="both"/>
        <w:rPr>
          <w:i/>
          <w:lang w:val="en-US"/>
        </w:rPr>
      </w:pPr>
      <w:r w:rsidRPr="00ED4D49">
        <w:rPr>
          <w:lang w:val="en-US"/>
        </w:rPr>
        <w:t xml:space="preserve">Based on the data from </w:t>
      </w:r>
      <w:r w:rsidR="00A03FFB" w:rsidRPr="00ED4D49">
        <w:rPr>
          <w:lang w:val="en-US"/>
        </w:rPr>
        <w:t>t</w:t>
      </w:r>
      <w:r w:rsidRPr="00ED4D49">
        <w:rPr>
          <w:lang w:val="en-US"/>
        </w:rPr>
        <w:t>he Sava River Basin Analysis Report</w:t>
      </w:r>
      <w:r w:rsidRPr="00ED4D49">
        <w:rPr>
          <w:rStyle w:val="FootnoteReference"/>
          <w:color w:val="auto"/>
          <w:lang w:val="en-US"/>
        </w:rPr>
        <w:footnoteReference w:id="21"/>
      </w:r>
      <w:r w:rsidR="00A03FFB" w:rsidRPr="00ED4D49">
        <w:rPr>
          <w:lang w:val="en-US"/>
        </w:rPr>
        <w:t>,</w:t>
      </w:r>
      <w:r w:rsidRPr="00ED4D49">
        <w:rPr>
          <w:lang w:val="en-US"/>
        </w:rPr>
        <w:t xml:space="preserve"> ichthyologists are </w:t>
      </w:r>
      <w:r w:rsidR="00A03FFB" w:rsidRPr="00ED4D49">
        <w:rPr>
          <w:lang w:val="en-US"/>
        </w:rPr>
        <w:t>particularly</w:t>
      </w:r>
      <w:r w:rsidRPr="00ED4D49">
        <w:rPr>
          <w:lang w:val="en-US"/>
        </w:rPr>
        <w:t xml:space="preserve"> worried about the impact of invasive species in rivers of the </w:t>
      </w:r>
      <w:r w:rsidR="00A03FFB" w:rsidRPr="00ED4D49">
        <w:rPr>
          <w:lang w:val="en-US"/>
        </w:rPr>
        <w:t>SRB</w:t>
      </w:r>
      <w:r w:rsidRPr="00ED4D49">
        <w:rPr>
          <w:lang w:val="en-US"/>
        </w:rPr>
        <w:t>, where numerous endemic fish species</w:t>
      </w:r>
      <w:r w:rsidR="00A03FFB" w:rsidRPr="00ED4D49">
        <w:rPr>
          <w:lang w:val="en-US"/>
        </w:rPr>
        <w:t xml:space="preserve"> live</w:t>
      </w:r>
      <w:r w:rsidRPr="00ED4D49">
        <w:rPr>
          <w:lang w:val="en-US"/>
        </w:rPr>
        <w:t xml:space="preserve">. Some species </w:t>
      </w:r>
      <w:r w:rsidR="00A03FFB" w:rsidRPr="00ED4D49">
        <w:rPr>
          <w:lang w:val="en-US"/>
        </w:rPr>
        <w:t>were</w:t>
      </w:r>
      <w:r w:rsidRPr="00ED4D49">
        <w:rPr>
          <w:lang w:val="en-US"/>
        </w:rPr>
        <w:t xml:space="preserve"> introduced accidentally, and some were introduced </w:t>
      </w:r>
      <w:r w:rsidR="00A03FFB" w:rsidRPr="00ED4D49">
        <w:rPr>
          <w:lang w:val="en-US"/>
        </w:rPr>
        <w:t>with</w:t>
      </w:r>
      <w:r w:rsidR="00544666" w:rsidRPr="00ED4D49">
        <w:rPr>
          <w:lang w:val="en-US"/>
        </w:rPr>
        <w:t xml:space="preserve"> the ultimate purpose of </w:t>
      </w:r>
      <w:r w:rsidRPr="00ED4D49">
        <w:rPr>
          <w:lang w:val="en-US"/>
        </w:rPr>
        <w:t xml:space="preserve">fish-stocking. </w:t>
      </w:r>
      <w:proofErr w:type="spellStart"/>
      <w:r w:rsidRPr="00ED4D49">
        <w:rPr>
          <w:lang w:val="en-US"/>
        </w:rPr>
        <w:t>Alochtonic</w:t>
      </w:r>
      <w:proofErr w:type="spellEnd"/>
      <w:r w:rsidRPr="00ED4D49">
        <w:rPr>
          <w:lang w:val="en-US"/>
        </w:rPr>
        <w:t xml:space="preserve"> species of fish that have been noticed are: </w:t>
      </w:r>
      <w:r w:rsidRPr="00ED4D49">
        <w:rPr>
          <w:i/>
          <w:lang w:val="en-US"/>
        </w:rPr>
        <w:t xml:space="preserve">Carassius auratus </w:t>
      </w:r>
      <w:proofErr w:type="spellStart"/>
      <w:r w:rsidRPr="00ED4D49">
        <w:rPr>
          <w:i/>
          <w:lang w:val="en-US"/>
        </w:rPr>
        <w:t>gibelio</w:t>
      </w:r>
      <w:proofErr w:type="spellEnd"/>
      <w:r w:rsidRPr="00ED4D49">
        <w:rPr>
          <w:i/>
          <w:lang w:val="en-US"/>
        </w:rPr>
        <w:t xml:space="preserve">, Carassius auratus </w:t>
      </w:r>
      <w:proofErr w:type="spellStart"/>
      <w:r w:rsidRPr="00ED4D49">
        <w:rPr>
          <w:i/>
          <w:lang w:val="en-US"/>
        </w:rPr>
        <w:t>auratus</w:t>
      </w:r>
      <w:proofErr w:type="spellEnd"/>
      <w:r w:rsidRPr="00ED4D49">
        <w:rPr>
          <w:i/>
          <w:lang w:val="en-US"/>
        </w:rPr>
        <w:t xml:space="preserve">, </w:t>
      </w:r>
      <w:proofErr w:type="spellStart"/>
      <w:r w:rsidRPr="00ED4D49">
        <w:rPr>
          <w:i/>
          <w:lang w:val="en-US"/>
        </w:rPr>
        <w:t>Ctenopharyngodon</w:t>
      </w:r>
      <w:proofErr w:type="spellEnd"/>
      <w:r w:rsidRPr="00ED4D49">
        <w:rPr>
          <w:i/>
          <w:lang w:val="en-US"/>
        </w:rPr>
        <w:t xml:space="preserve"> </w:t>
      </w:r>
      <w:proofErr w:type="spellStart"/>
      <w:r w:rsidRPr="00ED4D49">
        <w:rPr>
          <w:i/>
          <w:lang w:val="en-US"/>
        </w:rPr>
        <w:t>idella</w:t>
      </w:r>
      <w:proofErr w:type="spellEnd"/>
      <w:r w:rsidRPr="00ED4D49">
        <w:rPr>
          <w:i/>
          <w:lang w:val="en-US"/>
        </w:rPr>
        <w:t xml:space="preserve">, Ameiurus nebulosus, Lepomis </w:t>
      </w:r>
      <w:proofErr w:type="spellStart"/>
      <w:r w:rsidRPr="00ED4D49">
        <w:rPr>
          <w:i/>
          <w:lang w:val="en-US"/>
        </w:rPr>
        <w:t>gibossus</w:t>
      </w:r>
      <w:proofErr w:type="spellEnd"/>
      <w:r w:rsidRPr="00ED4D49">
        <w:rPr>
          <w:i/>
          <w:lang w:val="en-US"/>
        </w:rPr>
        <w:t>.</w:t>
      </w:r>
    </w:p>
    <w:p w14:paraId="099E129C" w14:textId="67F5FE83" w:rsidR="0024745F" w:rsidRPr="00ED4D49" w:rsidRDefault="0024745F" w:rsidP="0024745F">
      <w:pPr>
        <w:jc w:val="both"/>
        <w:rPr>
          <w:rFonts w:cs="Calibri"/>
          <w:szCs w:val="20"/>
          <w:lang w:val="en-US"/>
        </w:rPr>
      </w:pPr>
      <w:r w:rsidRPr="00ED4D49">
        <w:rPr>
          <w:rFonts w:cs="Calibri"/>
          <w:szCs w:val="20"/>
          <w:lang w:val="en-US"/>
        </w:rPr>
        <w:t xml:space="preserve">It has been known that interstitial fauna in the Sava </w:t>
      </w:r>
      <w:r w:rsidR="00544666" w:rsidRPr="00ED4D49">
        <w:rPr>
          <w:rFonts w:cs="Calibri"/>
          <w:szCs w:val="20"/>
          <w:lang w:val="en-US"/>
        </w:rPr>
        <w:t xml:space="preserve">River </w:t>
      </w:r>
      <w:r w:rsidRPr="00ED4D49">
        <w:rPr>
          <w:rFonts w:cs="Calibri"/>
          <w:szCs w:val="20"/>
          <w:lang w:val="en-US"/>
        </w:rPr>
        <w:t xml:space="preserve">consists of species of snails, crustaceans and other aquatic species that are barely visible to the naked eye. Due to </w:t>
      </w:r>
      <w:r w:rsidR="00A03FFB" w:rsidRPr="00ED4D49">
        <w:rPr>
          <w:rFonts w:cs="Calibri"/>
          <w:szCs w:val="20"/>
          <w:lang w:val="en-US"/>
        </w:rPr>
        <w:t xml:space="preserve">the </w:t>
      </w:r>
      <w:r w:rsidRPr="00ED4D49">
        <w:rPr>
          <w:rFonts w:cs="Calibri"/>
          <w:szCs w:val="20"/>
          <w:lang w:val="en-US"/>
        </w:rPr>
        <w:t xml:space="preserve">extreme environment, they are often endemic and more vulnerable to extinction than bird or fish species. So far, very little is </w:t>
      </w:r>
      <w:r w:rsidRPr="00ED4D49">
        <w:rPr>
          <w:lang w:val="en-US"/>
        </w:rPr>
        <w:t>known</w:t>
      </w:r>
      <w:r w:rsidRPr="00ED4D49">
        <w:rPr>
          <w:rFonts w:cs="Calibri"/>
          <w:szCs w:val="20"/>
          <w:lang w:val="en-US"/>
        </w:rPr>
        <w:t xml:space="preserve"> about the interstitial fauna of the Sava</w:t>
      </w:r>
      <w:r w:rsidR="00544666" w:rsidRPr="00ED4D49">
        <w:rPr>
          <w:rFonts w:cs="Calibri"/>
          <w:szCs w:val="20"/>
          <w:lang w:val="en-US"/>
        </w:rPr>
        <w:t xml:space="preserve"> River</w:t>
      </w:r>
      <w:r w:rsidRPr="00ED4D49">
        <w:rPr>
          <w:rStyle w:val="FootnoteReference"/>
          <w:rFonts w:cs="Calibri"/>
          <w:color w:val="auto"/>
          <w:szCs w:val="20"/>
          <w:lang w:val="en-US"/>
        </w:rPr>
        <w:footnoteReference w:id="22"/>
      </w:r>
      <w:r w:rsidRPr="00ED4D49">
        <w:rPr>
          <w:rFonts w:cs="Calibri"/>
          <w:szCs w:val="20"/>
          <w:lang w:val="en-US"/>
        </w:rPr>
        <w:t>.</w:t>
      </w:r>
    </w:p>
    <w:p w14:paraId="00BFA727" w14:textId="77777777" w:rsidR="0024745F" w:rsidRPr="00ED4D49" w:rsidRDefault="0024745F" w:rsidP="0024745F">
      <w:pPr>
        <w:jc w:val="both"/>
        <w:rPr>
          <w:rFonts w:cs="Calibri"/>
          <w:b/>
          <w:szCs w:val="20"/>
          <w:lang w:val="en-US"/>
        </w:rPr>
      </w:pPr>
      <w:r w:rsidRPr="00ED4D49">
        <w:rPr>
          <w:rFonts w:cs="Calibri"/>
          <w:b/>
          <w:szCs w:val="20"/>
          <w:lang w:val="en-US"/>
        </w:rPr>
        <w:t>Protected area</w:t>
      </w:r>
    </w:p>
    <w:p w14:paraId="5F99A5FE" w14:textId="6FAAD943" w:rsidR="0024745F" w:rsidRPr="00ED4D49" w:rsidRDefault="0024745F" w:rsidP="0024745F">
      <w:pPr>
        <w:jc w:val="both"/>
        <w:rPr>
          <w:lang w:val="en-US" w:eastAsia="hr-HR"/>
        </w:rPr>
      </w:pPr>
      <w:r w:rsidRPr="00ED4D49">
        <w:rPr>
          <w:szCs w:val="20"/>
          <w:lang w:val="en-US"/>
        </w:rPr>
        <w:t xml:space="preserve">There are five protected areas along the Sava River in </w:t>
      </w:r>
      <w:r w:rsidR="001A6DE7" w:rsidRPr="00ED4D49">
        <w:rPr>
          <w:szCs w:val="20"/>
          <w:lang w:val="en-US"/>
        </w:rPr>
        <w:t>RS</w:t>
      </w:r>
      <w:r w:rsidRPr="00ED4D49">
        <w:rPr>
          <w:szCs w:val="20"/>
          <w:lang w:val="en-US"/>
        </w:rPr>
        <w:t xml:space="preserve">: one </w:t>
      </w:r>
      <w:r w:rsidR="00A03FFB" w:rsidRPr="00ED4D49">
        <w:rPr>
          <w:szCs w:val="20"/>
          <w:lang w:val="en-US"/>
        </w:rPr>
        <w:t>n</w:t>
      </w:r>
      <w:r w:rsidRPr="00ED4D49">
        <w:rPr>
          <w:szCs w:val="20"/>
          <w:lang w:val="en-US"/>
        </w:rPr>
        <w:t xml:space="preserve">ational park, two </w:t>
      </w:r>
      <w:r w:rsidR="00A03FFB" w:rsidRPr="00ED4D49">
        <w:rPr>
          <w:szCs w:val="20"/>
          <w:lang w:val="en-US"/>
        </w:rPr>
        <w:t>n</w:t>
      </w:r>
      <w:r w:rsidRPr="00ED4D49">
        <w:rPr>
          <w:szCs w:val="20"/>
          <w:lang w:val="en-US"/>
        </w:rPr>
        <w:t xml:space="preserve">ature monuments, and two </w:t>
      </w:r>
      <w:r w:rsidR="00A03FFB" w:rsidRPr="00ED4D49">
        <w:rPr>
          <w:szCs w:val="20"/>
          <w:lang w:val="en-US"/>
        </w:rPr>
        <w:t>s</w:t>
      </w:r>
      <w:r w:rsidRPr="00ED4D49">
        <w:rPr>
          <w:szCs w:val="20"/>
          <w:lang w:val="en-US"/>
        </w:rPr>
        <w:t xml:space="preserve">pecial nature reserves. Table </w:t>
      </w:r>
      <w:r w:rsidRPr="00ED4D49">
        <w:rPr>
          <w:szCs w:val="20"/>
          <w:lang w:val="en-US"/>
        </w:rPr>
        <w:fldChar w:fldCharType="begin"/>
      </w:r>
      <w:r w:rsidRPr="00ED4D49">
        <w:rPr>
          <w:szCs w:val="20"/>
          <w:lang w:val="en-US"/>
        </w:rPr>
        <w:instrText xml:space="preserve"> REF T5 \h  \* MERGEFORMAT </w:instrText>
      </w:r>
      <w:r w:rsidRPr="00ED4D49">
        <w:rPr>
          <w:szCs w:val="20"/>
          <w:lang w:val="en-US"/>
        </w:rPr>
      </w:r>
      <w:r w:rsidRPr="00ED4D49">
        <w:rPr>
          <w:szCs w:val="20"/>
          <w:lang w:val="en-US"/>
        </w:rPr>
        <w:fldChar w:fldCharType="separate"/>
      </w:r>
      <w:r w:rsidR="00F60130" w:rsidRPr="00ED4D49">
        <w:rPr>
          <w:szCs w:val="20"/>
          <w:lang w:val="en-US"/>
        </w:rPr>
        <w:t>8</w:t>
      </w:r>
      <w:r w:rsidRPr="00ED4D49">
        <w:rPr>
          <w:szCs w:val="20"/>
          <w:lang w:val="en-US"/>
        </w:rPr>
        <w:fldChar w:fldCharType="end"/>
      </w:r>
      <w:r w:rsidRPr="00ED4D49">
        <w:rPr>
          <w:szCs w:val="20"/>
          <w:lang w:val="en-US"/>
        </w:rPr>
        <w:t xml:space="preserve"> present</w:t>
      </w:r>
      <w:r w:rsidR="00A03FFB" w:rsidRPr="00ED4D49">
        <w:rPr>
          <w:szCs w:val="20"/>
          <w:lang w:val="en-US"/>
        </w:rPr>
        <w:t>s the</w:t>
      </w:r>
      <w:r w:rsidRPr="00ED4D49">
        <w:rPr>
          <w:szCs w:val="20"/>
          <w:lang w:val="en-US"/>
        </w:rPr>
        <w:t xml:space="preserve"> IUCN categorization and size of the protected areas, while </w:t>
      </w:r>
      <w:r w:rsidR="002B5FB1" w:rsidRPr="00ED4D49">
        <w:rPr>
          <w:szCs w:val="20"/>
          <w:lang w:val="en-US"/>
        </w:rPr>
        <w:fldChar w:fldCharType="begin"/>
      </w:r>
      <w:r w:rsidR="002B5FB1" w:rsidRPr="00ED4D49">
        <w:rPr>
          <w:szCs w:val="20"/>
          <w:lang w:val="en-US"/>
        </w:rPr>
        <w:instrText xml:space="preserve"> REF _Ref21098464 \h  \* MERGEFORMAT </w:instrText>
      </w:r>
      <w:r w:rsidR="002B5FB1" w:rsidRPr="00ED4D49">
        <w:rPr>
          <w:szCs w:val="20"/>
          <w:lang w:val="en-US"/>
        </w:rPr>
      </w:r>
      <w:r w:rsidR="002B5FB1" w:rsidRPr="00ED4D49">
        <w:rPr>
          <w:szCs w:val="20"/>
          <w:lang w:val="en-US"/>
        </w:rPr>
        <w:fldChar w:fldCharType="separate"/>
      </w:r>
      <w:r w:rsidR="00F60130" w:rsidRPr="00ED4D49">
        <w:rPr>
          <w:szCs w:val="20"/>
          <w:lang w:val="en-US"/>
        </w:rPr>
        <w:t>Figure 8</w:t>
      </w:r>
      <w:r w:rsidR="002B5FB1" w:rsidRPr="00ED4D49">
        <w:rPr>
          <w:szCs w:val="20"/>
          <w:lang w:val="en-US"/>
        </w:rPr>
        <w:fldChar w:fldCharType="end"/>
      </w:r>
      <w:r w:rsidRPr="00ED4D49">
        <w:rPr>
          <w:szCs w:val="20"/>
          <w:lang w:val="en-US"/>
        </w:rPr>
        <w:t xml:space="preserve"> shows </w:t>
      </w:r>
      <w:r w:rsidR="00A03FFB" w:rsidRPr="00ED4D49">
        <w:rPr>
          <w:szCs w:val="20"/>
          <w:lang w:val="en-US"/>
        </w:rPr>
        <w:t xml:space="preserve">the </w:t>
      </w:r>
      <w:r w:rsidRPr="00ED4D49">
        <w:rPr>
          <w:szCs w:val="20"/>
          <w:lang w:val="en-US"/>
        </w:rPr>
        <w:t>position of protected area</w:t>
      </w:r>
      <w:r w:rsidR="00A03FFB" w:rsidRPr="00ED4D49">
        <w:rPr>
          <w:szCs w:val="20"/>
          <w:lang w:val="en-US"/>
        </w:rPr>
        <w:t>s</w:t>
      </w:r>
      <w:r w:rsidRPr="00ED4D49">
        <w:rPr>
          <w:szCs w:val="20"/>
          <w:lang w:val="en-US"/>
        </w:rPr>
        <w:t xml:space="preserve">. </w:t>
      </w:r>
      <w:r w:rsidR="00827A60" w:rsidRPr="00ED4D49">
        <w:rPr>
          <w:lang w:val="en-US" w:eastAsia="hr-HR"/>
        </w:rPr>
        <w:t>It should be emphasized that the national legislation related to protected areas in</w:t>
      </w:r>
      <w:r w:rsidR="00827A60" w:rsidRPr="00ED4D49">
        <w:rPr>
          <w:szCs w:val="20"/>
          <w:lang w:val="en-US" w:eastAsia="hr-HR"/>
        </w:rPr>
        <w:t xml:space="preserve"> </w:t>
      </w:r>
      <w:r w:rsidR="00827A60" w:rsidRPr="00ED4D49">
        <w:rPr>
          <w:lang w:val="en-US" w:eastAsia="hr-HR"/>
        </w:rPr>
        <w:t xml:space="preserve">non-EU countries within the </w:t>
      </w:r>
      <w:r w:rsidR="00A03FFB" w:rsidRPr="00ED4D49">
        <w:rPr>
          <w:lang w:val="en-US" w:eastAsia="hr-HR"/>
        </w:rPr>
        <w:t>SRB</w:t>
      </w:r>
      <w:r w:rsidR="00827A60" w:rsidRPr="00ED4D49">
        <w:rPr>
          <w:lang w:val="en-US" w:eastAsia="hr-HR"/>
        </w:rPr>
        <w:t xml:space="preserve"> is not fully harmonized with the EU standards.</w:t>
      </w:r>
    </w:p>
    <w:p w14:paraId="6B3EBB97" w14:textId="77777777" w:rsidR="005D565A" w:rsidRPr="00ED4D49" w:rsidRDefault="005D565A" w:rsidP="0024745F">
      <w:pPr>
        <w:pStyle w:val="Caption"/>
        <w:jc w:val="both"/>
        <w:rPr>
          <w:b w:val="0"/>
          <w:i/>
          <w:color w:val="2F5496"/>
          <w:sz w:val="16"/>
          <w:szCs w:val="16"/>
        </w:rPr>
      </w:pPr>
      <w:bookmarkStart w:id="80" w:name="_Toc28188033"/>
    </w:p>
    <w:p w14:paraId="2481E5D4" w14:textId="18FC0116" w:rsidR="0024745F" w:rsidRPr="00ED4D49" w:rsidRDefault="0024745F" w:rsidP="0024745F">
      <w:pPr>
        <w:pStyle w:val="Caption"/>
        <w:jc w:val="both"/>
        <w:rPr>
          <w:b w:val="0"/>
          <w:i/>
          <w:sz w:val="16"/>
          <w:szCs w:val="16"/>
        </w:rPr>
      </w:pPr>
      <w:r w:rsidRPr="00ED4D49">
        <w:rPr>
          <w:b w:val="0"/>
          <w:i/>
          <w:color w:val="2F5496"/>
          <w:sz w:val="16"/>
          <w:szCs w:val="16"/>
        </w:rPr>
        <w:lastRenderedPageBreak/>
        <w:t xml:space="preserve">Table </w:t>
      </w:r>
      <w:bookmarkStart w:id="81" w:name="T5"/>
      <w:r w:rsidRPr="00ED4D49">
        <w:rPr>
          <w:b w:val="0"/>
          <w:i/>
          <w:color w:val="2F5496"/>
          <w:sz w:val="16"/>
          <w:szCs w:val="16"/>
        </w:rPr>
        <w:fldChar w:fldCharType="begin"/>
      </w:r>
      <w:r w:rsidRPr="00ED4D49">
        <w:rPr>
          <w:b w:val="0"/>
          <w:i/>
          <w:color w:val="2F5496"/>
          <w:sz w:val="16"/>
          <w:szCs w:val="16"/>
        </w:rPr>
        <w:instrText xml:space="preserve"> SEQ Table \* ARABIC </w:instrText>
      </w:r>
      <w:r w:rsidRPr="00ED4D49">
        <w:rPr>
          <w:b w:val="0"/>
          <w:i/>
          <w:color w:val="2F5496"/>
          <w:sz w:val="16"/>
          <w:szCs w:val="16"/>
        </w:rPr>
        <w:fldChar w:fldCharType="separate"/>
      </w:r>
      <w:r w:rsidR="00F60130" w:rsidRPr="00ED4D49">
        <w:rPr>
          <w:b w:val="0"/>
          <w:i/>
          <w:noProof/>
          <w:color w:val="2F5496"/>
          <w:sz w:val="16"/>
          <w:szCs w:val="16"/>
        </w:rPr>
        <w:t>8</w:t>
      </w:r>
      <w:r w:rsidRPr="00ED4D49">
        <w:rPr>
          <w:b w:val="0"/>
          <w:i/>
          <w:color w:val="2F5496"/>
          <w:sz w:val="16"/>
          <w:szCs w:val="16"/>
        </w:rPr>
        <w:fldChar w:fldCharType="end"/>
      </w:r>
      <w:bookmarkEnd w:id="81"/>
      <w:r w:rsidRPr="00ED4D49">
        <w:rPr>
          <w:b w:val="0"/>
          <w:i/>
          <w:color w:val="2F5496"/>
          <w:sz w:val="16"/>
          <w:szCs w:val="16"/>
        </w:rPr>
        <w:t>:</w:t>
      </w:r>
      <w:r w:rsidRPr="00ED4D49">
        <w:rPr>
          <w:b w:val="0"/>
          <w:i/>
          <w:sz w:val="16"/>
          <w:szCs w:val="16"/>
        </w:rPr>
        <w:t xml:space="preserve"> </w:t>
      </w:r>
      <w:r w:rsidRPr="00ED4D49">
        <w:rPr>
          <w:b w:val="0"/>
          <w:i/>
          <w:color w:val="auto"/>
          <w:sz w:val="16"/>
          <w:szCs w:val="16"/>
        </w:rPr>
        <w:t>Protected areas along Sava River in BiH (RS)</w:t>
      </w:r>
      <w:bookmarkEnd w:id="80"/>
    </w:p>
    <w:tbl>
      <w:tblPr>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5435"/>
        <w:gridCol w:w="1888"/>
        <w:gridCol w:w="1687"/>
      </w:tblGrid>
      <w:tr w:rsidR="0024745F" w:rsidRPr="00ED4D49" w14:paraId="0B792A25" w14:textId="77777777" w:rsidTr="002B5FB1">
        <w:trPr>
          <w:tblHeader/>
        </w:trPr>
        <w:tc>
          <w:tcPr>
            <w:tcW w:w="3016" w:type="pct"/>
            <w:shd w:val="clear" w:color="auto" w:fill="auto"/>
          </w:tcPr>
          <w:p w14:paraId="265AC6B7" w14:textId="77777777" w:rsidR="0024745F" w:rsidRPr="00ED4D49" w:rsidRDefault="0024745F" w:rsidP="0024745F">
            <w:pPr>
              <w:spacing w:before="0" w:after="0"/>
              <w:ind w:right="144"/>
              <w:jc w:val="both"/>
              <w:rPr>
                <w:rFonts w:cs="Calibri"/>
                <w:color w:val="336699"/>
                <w:sz w:val="16"/>
                <w:szCs w:val="16"/>
                <w:lang w:val="en-US"/>
              </w:rPr>
            </w:pPr>
            <w:r w:rsidRPr="00ED4D49">
              <w:rPr>
                <w:rFonts w:cs="Calibri"/>
                <w:color w:val="336699"/>
                <w:sz w:val="16"/>
                <w:szCs w:val="16"/>
                <w:lang w:val="en-US"/>
              </w:rPr>
              <w:t>Name and type of Protected Area</w:t>
            </w:r>
          </w:p>
        </w:tc>
        <w:tc>
          <w:tcPr>
            <w:tcW w:w="1048" w:type="pct"/>
            <w:shd w:val="clear" w:color="auto" w:fill="auto"/>
          </w:tcPr>
          <w:p w14:paraId="03862603" w14:textId="77777777" w:rsidR="0024745F" w:rsidRPr="00ED4D49" w:rsidRDefault="0024745F" w:rsidP="0024745F">
            <w:pPr>
              <w:spacing w:before="0" w:after="0"/>
              <w:ind w:left="144" w:right="144"/>
              <w:rPr>
                <w:rFonts w:cs="Calibri"/>
                <w:color w:val="336699"/>
                <w:sz w:val="16"/>
                <w:szCs w:val="16"/>
                <w:lang w:val="en-US"/>
              </w:rPr>
            </w:pPr>
            <w:r w:rsidRPr="00ED4D49">
              <w:rPr>
                <w:rFonts w:cs="Calibri"/>
                <w:color w:val="336699"/>
                <w:sz w:val="16"/>
                <w:szCs w:val="16"/>
                <w:lang w:val="en-US"/>
              </w:rPr>
              <w:t>IUCN Status</w:t>
            </w:r>
          </w:p>
        </w:tc>
        <w:tc>
          <w:tcPr>
            <w:tcW w:w="937" w:type="pct"/>
          </w:tcPr>
          <w:p w14:paraId="4C6CF829" w14:textId="77777777" w:rsidR="0024745F" w:rsidRPr="00ED4D49" w:rsidRDefault="0024745F" w:rsidP="0024745F">
            <w:pPr>
              <w:spacing w:before="0" w:after="0"/>
              <w:ind w:left="144" w:right="144"/>
              <w:rPr>
                <w:rFonts w:cs="Calibri"/>
                <w:color w:val="336699"/>
                <w:sz w:val="16"/>
                <w:szCs w:val="16"/>
                <w:lang w:val="en-US"/>
              </w:rPr>
            </w:pPr>
            <w:r w:rsidRPr="00ED4D49">
              <w:rPr>
                <w:rFonts w:cs="Calibri"/>
                <w:color w:val="336699"/>
                <w:sz w:val="16"/>
                <w:szCs w:val="16"/>
                <w:lang w:val="en-US"/>
              </w:rPr>
              <w:t>Size (km</w:t>
            </w:r>
            <w:r w:rsidRPr="00ED4D49">
              <w:rPr>
                <w:rFonts w:cs="Calibri"/>
                <w:color w:val="336699"/>
                <w:sz w:val="16"/>
                <w:szCs w:val="16"/>
                <w:vertAlign w:val="superscript"/>
                <w:lang w:val="en-US"/>
              </w:rPr>
              <w:t>2</w:t>
            </w:r>
            <w:r w:rsidRPr="00ED4D49">
              <w:rPr>
                <w:rFonts w:cs="Calibri"/>
                <w:color w:val="336699"/>
                <w:sz w:val="16"/>
                <w:szCs w:val="16"/>
                <w:lang w:val="en-US"/>
              </w:rPr>
              <w:t>)</w:t>
            </w:r>
          </w:p>
        </w:tc>
      </w:tr>
      <w:tr w:rsidR="0024745F" w:rsidRPr="00ED4D49" w14:paraId="7131542A" w14:textId="77777777" w:rsidTr="0024745F">
        <w:tc>
          <w:tcPr>
            <w:tcW w:w="5000" w:type="pct"/>
            <w:gridSpan w:val="3"/>
            <w:shd w:val="clear" w:color="auto" w:fill="auto"/>
          </w:tcPr>
          <w:p w14:paraId="42527A79" w14:textId="77777777" w:rsidR="0024745F" w:rsidRPr="00ED4D49" w:rsidRDefault="0024745F" w:rsidP="0024745F">
            <w:pPr>
              <w:jc w:val="both"/>
              <w:rPr>
                <w:rFonts w:cs="Calibri"/>
                <w:sz w:val="16"/>
                <w:szCs w:val="16"/>
                <w:lang w:val="en-US"/>
              </w:rPr>
            </w:pPr>
            <w:proofErr w:type="spellStart"/>
            <w:r w:rsidRPr="00ED4D49">
              <w:rPr>
                <w:rFonts w:cs="Calibri"/>
                <w:b/>
                <w:sz w:val="16"/>
                <w:szCs w:val="16"/>
                <w:lang w:val="en-US"/>
              </w:rPr>
              <w:t>Republika</w:t>
            </w:r>
            <w:proofErr w:type="spellEnd"/>
            <w:r w:rsidRPr="00ED4D49">
              <w:rPr>
                <w:rFonts w:cs="Calibri"/>
                <w:b/>
                <w:sz w:val="16"/>
                <w:szCs w:val="16"/>
                <w:lang w:val="en-US"/>
              </w:rPr>
              <w:t xml:space="preserve"> Srpska</w:t>
            </w:r>
          </w:p>
        </w:tc>
      </w:tr>
      <w:tr w:rsidR="0024745F" w:rsidRPr="00ED4D49" w14:paraId="410FD280" w14:textId="77777777" w:rsidTr="002B5FB1">
        <w:tc>
          <w:tcPr>
            <w:tcW w:w="3016" w:type="pct"/>
            <w:shd w:val="clear" w:color="auto" w:fill="auto"/>
          </w:tcPr>
          <w:p w14:paraId="0C76B1CB" w14:textId="77777777" w:rsidR="0024745F" w:rsidRPr="00ED4D49" w:rsidRDefault="0024745F" w:rsidP="0024745F">
            <w:pPr>
              <w:jc w:val="both"/>
              <w:rPr>
                <w:rFonts w:cs="Calibri"/>
                <w:sz w:val="16"/>
                <w:szCs w:val="16"/>
                <w:lang w:val="en-US"/>
              </w:rPr>
            </w:pPr>
            <w:proofErr w:type="gramStart"/>
            <w:r w:rsidRPr="00ED4D49">
              <w:rPr>
                <w:rFonts w:cs="Calibri"/>
                <w:sz w:val="16"/>
                <w:szCs w:val="16"/>
                <w:lang w:val="en-US"/>
              </w:rPr>
              <w:t>National park</w:t>
            </w:r>
            <w:proofErr w:type="gramEnd"/>
            <w:r w:rsidRPr="00ED4D49">
              <w:rPr>
                <w:rFonts w:cs="Calibri"/>
                <w:sz w:val="16"/>
                <w:szCs w:val="16"/>
                <w:lang w:val="en-US"/>
              </w:rPr>
              <w:t xml:space="preserve"> </w:t>
            </w:r>
            <w:proofErr w:type="spellStart"/>
            <w:r w:rsidRPr="00ED4D49">
              <w:rPr>
                <w:rFonts w:cs="Calibri"/>
                <w:sz w:val="16"/>
                <w:szCs w:val="16"/>
                <w:lang w:val="en-US"/>
              </w:rPr>
              <w:t>Kozara</w:t>
            </w:r>
            <w:proofErr w:type="spellEnd"/>
            <w:r w:rsidRPr="00ED4D49">
              <w:rPr>
                <w:rFonts w:cs="Calibri"/>
                <w:sz w:val="16"/>
                <w:szCs w:val="16"/>
                <w:lang w:val="en-US"/>
              </w:rPr>
              <w:t xml:space="preserve"> </w:t>
            </w:r>
          </w:p>
        </w:tc>
        <w:tc>
          <w:tcPr>
            <w:tcW w:w="1048" w:type="pct"/>
            <w:shd w:val="clear" w:color="auto" w:fill="auto"/>
          </w:tcPr>
          <w:p w14:paraId="408F66D4" w14:textId="77777777" w:rsidR="0024745F" w:rsidRPr="00ED4D49" w:rsidRDefault="0024745F" w:rsidP="0024745F">
            <w:pPr>
              <w:jc w:val="both"/>
              <w:rPr>
                <w:rFonts w:cs="Calibri"/>
                <w:sz w:val="16"/>
                <w:szCs w:val="16"/>
                <w:lang w:val="en-US"/>
              </w:rPr>
            </w:pPr>
            <w:r w:rsidRPr="00ED4D49">
              <w:rPr>
                <w:rFonts w:cs="Calibri"/>
                <w:sz w:val="16"/>
                <w:szCs w:val="16"/>
                <w:lang w:val="en-US"/>
              </w:rPr>
              <w:t>II</w:t>
            </w:r>
          </w:p>
        </w:tc>
        <w:tc>
          <w:tcPr>
            <w:tcW w:w="937" w:type="pct"/>
          </w:tcPr>
          <w:p w14:paraId="5868A1B0" w14:textId="77777777" w:rsidR="0024745F" w:rsidRPr="00ED4D49" w:rsidRDefault="0024745F" w:rsidP="0024745F">
            <w:pPr>
              <w:jc w:val="both"/>
              <w:rPr>
                <w:rFonts w:cs="Calibri"/>
                <w:sz w:val="16"/>
                <w:szCs w:val="16"/>
                <w:lang w:val="en-US"/>
              </w:rPr>
            </w:pPr>
            <w:r w:rsidRPr="00ED4D49">
              <w:rPr>
                <w:rFonts w:cs="Calibri"/>
                <w:sz w:val="16"/>
                <w:szCs w:val="16"/>
                <w:lang w:val="en-US"/>
              </w:rPr>
              <w:t>39.07</w:t>
            </w:r>
          </w:p>
        </w:tc>
      </w:tr>
      <w:tr w:rsidR="0024745F" w:rsidRPr="00ED4D49" w14:paraId="0989DEB2" w14:textId="77777777" w:rsidTr="002B5FB1">
        <w:tc>
          <w:tcPr>
            <w:tcW w:w="3016" w:type="pct"/>
            <w:shd w:val="clear" w:color="auto" w:fill="auto"/>
          </w:tcPr>
          <w:p w14:paraId="170B521E" w14:textId="39F43D0D" w:rsidR="0024745F" w:rsidRPr="00ED4D49" w:rsidRDefault="0024745F" w:rsidP="0024745F">
            <w:pPr>
              <w:jc w:val="both"/>
              <w:rPr>
                <w:rFonts w:cs="Calibri"/>
                <w:sz w:val="16"/>
                <w:szCs w:val="16"/>
                <w:lang w:val="en-US"/>
              </w:rPr>
            </w:pPr>
            <w:r w:rsidRPr="00ED4D49">
              <w:rPr>
                <w:rFonts w:cs="Calibri"/>
                <w:sz w:val="16"/>
                <w:szCs w:val="16"/>
                <w:lang w:val="en-US"/>
              </w:rPr>
              <w:t xml:space="preserve">Nature monument </w:t>
            </w:r>
            <w:proofErr w:type="spellStart"/>
            <w:r w:rsidRPr="00ED4D49">
              <w:rPr>
                <w:rFonts w:cs="Calibri"/>
                <w:sz w:val="16"/>
                <w:szCs w:val="16"/>
                <w:lang w:val="en-US"/>
              </w:rPr>
              <w:t>Rastu</w:t>
            </w:r>
            <w:r w:rsidR="001A6DE7" w:rsidRPr="00ED4D49">
              <w:rPr>
                <w:rFonts w:cs="Calibri"/>
                <w:sz w:val="16"/>
                <w:szCs w:val="16"/>
                <w:lang w:val="en-US"/>
              </w:rPr>
              <w:t>s</w:t>
            </w:r>
            <w:r w:rsidRPr="00ED4D49">
              <w:rPr>
                <w:rFonts w:cs="Calibri"/>
                <w:sz w:val="16"/>
                <w:szCs w:val="16"/>
                <w:lang w:val="en-US"/>
              </w:rPr>
              <w:t>a</w:t>
            </w:r>
            <w:proofErr w:type="spellEnd"/>
            <w:r w:rsidRPr="00ED4D49">
              <w:rPr>
                <w:rFonts w:cs="Calibri"/>
                <w:sz w:val="16"/>
                <w:szCs w:val="16"/>
                <w:lang w:val="en-US"/>
              </w:rPr>
              <w:t xml:space="preserve"> Cave </w:t>
            </w:r>
          </w:p>
        </w:tc>
        <w:tc>
          <w:tcPr>
            <w:tcW w:w="1048" w:type="pct"/>
            <w:shd w:val="clear" w:color="auto" w:fill="auto"/>
          </w:tcPr>
          <w:p w14:paraId="285A05AB" w14:textId="77777777" w:rsidR="0024745F" w:rsidRPr="00ED4D49" w:rsidRDefault="0024745F" w:rsidP="0024745F">
            <w:pPr>
              <w:jc w:val="both"/>
              <w:rPr>
                <w:rFonts w:cs="Calibri"/>
                <w:sz w:val="16"/>
                <w:szCs w:val="16"/>
                <w:lang w:val="en-US"/>
              </w:rPr>
            </w:pPr>
            <w:r w:rsidRPr="00ED4D49">
              <w:rPr>
                <w:rFonts w:cs="Calibri"/>
                <w:sz w:val="16"/>
                <w:szCs w:val="16"/>
                <w:lang w:val="en-US"/>
              </w:rPr>
              <w:t>III</w:t>
            </w:r>
          </w:p>
        </w:tc>
        <w:tc>
          <w:tcPr>
            <w:tcW w:w="937" w:type="pct"/>
          </w:tcPr>
          <w:p w14:paraId="20983083" w14:textId="77777777" w:rsidR="0024745F" w:rsidRPr="00ED4D49" w:rsidRDefault="0024745F" w:rsidP="0024745F">
            <w:pPr>
              <w:jc w:val="both"/>
              <w:rPr>
                <w:rFonts w:cs="Calibri"/>
                <w:sz w:val="16"/>
                <w:szCs w:val="16"/>
                <w:lang w:val="en-US"/>
              </w:rPr>
            </w:pPr>
            <w:r w:rsidRPr="00ED4D49">
              <w:rPr>
                <w:rFonts w:cs="Calibri"/>
                <w:sz w:val="16"/>
                <w:szCs w:val="16"/>
                <w:lang w:val="en-US"/>
              </w:rPr>
              <w:t>0.1139</w:t>
            </w:r>
          </w:p>
        </w:tc>
      </w:tr>
      <w:tr w:rsidR="0024745F" w:rsidRPr="00ED4D49" w14:paraId="7597C0C5" w14:textId="77777777" w:rsidTr="002B5FB1">
        <w:tc>
          <w:tcPr>
            <w:tcW w:w="3016" w:type="pct"/>
            <w:shd w:val="clear" w:color="auto" w:fill="auto"/>
          </w:tcPr>
          <w:p w14:paraId="0931029F" w14:textId="76218C49" w:rsidR="0024745F" w:rsidRPr="00ED4D49" w:rsidRDefault="0024745F" w:rsidP="0024745F">
            <w:pPr>
              <w:jc w:val="both"/>
              <w:rPr>
                <w:rFonts w:cs="Calibri"/>
                <w:sz w:val="16"/>
                <w:szCs w:val="16"/>
                <w:lang w:val="en-US"/>
              </w:rPr>
            </w:pPr>
            <w:r w:rsidRPr="00ED4D49">
              <w:rPr>
                <w:rFonts w:cs="Calibri"/>
                <w:sz w:val="16"/>
                <w:szCs w:val="16"/>
                <w:lang w:val="en-US"/>
              </w:rPr>
              <w:t xml:space="preserve">Nature monument </w:t>
            </w:r>
            <w:proofErr w:type="spellStart"/>
            <w:r w:rsidRPr="00ED4D49">
              <w:rPr>
                <w:rFonts w:cs="Calibri"/>
                <w:sz w:val="16"/>
                <w:szCs w:val="16"/>
                <w:lang w:val="en-US"/>
              </w:rPr>
              <w:t>Lijev</w:t>
            </w:r>
            <w:r w:rsidR="001A6DE7" w:rsidRPr="00ED4D49">
              <w:rPr>
                <w:rFonts w:cs="Calibri"/>
                <w:sz w:val="16"/>
                <w:szCs w:val="16"/>
                <w:lang w:val="en-US"/>
              </w:rPr>
              <w:t>c</w:t>
            </w:r>
            <w:r w:rsidRPr="00ED4D49">
              <w:rPr>
                <w:rFonts w:cs="Calibri"/>
                <w:sz w:val="16"/>
                <w:szCs w:val="16"/>
                <w:lang w:val="en-US"/>
              </w:rPr>
              <w:t>anski</w:t>
            </w:r>
            <w:proofErr w:type="spellEnd"/>
            <w:r w:rsidRPr="00ED4D49">
              <w:rPr>
                <w:rFonts w:cs="Calibri"/>
                <w:sz w:val="16"/>
                <w:szCs w:val="16"/>
                <w:lang w:val="en-US"/>
              </w:rPr>
              <w:t xml:space="preserve"> </w:t>
            </w:r>
            <w:proofErr w:type="spellStart"/>
            <w:r w:rsidRPr="00ED4D49">
              <w:rPr>
                <w:rFonts w:cs="Calibri"/>
                <w:sz w:val="16"/>
                <w:szCs w:val="16"/>
                <w:lang w:val="en-US"/>
              </w:rPr>
              <w:t>knez</w:t>
            </w:r>
            <w:proofErr w:type="spellEnd"/>
          </w:p>
        </w:tc>
        <w:tc>
          <w:tcPr>
            <w:tcW w:w="1048" w:type="pct"/>
            <w:shd w:val="clear" w:color="auto" w:fill="auto"/>
          </w:tcPr>
          <w:p w14:paraId="383E4AD4" w14:textId="77777777" w:rsidR="0024745F" w:rsidRPr="00ED4D49" w:rsidRDefault="0024745F" w:rsidP="0024745F">
            <w:pPr>
              <w:jc w:val="both"/>
              <w:rPr>
                <w:rFonts w:cs="Calibri"/>
                <w:sz w:val="16"/>
                <w:szCs w:val="16"/>
                <w:lang w:val="en-US"/>
              </w:rPr>
            </w:pPr>
            <w:r w:rsidRPr="00ED4D49">
              <w:rPr>
                <w:rFonts w:cs="Calibri"/>
                <w:sz w:val="16"/>
                <w:szCs w:val="16"/>
                <w:lang w:val="en-US"/>
              </w:rPr>
              <w:t>III</w:t>
            </w:r>
          </w:p>
        </w:tc>
        <w:tc>
          <w:tcPr>
            <w:tcW w:w="937" w:type="pct"/>
          </w:tcPr>
          <w:p w14:paraId="48C98247" w14:textId="77777777" w:rsidR="0024745F" w:rsidRPr="00ED4D49" w:rsidRDefault="0024745F" w:rsidP="0024745F">
            <w:pPr>
              <w:jc w:val="both"/>
              <w:rPr>
                <w:rFonts w:cs="Calibri"/>
                <w:sz w:val="16"/>
                <w:szCs w:val="16"/>
                <w:lang w:val="en-US"/>
              </w:rPr>
            </w:pPr>
            <w:r w:rsidRPr="00ED4D49">
              <w:rPr>
                <w:rFonts w:cs="Calibri"/>
                <w:sz w:val="16"/>
                <w:szCs w:val="16"/>
                <w:lang w:val="en-US"/>
              </w:rPr>
              <w:t>0.0034</w:t>
            </w:r>
          </w:p>
        </w:tc>
      </w:tr>
      <w:tr w:rsidR="0024745F" w:rsidRPr="00ED4D49" w14:paraId="49FA0AF9" w14:textId="77777777" w:rsidTr="002B5FB1">
        <w:tc>
          <w:tcPr>
            <w:tcW w:w="3016" w:type="pct"/>
            <w:shd w:val="clear" w:color="auto" w:fill="auto"/>
          </w:tcPr>
          <w:p w14:paraId="59CB43BF" w14:textId="75AFAF19" w:rsidR="0024745F" w:rsidRPr="00ED4D49" w:rsidRDefault="0024745F" w:rsidP="0024745F">
            <w:pPr>
              <w:jc w:val="both"/>
              <w:rPr>
                <w:rFonts w:cs="Calibri"/>
                <w:sz w:val="16"/>
                <w:szCs w:val="16"/>
                <w:lang w:val="en-US"/>
              </w:rPr>
            </w:pPr>
            <w:r w:rsidRPr="00ED4D49">
              <w:rPr>
                <w:rFonts w:cs="Calibri"/>
                <w:sz w:val="16"/>
                <w:szCs w:val="16"/>
                <w:lang w:val="en-US"/>
              </w:rPr>
              <w:t xml:space="preserve">Special Nature Reserve </w:t>
            </w:r>
            <w:proofErr w:type="spellStart"/>
            <w:r w:rsidRPr="00ED4D49">
              <w:rPr>
                <w:rFonts w:cs="Calibri"/>
                <w:sz w:val="16"/>
                <w:szCs w:val="16"/>
                <w:lang w:val="en-US"/>
              </w:rPr>
              <w:t>Gromi</w:t>
            </w:r>
            <w:r w:rsidR="001A6DE7" w:rsidRPr="00ED4D49">
              <w:rPr>
                <w:rFonts w:cs="Calibri"/>
                <w:sz w:val="16"/>
                <w:szCs w:val="16"/>
                <w:lang w:val="en-US"/>
              </w:rPr>
              <w:t>z</w:t>
            </w:r>
            <w:r w:rsidRPr="00ED4D49">
              <w:rPr>
                <w:rFonts w:cs="Calibri"/>
                <w:sz w:val="16"/>
                <w:szCs w:val="16"/>
                <w:lang w:val="en-US"/>
              </w:rPr>
              <w:t>elj</w:t>
            </w:r>
            <w:proofErr w:type="spellEnd"/>
            <w:r w:rsidRPr="00ED4D49">
              <w:rPr>
                <w:rFonts w:cs="Calibri"/>
                <w:sz w:val="16"/>
                <w:szCs w:val="16"/>
                <w:lang w:val="en-US"/>
              </w:rPr>
              <w:t xml:space="preserve"> </w:t>
            </w:r>
          </w:p>
        </w:tc>
        <w:tc>
          <w:tcPr>
            <w:tcW w:w="1048" w:type="pct"/>
            <w:shd w:val="clear" w:color="auto" w:fill="auto"/>
          </w:tcPr>
          <w:p w14:paraId="65F2CBBA" w14:textId="77777777" w:rsidR="0024745F" w:rsidRPr="00ED4D49" w:rsidRDefault="0024745F" w:rsidP="0024745F">
            <w:pPr>
              <w:jc w:val="both"/>
              <w:rPr>
                <w:rFonts w:cs="Calibri"/>
                <w:sz w:val="16"/>
                <w:szCs w:val="16"/>
                <w:lang w:val="en-US"/>
              </w:rPr>
            </w:pPr>
            <w:r w:rsidRPr="00ED4D49">
              <w:rPr>
                <w:rFonts w:cs="Calibri"/>
                <w:sz w:val="16"/>
                <w:szCs w:val="16"/>
                <w:lang w:val="en-US"/>
              </w:rPr>
              <w:t>IV</w:t>
            </w:r>
          </w:p>
        </w:tc>
        <w:tc>
          <w:tcPr>
            <w:tcW w:w="937" w:type="pct"/>
          </w:tcPr>
          <w:p w14:paraId="2E7E9A81" w14:textId="77777777" w:rsidR="0024745F" w:rsidRPr="00ED4D49" w:rsidRDefault="0024745F" w:rsidP="0024745F">
            <w:pPr>
              <w:jc w:val="both"/>
              <w:rPr>
                <w:rFonts w:cs="Calibri"/>
                <w:sz w:val="16"/>
                <w:szCs w:val="16"/>
                <w:lang w:val="en-US"/>
              </w:rPr>
            </w:pPr>
            <w:r w:rsidRPr="00ED4D49">
              <w:rPr>
                <w:rFonts w:cs="Calibri"/>
                <w:sz w:val="16"/>
                <w:szCs w:val="16"/>
                <w:lang w:val="en-US"/>
              </w:rPr>
              <w:t>8.313</w:t>
            </w:r>
          </w:p>
        </w:tc>
      </w:tr>
      <w:tr w:rsidR="0024745F" w:rsidRPr="00ED4D49" w14:paraId="76FD74A4" w14:textId="77777777" w:rsidTr="002B5FB1">
        <w:tc>
          <w:tcPr>
            <w:tcW w:w="3016" w:type="pct"/>
            <w:shd w:val="clear" w:color="auto" w:fill="auto"/>
          </w:tcPr>
          <w:p w14:paraId="1883D092" w14:textId="153261F1" w:rsidR="0024745F" w:rsidRPr="00ED4D49" w:rsidRDefault="0024745F" w:rsidP="0024745F">
            <w:pPr>
              <w:jc w:val="both"/>
              <w:rPr>
                <w:rFonts w:cs="Calibri"/>
                <w:sz w:val="16"/>
                <w:szCs w:val="16"/>
                <w:lang w:val="en-US"/>
              </w:rPr>
            </w:pPr>
            <w:r w:rsidRPr="00ED4D49">
              <w:rPr>
                <w:rFonts w:cs="Calibri"/>
                <w:sz w:val="16"/>
                <w:szCs w:val="16"/>
                <w:lang w:val="en-US"/>
              </w:rPr>
              <w:t xml:space="preserve">Special Nature Reserve </w:t>
            </w:r>
            <w:proofErr w:type="spellStart"/>
            <w:r w:rsidRPr="00ED4D49">
              <w:rPr>
                <w:rFonts w:cs="Calibri"/>
                <w:sz w:val="16"/>
                <w:szCs w:val="16"/>
                <w:lang w:val="en-US"/>
              </w:rPr>
              <w:t>Ti</w:t>
            </w:r>
            <w:r w:rsidR="001A6DE7" w:rsidRPr="00ED4D49">
              <w:rPr>
                <w:rFonts w:cs="Calibri"/>
                <w:sz w:val="16"/>
                <w:szCs w:val="16"/>
                <w:lang w:val="en-US"/>
              </w:rPr>
              <w:t>s</w:t>
            </w:r>
            <w:r w:rsidRPr="00ED4D49">
              <w:rPr>
                <w:rFonts w:cs="Calibri"/>
                <w:sz w:val="16"/>
                <w:szCs w:val="16"/>
                <w:lang w:val="en-US"/>
              </w:rPr>
              <w:t>ina</w:t>
            </w:r>
            <w:proofErr w:type="spellEnd"/>
            <w:r w:rsidRPr="00ED4D49">
              <w:rPr>
                <w:rFonts w:cs="Calibri"/>
                <w:sz w:val="16"/>
                <w:szCs w:val="16"/>
                <w:lang w:val="en-US"/>
              </w:rPr>
              <w:t xml:space="preserve"> </w:t>
            </w:r>
          </w:p>
        </w:tc>
        <w:tc>
          <w:tcPr>
            <w:tcW w:w="1048" w:type="pct"/>
            <w:shd w:val="clear" w:color="auto" w:fill="auto"/>
          </w:tcPr>
          <w:p w14:paraId="13E529EA" w14:textId="77777777" w:rsidR="0024745F" w:rsidRPr="00ED4D49" w:rsidRDefault="0024745F" w:rsidP="0024745F">
            <w:pPr>
              <w:jc w:val="both"/>
              <w:rPr>
                <w:rFonts w:cs="Calibri"/>
                <w:sz w:val="16"/>
                <w:szCs w:val="16"/>
                <w:lang w:val="en-US"/>
              </w:rPr>
            </w:pPr>
            <w:r w:rsidRPr="00ED4D49">
              <w:rPr>
                <w:rFonts w:cs="Calibri"/>
                <w:sz w:val="16"/>
                <w:szCs w:val="16"/>
                <w:lang w:val="en-US"/>
              </w:rPr>
              <w:t>IV</w:t>
            </w:r>
          </w:p>
        </w:tc>
        <w:tc>
          <w:tcPr>
            <w:tcW w:w="937" w:type="pct"/>
          </w:tcPr>
          <w:p w14:paraId="5985A450" w14:textId="77777777" w:rsidR="0024745F" w:rsidRPr="00ED4D49" w:rsidRDefault="0024745F" w:rsidP="0024745F">
            <w:pPr>
              <w:jc w:val="both"/>
              <w:rPr>
                <w:rFonts w:cs="Calibri"/>
                <w:sz w:val="16"/>
                <w:szCs w:val="16"/>
                <w:lang w:val="en-US"/>
              </w:rPr>
            </w:pPr>
            <w:r w:rsidRPr="00ED4D49">
              <w:rPr>
                <w:rFonts w:cs="Calibri"/>
                <w:sz w:val="16"/>
                <w:szCs w:val="16"/>
                <w:lang w:val="en-US"/>
              </w:rPr>
              <w:t>1.964</w:t>
            </w:r>
          </w:p>
        </w:tc>
      </w:tr>
    </w:tbl>
    <w:p w14:paraId="07042411" w14:textId="51D361EB" w:rsidR="00BA236B" w:rsidRPr="00ED4D49" w:rsidRDefault="00BA236B" w:rsidP="002B5FB1">
      <w:pPr>
        <w:rPr>
          <w:lang w:val="en-US"/>
        </w:rPr>
      </w:pPr>
      <w:r w:rsidRPr="00ED4D49">
        <w:rPr>
          <w:b/>
          <w:i/>
          <w:noProof/>
          <w:sz w:val="16"/>
          <w:szCs w:val="16"/>
          <w:lang w:val="bs-Latn-BA" w:eastAsia="bs-Latn-BA"/>
        </w:rPr>
        <w:drawing>
          <wp:inline distT="0" distB="0" distL="0" distR="0" wp14:anchorId="356049B7" wp14:editId="00E34D3C">
            <wp:extent cx="5727700" cy="4047490"/>
            <wp:effectExtent l="12700" t="12700" r="12700" b="16510"/>
            <wp:docPr id="4" name="Picture 4" descr="A picture containing text,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Zasticena podrucjaSava.jpg"/>
                    <pic:cNvPicPr/>
                  </pic:nvPicPr>
                  <pic:blipFill>
                    <a:blip r:embed="rId26" cstate="screen">
                      <a:extLst>
                        <a:ext uri="{28A0092B-C50C-407E-A947-70E740481C1C}">
                          <a14:useLocalDpi xmlns:a14="http://schemas.microsoft.com/office/drawing/2010/main"/>
                        </a:ext>
                      </a:extLst>
                    </a:blip>
                    <a:stretch>
                      <a:fillRect/>
                    </a:stretch>
                  </pic:blipFill>
                  <pic:spPr>
                    <a:xfrm>
                      <a:off x="0" y="0"/>
                      <a:ext cx="5727700" cy="4047490"/>
                    </a:xfrm>
                    <a:prstGeom prst="rect">
                      <a:avLst/>
                    </a:prstGeom>
                    <a:ln>
                      <a:solidFill>
                        <a:schemeClr val="tx1"/>
                      </a:solidFill>
                    </a:ln>
                  </pic:spPr>
                </pic:pic>
              </a:graphicData>
            </a:graphic>
          </wp:inline>
        </w:drawing>
      </w:r>
    </w:p>
    <w:p w14:paraId="476762E1" w14:textId="616D3F5F" w:rsidR="00827A60" w:rsidRPr="00ED4D49" w:rsidRDefault="0024745F" w:rsidP="0024745F">
      <w:pPr>
        <w:pStyle w:val="Caption"/>
        <w:rPr>
          <w:b w:val="0"/>
          <w:bCs w:val="0"/>
          <w:i/>
          <w:iCs/>
          <w:color w:val="auto"/>
          <w:sz w:val="16"/>
          <w:szCs w:val="16"/>
        </w:rPr>
      </w:pPr>
      <w:bookmarkStart w:id="82" w:name="_Ref21094033"/>
      <w:bookmarkStart w:id="83" w:name="_Ref21098464"/>
      <w:bookmarkStart w:id="84" w:name="_Toc25582654"/>
      <w:r w:rsidRPr="00ED4D49">
        <w:rPr>
          <w:b w:val="0"/>
          <w:i/>
          <w:sz w:val="16"/>
          <w:szCs w:val="16"/>
        </w:rPr>
        <w:t xml:space="preserve">Figure </w:t>
      </w:r>
      <w:r w:rsidRPr="00ED4D49">
        <w:rPr>
          <w:b w:val="0"/>
          <w:i/>
          <w:sz w:val="16"/>
          <w:szCs w:val="16"/>
        </w:rPr>
        <w:fldChar w:fldCharType="begin"/>
      </w:r>
      <w:r w:rsidRPr="00ED4D49">
        <w:rPr>
          <w:b w:val="0"/>
          <w:i/>
          <w:sz w:val="16"/>
          <w:szCs w:val="16"/>
        </w:rPr>
        <w:instrText xml:space="preserve"> SEQ Figure \* ARABIC </w:instrText>
      </w:r>
      <w:r w:rsidRPr="00ED4D49">
        <w:rPr>
          <w:b w:val="0"/>
          <w:i/>
          <w:sz w:val="16"/>
          <w:szCs w:val="16"/>
        </w:rPr>
        <w:fldChar w:fldCharType="separate"/>
      </w:r>
      <w:r w:rsidR="00F60130" w:rsidRPr="00ED4D49">
        <w:rPr>
          <w:b w:val="0"/>
          <w:i/>
          <w:noProof/>
          <w:sz w:val="16"/>
          <w:szCs w:val="16"/>
        </w:rPr>
        <w:t>8</w:t>
      </w:r>
      <w:r w:rsidRPr="00ED4D49">
        <w:rPr>
          <w:b w:val="0"/>
          <w:i/>
          <w:sz w:val="16"/>
          <w:szCs w:val="16"/>
        </w:rPr>
        <w:fldChar w:fldCharType="end"/>
      </w:r>
      <w:bookmarkEnd w:id="82"/>
      <w:bookmarkEnd w:id="83"/>
      <w:r w:rsidRPr="00ED4D49">
        <w:rPr>
          <w:b w:val="0"/>
          <w:bCs w:val="0"/>
          <w:i/>
          <w:iCs/>
          <w:color w:val="1F3864"/>
          <w:sz w:val="16"/>
          <w:szCs w:val="16"/>
        </w:rPr>
        <w:t xml:space="preserve">: </w:t>
      </w:r>
      <w:r w:rsidR="00827A60" w:rsidRPr="00ED4D49">
        <w:rPr>
          <w:b w:val="0"/>
          <w:bCs w:val="0"/>
          <w:i/>
          <w:iCs/>
          <w:color w:val="auto"/>
          <w:sz w:val="16"/>
          <w:szCs w:val="16"/>
        </w:rPr>
        <w:t>Protected areas in the Sava River Basin in BiH</w:t>
      </w:r>
      <w:bookmarkEnd w:id="84"/>
      <w:r w:rsidR="00827A60" w:rsidRPr="00ED4D49">
        <w:rPr>
          <w:b w:val="0"/>
          <w:bCs w:val="0"/>
          <w:i/>
          <w:iCs/>
          <w:color w:val="auto"/>
          <w:sz w:val="16"/>
          <w:szCs w:val="16"/>
        </w:rPr>
        <w:t xml:space="preserve"> </w:t>
      </w:r>
    </w:p>
    <w:p w14:paraId="0B3DCB44" w14:textId="3AF76B97" w:rsidR="00827A60" w:rsidRPr="00ED4D49" w:rsidRDefault="0024745F" w:rsidP="007E7168">
      <w:pPr>
        <w:pStyle w:val="Caption"/>
        <w:rPr>
          <w:b w:val="0"/>
          <w:bCs w:val="0"/>
          <w:i/>
          <w:iCs/>
          <w:color w:val="auto"/>
          <w:sz w:val="16"/>
          <w:szCs w:val="16"/>
        </w:rPr>
      </w:pPr>
      <w:r w:rsidRPr="00ED4D49">
        <w:rPr>
          <w:b w:val="0"/>
          <w:bCs w:val="0"/>
          <w:i/>
          <w:iCs/>
          <w:color w:val="auto"/>
          <w:sz w:val="16"/>
          <w:szCs w:val="16"/>
        </w:rPr>
        <w:t>(Source: Consultant)</w:t>
      </w:r>
    </w:p>
    <w:p w14:paraId="0D9F963B" w14:textId="2738E89B" w:rsidR="00A0077D" w:rsidRPr="00ED4D49" w:rsidRDefault="0024745F" w:rsidP="00BA236B">
      <w:pPr>
        <w:jc w:val="both"/>
        <w:rPr>
          <w:lang w:val="en-US" w:eastAsia="x-none"/>
        </w:rPr>
      </w:pPr>
      <w:r w:rsidRPr="00ED4D49">
        <w:rPr>
          <w:lang w:val="en-US" w:eastAsia="hr-HR"/>
        </w:rPr>
        <w:t xml:space="preserve">Because of the ecological and cultural value of the wetlands, the Sava riparian countries have designated six sites in the </w:t>
      </w:r>
      <w:r w:rsidR="00A03FFB" w:rsidRPr="00ED4D49">
        <w:rPr>
          <w:lang w:val="en-US" w:eastAsia="hr-HR"/>
        </w:rPr>
        <w:t>SRB</w:t>
      </w:r>
      <w:r w:rsidRPr="00ED4D49">
        <w:rPr>
          <w:lang w:val="en-US" w:eastAsia="hr-HR"/>
        </w:rPr>
        <w:t xml:space="preserve"> according to </w:t>
      </w:r>
      <w:r w:rsidR="00A03FFB" w:rsidRPr="00ED4D49">
        <w:rPr>
          <w:lang w:val="en-US" w:eastAsia="hr-HR"/>
        </w:rPr>
        <w:t>t</w:t>
      </w:r>
      <w:r w:rsidRPr="00ED4D49">
        <w:rPr>
          <w:lang w:val="en-US" w:eastAsia="hr-HR"/>
        </w:rPr>
        <w:t>he</w:t>
      </w:r>
      <w:r w:rsidRPr="00ED4D49">
        <w:rPr>
          <w:i/>
          <w:iCs/>
          <w:lang w:val="en-US" w:eastAsia="hr-HR"/>
        </w:rPr>
        <w:t xml:space="preserve"> Convention on Wetlands of International Importance especially as Waterfowl Habitat</w:t>
      </w:r>
      <w:r w:rsidRPr="00ED4D49">
        <w:rPr>
          <w:lang w:val="en-US" w:eastAsia="hr-HR"/>
        </w:rPr>
        <w:t xml:space="preserve">, or so-called </w:t>
      </w:r>
      <w:r w:rsidRPr="00ED4D49">
        <w:rPr>
          <w:i/>
          <w:iCs/>
          <w:lang w:val="en-US" w:eastAsia="hr-HR"/>
        </w:rPr>
        <w:t xml:space="preserve">Ramsar Convention. </w:t>
      </w:r>
      <w:r w:rsidR="00827A60" w:rsidRPr="00ED4D49">
        <w:rPr>
          <w:szCs w:val="20"/>
          <w:lang w:val="en-US" w:eastAsia="hr-HR"/>
        </w:rPr>
        <w:t xml:space="preserve">One of them is </w:t>
      </w:r>
      <w:proofErr w:type="spellStart"/>
      <w:r w:rsidR="00827A60" w:rsidRPr="00ED4D49">
        <w:rPr>
          <w:szCs w:val="20"/>
          <w:lang w:val="en-US" w:eastAsia="hr-HR"/>
        </w:rPr>
        <w:t>Barda</w:t>
      </w:r>
      <w:r w:rsidR="001A6DE7" w:rsidRPr="00ED4D49">
        <w:rPr>
          <w:szCs w:val="20"/>
          <w:lang w:val="en-US" w:eastAsia="hr-HR"/>
        </w:rPr>
        <w:t>c</w:t>
      </w:r>
      <w:r w:rsidR="00827A60" w:rsidRPr="00ED4D49">
        <w:rPr>
          <w:szCs w:val="20"/>
          <w:lang w:val="en-US" w:eastAsia="hr-HR"/>
        </w:rPr>
        <w:t>a</w:t>
      </w:r>
      <w:proofErr w:type="spellEnd"/>
      <w:r w:rsidR="00827A60" w:rsidRPr="00ED4D49">
        <w:rPr>
          <w:szCs w:val="20"/>
          <w:lang w:val="en-US" w:eastAsia="hr-HR"/>
        </w:rPr>
        <w:t xml:space="preserve">, a </w:t>
      </w:r>
      <w:r w:rsidRPr="00ED4D49">
        <w:rPr>
          <w:szCs w:val="20"/>
          <w:lang w:val="en-US" w:eastAsia="hr-HR"/>
        </w:rPr>
        <w:t>Ramsar site which</w:t>
      </w:r>
      <w:r w:rsidRPr="00ED4D49">
        <w:rPr>
          <w:lang w:val="en-US"/>
        </w:rPr>
        <w:t xml:space="preserve"> is situated in the Sava River floodplain. The fishponds that have been constructed since the early 20th century and further enlarged in the 1960s for irrigation purposes make up for </w:t>
      </w:r>
      <w:r w:rsidR="00827A60" w:rsidRPr="00ED4D49">
        <w:rPr>
          <w:lang w:val="en-US"/>
        </w:rPr>
        <w:t xml:space="preserve">the </w:t>
      </w:r>
      <w:r w:rsidRPr="00ED4D49">
        <w:rPr>
          <w:lang w:val="en-US"/>
        </w:rPr>
        <w:t>half of this site. Its importance is due to the ponds, floodplain forest, meadow and swamp areas that support a range of endangered species, especially birds that use it as a stopover site. It is rich in fish fauna (</w:t>
      </w:r>
      <w:proofErr w:type="spellStart"/>
      <w:r w:rsidRPr="00ED4D49">
        <w:rPr>
          <w:i/>
          <w:lang w:val="en-US"/>
        </w:rPr>
        <w:t>Gymnocephalus</w:t>
      </w:r>
      <w:proofErr w:type="spellEnd"/>
      <w:r w:rsidRPr="00ED4D49">
        <w:rPr>
          <w:i/>
          <w:lang w:val="en-US"/>
        </w:rPr>
        <w:t xml:space="preserve"> </w:t>
      </w:r>
      <w:proofErr w:type="spellStart"/>
      <w:r w:rsidRPr="00ED4D49">
        <w:rPr>
          <w:i/>
          <w:lang w:val="en-US"/>
        </w:rPr>
        <w:t>schraetzer</w:t>
      </w:r>
      <w:proofErr w:type="spellEnd"/>
      <w:r w:rsidRPr="00ED4D49">
        <w:rPr>
          <w:i/>
          <w:lang w:val="en-US"/>
        </w:rPr>
        <w:t xml:space="preserve">, Zingel </w:t>
      </w:r>
      <w:proofErr w:type="spellStart"/>
      <w:r w:rsidRPr="00ED4D49">
        <w:rPr>
          <w:i/>
          <w:lang w:val="en-US"/>
        </w:rPr>
        <w:t>streber</w:t>
      </w:r>
      <w:proofErr w:type="spellEnd"/>
      <w:r w:rsidRPr="00ED4D49">
        <w:rPr>
          <w:lang w:val="en-US"/>
        </w:rPr>
        <w:t xml:space="preserve">) and contains a large range of amphibians such as </w:t>
      </w:r>
      <w:r w:rsidRPr="00ED4D49">
        <w:rPr>
          <w:i/>
          <w:lang w:val="en-US"/>
        </w:rPr>
        <w:t xml:space="preserve">Salamandra </w:t>
      </w:r>
      <w:proofErr w:type="spellStart"/>
      <w:r w:rsidRPr="00ED4D49">
        <w:rPr>
          <w:i/>
          <w:lang w:val="en-US"/>
        </w:rPr>
        <w:t>salamandra</w:t>
      </w:r>
      <w:proofErr w:type="spellEnd"/>
      <w:r w:rsidRPr="00ED4D49">
        <w:rPr>
          <w:lang w:val="en-US"/>
        </w:rPr>
        <w:t xml:space="preserve">, </w:t>
      </w:r>
      <w:r w:rsidRPr="00ED4D49">
        <w:rPr>
          <w:i/>
          <w:lang w:val="en-US"/>
        </w:rPr>
        <w:t xml:space="preserve">Rana </w:t>
      </w:r>
      <w:proofErr w:type="spellStart"/>
      <w:r w:rsidRPr="00ED4D49">
        <w:rPr>
          <w:i/>
          <w:lang w:val="en-US"/>
        </w:rPr>
        <w:t>dalmatina</w:t>
      </w:r>
      <w:proofErr w:type="spellEnd"/>
      <w:r w:rsidRPr="00ED4D49">
        <w:rPr>
          <w:lang w:val="en-US"/>
        </w:rPr>
        <w:t xml:space="preserve">, and the pond tortoise </w:t>
      </w:r>
      <w:r w:rsidRPr="00ED4D49">
        <w:rPr>
          <w:i/>
          <w:lang w:val="en-US"/>
        </w:rPr>
        <w:t>Emys orbicularis</w:t>
      </w:r>
      <w:r w:rsidRPr="00ED4D49">
        <w:rPr>
          <w:lang w:val="en-US"/>
        </w:rPr>
        <w:t xml:space="preserve">. There has been an interruption in the hydrological regime due to the construction of channels, pump stations, and the </w:t>
      </w:r>
      <w:r w:rsidRPr="00ED4D49">
        <w:rPr>
          <w:lang w:val="en-US"/>
        </w:rPr>
        <w:lastRenderedPageBreak/>
        <w:t>damming of nearby streams. Presently, pressures to this site are from permanent, intensive agricultural practices such as intensive pasturing and the unwise use of fertilizers and pesticides</w:t>
      </w:r>
      <w:r w:rsidRPr="00ED4D49">
        <w:rPr>
          <w:rStyle w:val="FootnoteReference"/>
          <w:lang w:val="en-US" w:eastAsia="x-none"/>
        </w:rPr>
        <w:footnoteReference w:id="23"/>
      </w:r>
      <w:r w:rsidRPr="00ED4D49">
        <w:rPr>
          <w:lang w:val="en-US" w:eastAsia="x-none"/>
        </w:rPr>
        <w:t>.</w:t>
      </w:r>
    </w:p>
    <w:p w14:paraId="3E53029E" w14:textId="77777777" w:rsidR="00A0077D" w:rsidRPr="00ED4D49" w:rsidRDefault="00A0077D" w:rsidP="00A0077D">
      <w:pPr>
        <w:pStyle w:val="Heading3"/>
      </w:pPr>
      <w:bookmarkStart w:id="85" w:name="_Toc22569726"/>
      <w:bookmarkStart w:id="86" w:name="_Toc22570281"/>
      <w:bookmarkStart w:id="87" w:name="_Toc31811065"/>
      <w:r w:rsidRPr="00ED4D49">
        <w:rPr>
          <w:shd w:val="clear" w:color="auto" w:fill="FFFFFF"/>
        </w:rPr>
        <w:t>Cultural and Historical Heritage</w:t>
      </w:r>
      <w:bookmarkEnd w:id="85"/>
      <w:bookmarkEnd w:id="86"/>
      <w:bookmarkEnd w:id="87"/>
    </w:p>
    <w:p w14:paraId="11982F2F" w14:textId="630181C0" w:rsidR="00A0077D" w:rsidRPr="00ED4D49" w:rsidRDefault="00A0077D" w:rsidP="00A0077D">
      <w:pPr>
        <w:jc w:val="both"/>
        <w:rPr>
          <w:szCs w:val="20"/>
          <w:lang w:val="en-US"/>
        </w:rPr>
      </w:pPr>
      <w:r w:rsidRPr="00ED4D49">
        <w:rPr>
          <w:szCs w:val="20"/>
          <w:lang w:val="en-US"/>
        </w:rPr>
        <w:t xml:space="preserve">The SRB area is known to be rich in cultural and historical monuments that have remained until the present day. Cultural and historical sites and monument include old fortress, mosques, churches, </w:t>
      </w:r>
      <w:r w:rsidRPr="00ED4D49">
        <w:rPr>
          <w:rFonts w:eastAsia="Times New Roman" w:cs="Calibri"/>
          <w:szCs w:val="20"/>
          <w:lang w:val="en-US" w:eastAsia="hr-HR"/>
        </w:rPr>
        <w:t xml:space="preserve">prehistoric settlement, old towns, museums and other </w:t>
      </w:r>
      <w:r w:rsidRPr="00ED4D49">
        <w:rPr>
          <w:szCs w:val="20"/>
          <w:lang w:val="en-US"/>
        </w:rPr>
        <w:t xml:space="preserve">sites and structures having archaeological, historical, architectural, religious significance, as well as natural sites with cultural values. Annex </w:t>
      </w:r>
      <w:r w:rsidRPr="00ED4D49">
        <w:rPr>
          <w:szCs w:val="20"/>
          <w:lang w:val="en-US"/>
        </w:rPr>
        <w:fldChar w:fldCharType="begin"/>
      </w:r>
      <w:r w:rsidRPr="00ED4D49">
        <w:rPr>
          <w:szCs w:val="20"/>
          <w:lang w:val="en-US"/>
        </w:rPr>
        <w:instrText xml:space="preserve"> REF _Ref22553156 \r \h </w:instrText>
      </w:r>
      <w:r w:rsidR="00ED4D49">
        <w:rPr>
          <w:szCs w:val="20"/>
          <w:lang w:val="en-US"/>
        </w:rPr>
        <w:instrText xml:space="preserve"> \* MERGEFORMAT </w:instrText>
      </w:r>
      <w:r w:rsidRPr="00ED4D49">
        <w:rPr>
          <w:szCs w:val="20"/>
          <w:lang w:val="en-US"/>
        </w:rPr>
      </w:r>
      <w:r w:rsidRPr="00ED4D49">
        <w:rPr>
          <w:szCs w:val="20"/>
          <w:lang w:val="en-US"/>
        </w:rPr>
        <w:fldChar w:fldCharType="separate"/>
      </w:r>
      <w:r w:rsidR="00F60130" w:rsidRPr="00ED4D49">
        <w:rPr>
          <w:szCs w:val="20"/>
          <w:lang w:val="en-US"/>
        </w:rPr>
        <w:t>B</w:t>
      </w:r>
      <w:r w:rsidRPr="00ED4D49">
        <w:rPr>
          <w:szCs w:val="20"/>
          <w:lang w:val="en-US"/>
        </w:rPr>
        <w:fldChar w:fldCharType="end"/>
      </w:r>
      <w:r w:rsidRPr="00ED4D49">
        <w:rPr>
          <w:szCs w:val="20"/>
          <w:lang w:val="en-US"/>
        </w:rPr>
        <w:t xml:space="preserve"> lists cultural and historical sites and monuments of municipalities along the SRB. According to the List of National Monuments of </w:t>
      </w:r>
      <w:r w:rsidR="005A7FD6" w:rsidRPr="00ED4D49">
        <w:rPr>
          <w:szCs w:val="20"/>
          <w:lang w:val="en-US"/>
        </w:rPr>
        <w:t>BiH</w:t>
      </w:r>
      <w:r w:rsidRPr="00ED4D49">
        <w:rPr>
          <w:rStyle w:val="FootnoteReference"/>
          <w:szCs w:val="20"/>
          <w:lang w:val="en-US"/>
        </w:rPr>
        <w:footnoteReference w:id="24"/>
      </w:r>
      <w:r w:rsidR="005A7FD6" w:rsidRPr="00ED4D49">
        <w:rPr>
          <w:szCs w:val="20"/>
          <w:lang w:val="en-US"/>
        </w:rPr>
        <w:t>,</w:t>
      </w:r>
      <w:r w:rsidRPr="00ED4D49">
        <w:rPr>
          <w:szCs w:val="20"/>
          <w:lang w:val="en-US"/>
        </w:rPr>
        <w:t xml:space="preserve"> there are 22 sites in RS, 14 in FBiH and 10 in BD BiH. </w:t>
      </w:r>
    </w:p>
    <w:p w14:paraId="1656D201" w14:textId="77777777" w:rsidR="00A0077D" w:rsidRPr="00ED4D49" w:rsidRDefault="00A0077D" w:rsidP="00A0077D">
      <w:pPr>
        <w:jc w:val="both"/>
        <w:rPr>
          <w:szCs w:val="20"/>
          <w:lang w:val="en-US"/>
        </w:rPr>
      </w:pPr>
      <w:r w:rsidRPr="00ED4D49">
        <w:rPr>
          <w:szCs w:val="20"/>
          <w:lang w:val="en-US"/>
        </w:rPr>
        <w:t>The cultural and historical values are widely recognized by the tourism boards of the municipalities in the SRB. Historically, the River Sava and most if its tributaries are sensitive to flooding which can have possible negative consequences on cultural and historical heritage.</w:t>
      </w:r>
    </w:p>
    <w:p w14:paraId="1723F3E1" w14:textId="6E2B4915" w:rsidR="00ED57DC" w:rsidRPr="00ED4D49" w:rsidRDefault="00ED57DC" w:rsidP="00BA236B">
      <w:pPr>
        <w:jc w:val="both"/>
        <w:rPr>
          <w:lang w:val="en-US"/>
        </w:rPr>
      </w:pPr>
      <w:r w:rsidRPr="00ED4D49">
        <w:rPr>
          <w:lang w:val="en-US"/>
        </w:rPr>
        <w:br w:type="page"/>
      </w:r>
    </w:p>
    <w:p w14:paraId="48B5DAA8" w14:textId="46D34B47" w:rsidR="00ED57DC" w:rsidRPr="00ED4D49" w:rsidRDefault="00ED57DC" w:rsidP="00ED57DC">
      <w:pPr>
        <w:pStyle w:val="Heading1"/>
        <w:shd w:val="clear" w:color="auto" w:fill="F2F2F2"/>
        <w:spacing w:before="0"/>
        <w:rPr>
          <w:lang w:val="en-US"/>
        </w:rPr>
      </w:pPr>
      <w:bookmarkStart w:id="88" w:name="_Toc20858918"/>
      <w:bookmarkStart w:id="89" w:name="_Ref30157487"/>
      <w:bookmarkStart w:id="90" w:name="_Toc31811066"/>
      <w:r w:rsidRPr="00ED4D49">
        <w:rPr>
          <w:rFonts w:cs="Calibri"/>
          <w:lang w:val="en-US"/>
        </w:rPr>
        <w:lastRenderedPageBreak/>
        <w:t>BASELINE SOCIO-ECONOMIC CHARACTERISTICS OF THE PROJECT AREA</w:t>
      </w:r>
      <w:bookmarkEnd w:id="88"/>
      <w:bookmarkEnd w:id="89"/>
      <w:bookmarkEnd w:id="90"/>
    </w:p>
    <w:p w14:paraId="2B65315A" w14:textId="77777777" w:rsidR="00A67FEE" w:rsidRPr="00ED4D49" w:rsidRDefault="00A67FEE" w:rsidP="0063606C">
      <w:pPr>
        <w:pStyle w:val="Heading2"/>
      </w:pPr>
      <w:bookmarkStart w:id="91" w:name="_Toc20858919"/>
      <w:bookmarkStart w:id="92" w:name="_Toc21102394"/>
      <w:bookmarkStart w:id="93" w:name="_Toc31811067"/>
      <w:r w:rsidRPr="00ED4D49">
        <w:t>Demography</w:t>
      </w:r>
      <w:bookmarkEnd w:id="91"/>
      <w:bookmarkEnd w:id="92"/>
      <w:bookmarkEnd w:id="93"/>
    </w:p>
    <w:p w14:paraId="6423099B" w14:textId="544A4089" w:rsidR="00A67FEE" w:rsidRPr="00ED4D49" w:rsidRDefault="00A67FEE" w:rsidP="00A67FEE">
      <w:pPr>
        <w:jc w:val="both"/>
        <w:rPr>
          <w:rFonts w:cs="Calibri"/>
          <w:lang w:val="en-US"/>
        </w:rPr>
      </w:pPr>
      <w:r w:rsidRPr="00ED4D49">
        <w:rPr>
          <w:rFonts w:cs="Calibri"/>
          <w:lang w:val="en-US"/>
        </w:rPr>
        <w:t>According to the official results of the 2013 Census, the total population of Bosnia and Herzegovina was 3,531,159 (</w:t>
      </w:r>
      <w:r w:rsidRPr="00ED4D49">
        <w:rPr>
          <w:rFonts w:cs="Calibri"/>
          <w:lang w:val="en-US"/>
        </w:rPr>
        <w:fldChar w:fldCharType="begin"/>
      </w:r>
      <w:r w:rsidRPr="00ED4D49">
        <w:rPr>
          <w:rFonts w:cs="Calibri"/>
          <w:lang w:val="en-US"/>
        </w:rPr>
        <w:instrText xml:space="preserve"> REF _Ref19215934 \h  \* MERGEFORMAT </w:instrText>
      </w:r>
      <w:r w:rsidRPr="00ED4D49">
        <w:rPr>
          <w:rFonts w:cs="Calibri"/>
          <w:lang w:val="en-US"/>
        </w:rPr>
      </w:r>
      <w:r w:rsidRPr="00ED4D49">
        <w:rPr>
          <w:rFonts w:cs="Calibri"/>
          <w:lang w:val="en-US"/>
        </w:rPr>
        <w:fldChar w:fldCharType="separate"/>
      </w:r>
      <w:r w:rsidR="00F60130" w:rsidRPr="00ED4D49">
        <w:rPr>
          <w:rFonts w:cs="Calibri"/>
          <w:lang w:val="en-US"/>
        </w:rPr>
        <w:t>Table 9</w:t>
      </w:r>
      <w:r w:rsidRPr="00ED4D49">
        <w:rPr>
          <w:rFonts w:cs="Calibri"/>
          <w:lang w:val="en-US"/>
        </w:rPr>
        <w:fldChar w:fldCharType="end"/>
      </w:r>
      <w:r w:rsidRPr="00ED4D49">
        <w:rPr>
          <w:rFonts w:cs="Calibri"/>
          <w:lang w:val="en-US"/>
        </w:rPr>
        <w:t>). RS accounts for 35% of population, FBiH around 63% and BD around 2%.</w:t>
      </w:r>
    </w:p>
    <w:p w14:paraId="2F347D31" w14:textId="3DBC4E3F" w:rsidR="00A67FEE" w:rsidRPr="00ED4D49" w:rsidRDefault="00A67FEE" w:rsidP="00A67FEE">
      <w:pPr>
        <w:pStyle w:val="Caption"/>
        <w:rPr>
          <w:rFonts w:cs="Calibri"/>
          <w:b w:val="0"/>
          <w:i/>
          <w:color w:val="auto"/>
          <w:sz w:val="16"/>
          <w:szCs w:val="24"/>
        </w:rPr>
      </w:pPr>
      <w:bookmarkStart w:id="94" w:name="_Ref19215934"/>
      <w:bookmarkStart w:id="95" w:name="_Toc21102442"/>
      <w:bookmarkStart w:id="96" w:name="_Toc28188034"/>
      <w:r w:rsidRPr="00ED4D49">
        <w:rPr>
          <w:b w:val="0"/>
          <w:bCs w:val="0"/>
          <w:i/>
          <w:iCs/>
          <w:color w:val="1F3864"/>
          <w:sz w:val="16"/>
          <w:szCs w:val="16"/>
        </w:rPr>
        <w:t xml:space="preserve">Table </w:t>
      </w:r>
      <w:r w:rsidRPr="00ED4D49">
        <w:rPr>
          <w:b w:val="0"/>
          <w:bCs w:val="0"/>
          <w:i/>
          <w:iCs/>
          <w:color w:val="1F3864"/>
          <w:sz w:val="16"/>
          <w:szCs w:val="16"/>
        </w:rPr>
        <w:fldChar w:fldCharType="begin"/>
      </w:r>
      <w:r w:rsidRPr="00ED4D49">
        <w:rPr>
          <w:b w:val="0"/>
          <w:bCs w:val="0"/>
          <w:i/>
          <w:iCs/>
          <w:color w:val="1F3864"/>
          <w:sz w:val="16"/>
          <w:szCs w:val="16"/>
        </w:rPr>
        <w:instrText xml:space="preserve"> SEQ Table \* ARABIC </w:instrText>
      </w:r>
      <w:r w:rsidRPr="00ED4D49">
        <w:rPr>
          <w:b w:val="0"/>
          <w:bCs w:val="0"/>
          <w:i/>
          <w:iCs/>
          <w:color w:val="1F3864"/>
          <w:sz w:val="16"/>
          <w:szCs w:val="16"/>
        </w:rPr>
        <w:fldChar w:fldCharType="separate"/>
      </w:r>
      <w:r w:rsidR="00F60130" w:rsidRPr="00ED4D49">
        <w:rPr>
          <w:b w:val="0"/>
          <w:bCs w:val="0"/>
          <w:i/>
          <w:iCs/>
          <w:noProof/>
          <w:color w:val="1F3864"/>
          <w:sz w:val="16"/>
          <w:szCs w:val="16"/>
        </w:rPr>
        <w:t>9</w:t>
      </w:r>
      <w:r w:rsidRPr="00ED4D49">
        <w:rPr>
          <w:b w:val="0"/>
          <w:bCs w:val="0"/>
          <w:i/>
          <w:iCs/>
          <w:color w:val="1F3864"/>
          <w:sz w:val="16"/>
          <w:szCs w:val="16"/>
        </w:rPr>
        <w:fldChar w:fldCharType="end"/>
      </w:r>
      <w:bookmarkEnd w:id="94"/>
      <w:r w:rsidRPr="00ED4D49">
        <w:rPr>
          <w:rFonts w:cs="Calibri"/>
          <w:b w:val="0"/>
          <w:bCs w:val="0"/>
          <w:i/>
          <w:iCs/>
          <w:color w:val="1F497D"/>
          <w:sz w:val="16"/>
          <w:szCs w:val="16"/>
        </w:rPr>
        <w:t xml:space="preserve">: </w:t>
      </w:r>
      <w:r w:rsidRPr="00ED4D49">
        <w:rPr>
          <w:rFonts w:cs="Calibri"/>
          <w:b w:val="0"/>
          <w:i/>
          <w:color w:val="auto"/>
          <w:sz w:val="16"/>
        </w:rPr>
        <w:t>BiH population in 2013, and 2017 estimates</w:t>
      </w:r>
      <w:bookmarkEnd w:id="95"/>
      <w:bookmarkEnd w:id="96"/>
    </w:p>
    <w:tbl>
      <w:tblPr>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3184"/>
        <w:gridCol w:w="2912"/>
        <w:gridCol w:w="2914"/>
      </w:tblGrid>
      <w:tr w:rsidR="00A67FEE" w:rsidRPr="00ED4D49" w14:paraId="75E40948" w14:textId="77777777" w:rsidTr="00A67FEE">
        <w:tc>
          <w:tcPr>
            <w:tcW w:w="1767" w:type="pct"/>
            <w:shd w:val="clear" w:color="auto" w:fill="auto"/>
          </w:tcPr>
          <w:p w14:paraId="0BB37A46" w14:textId="77777777" w:rsidR="00A67FEE" w:rsidRPr="00ED4D49" w:rsidRDefault="00A67FEE" w:rsidP="00A67FEE">
            <w:pPr>
              <w:spacing w:before="0" w:after="0"/>
              <w:ind w:left="144" w:right="144"/>
              <w:jc w:val="both"/>
              <w:rPr>
                <w:rFonts w:cs="Calibri"/>
                <w:color w:val="1F497D"/>
                <w:sz w:val="16"/>
                <w:szCs w:val="16"/>
                <w:lang w:val="en-US"/>
              </w:rPr>
            </w:pPr>
            <w:r w:rsidRPr="00ED4D49">
              <w:rPr>
                <w:rFonts w:cs="Calibri"/>
                <w:color w:val="1F497D"/>
                <w:sz w:val="16"/>
                <w:szCs w:val="16"/>
                <w:lang w:val="en-US"/>
              </w:rPr>
              <w:t xml:space="preserve">Population </w:t>
            </w:r>
          </w:p>
        </w:tc>
        <w:tc>
          <w:tcPr>
            <w:tcW w:w="1616" w:type="pct"/>
            <w:shd w:val="clear" w:color="auto" w:fill="auto"/>
          </w:tcPr>
          <w:p w14:paraId="7F668F1D" w14:textId="77777777" w:rsidR="00A67FEE" w:rsidRPr="00ED4D49" w:rsidRDefault="00A67FEE" w:rsidP="00A67FEE">
            <w:pPr>
              <w:spacing w:before="0" w:after="0"/>
              <w:ind w:left="144" w:right="144"/>
              <w:jc w:val="right"/>
              <w:rPr>
                <w:rFonts w:cs="Calibri"/>
                <w:color w:val="1F497D"/>
                <w:sz w:val="16"/>
                <w:szCs w:val="16"/>
                <w:lang w:val="en-US"/>
              </w:rPr>
            </w:pPr>
            <w:r w:rsidRPr="00ED4D49">
              <w:rPr>
                <w:rFonts w:cs="Calibri"/>
                <w:color w:val="1F497D"/>
                <w:sz w:val="16"/>
                <w:szCs w:val="16"/>
                <w:lang w:val="en-US"/>
              </w:rPr>
              <w:t>2013</w:t>
            </w:r>
          </w:p>
        </w:tc>
        <w:tc>
          <w:tcPr>
            <w:tcW w:w="1617" w:type="pct"/>
            <w:shd w:val="clear" w:color="auto" w:fill="auto"/>
          </w:tcPr>
          <w:p w14:paraId="1C8D5AE0" w14:textId="77777777" w:rsidR="00A67FEE" w:rsidRPr="00ED4D49" w:rsidRDefault="00A67FEE" w:rsidP="00A67FEE">
            <w:pPr>
              <w:spacing w:before="0" w:after="0"/>
              <w:ind w:left="144" w:right="144"/>
              <w:jc w:val="right"/>
              <w:rPr>
                <w:rFonts w:cs="Calibri"/>
                <w:color w:val="1F497D"/>
                <w:sz w:val="16"/>
                <w:szCs w:val="16"/>
                <w:lang w:val="en-US"/>
              </w:rPr>
            </w:pPr>
            <w:r w:rsidRPr="00ED4D49">
              <w:rPr>
                <w:rFonts w:cs="Calibri"/>
                <w:color w:val="1F497D"/>
                <w:sz w:val="16"/>
                <w:szCs w:val="16"/>
                <w:lang w:val="en-US"/>
              </w:rPr>
              <w:t>2017 (estimate)</w:t>
            </w:r>
          </w:p>
        </w:tc>
      </w:tr>
      <w:tr w:rsidR="00A67FEE" w:rsidRPr="00ED4D49" w14:paraId="2E918173" w14:textId="77777777" w:rsidTr="00A67FEE">
        <w:tc>
          <w:tcPr>
            <w:tcW w:w="1767" w:type="pct"/>
            <w:shd w:val="clear" w:color="auto" w:fill="auto"/>
          </w:tcPr>
          <w:p w14:paraId="4844FB0E" w14:textId="77777777" w:rsidR="00A67FEE" w:rsidRPr="00ED4D49" w:rsidRDefault="00A67FEE" w:rsidP="00A67FEE">
            <w:pPr>
              <w:spacing w:before="0" w:after="0"/>
              <w:ind w:left="144" w:right="144"/>
              <w:rPr>
                <w:rFonts w:cs="Calibri"/>
                <w:sz w:val="16"/>
                <w:szCs w:val="16"/>
                <w:lang w:val="en-US"/>
              </w:rPr>
            </w:pPr>
            <w:r w:rsidRPr="00ED4D49">
              <w:rPr>
                <w:rFonts w:cs="Calibri"/>
                <w:sz w:val="16"/>
                <w:szCs w:val="16"/>
                <w:lang w:val="en-US"/>
              </w:rPr>
              <w:t>FBiH</w:t>
            </w:r>
          </w:p>
        </w:tc>
        <w:tc>
          <w:tcPr>
            <w:tcW w:w="1616" w:type="pct"/>
            <w:shd w:val="clear" w:color="auto" w:fill="auto"/>
          </w:tcPr>
          <w:p w14:paraId="19601125" w14:textId="77777777" w:rsidR="00A67FEE" w:rsidRPr="00ED4D49" w:rsidRDefault="00A67FEE" w:rsidP="00A67FEE">
            <w:pPr>
              <w:spacing w:before="0" w:after="0"/>
              <w:ind w:left="144" w:right="144"/>
              <w:jc w:val="right"/>
              <w:rPr>
                <w:rFonts w:cs="Calibri"/>
                <w:sz w:val="16"/>
                <w:szCs w:val="16"/>
                <w:lang w:val="en-US"/>
              </w:rPr>
            </w:pPr>
            <w:r w:rsidRPr="00ED4D49">
              <w:rPr>
                <w:rFonts w:cs="Calibri"/>
                <w:sz w:val="16"/>
                <w:szCs w:val="16"/>
                <w:lang w:val="en-US"/>
              </w:rPr>
              <w:t>2,219,220</w:t>
            </w:r>
          </w:p>
        </w:tc>
        <w:tc>
          <w:tcPr>
            <w:tcW w:w="1617" w:type="pct"/>
            <w:shd w:val="clear" w:color="auto" w:fill="auto"/>
          </w:tcPr>
          <w:p w14:paraId="157E6FBE" w14:textId="77777777" w:rsidR="00A67FEE" w:rsidRPr="00ED4D49" w:rsidRDefault="00A67FEE" w:rsidP="00A67FEE">
            <w:pPr>
              <w:spacing w:before="0" w:after="0"/>
              <w:ind w:left="144" w:right="144"/>
              <w:jc w:val="right"/>
              <w:rPr>
                <w:rFonts w:cs="Calibri"/>
                <w:sz w:val="16"/>
                <w:szCs w:val="16"/>
                <w:lang w:val="en-US"/>
              </w:rPr>
            </w:pPr>
            <w:r w:rsidRPr="00ED4D49">
              <w:rPr>
                <w:rFonts w:cs="Calibri"/>
                <w:sz w:val="16"/>
                <w:szCs w:val="16"/>
                <w:lang w:val="en-US"/>
              </w:rPr>
              <w:t>2,201,193</w:t>
            </w:r>
          </w:p>
        </w:tc>
      </w:tr>
      <w:tr w:rsidR="00A67FEE" w:rsidRPr="00ED4D49" w14:paraId="0BBFC5CC" w14:textId="77777777" w:rsidTr="00A67FEE">
        <w:tc>
          <w:tcPr>
            <w:tcW w:w="1767" w:type="pct"/>
            <w:shd w:val="clear" w:color="auto" w:fill="auto"/>
          </w:tcPr>
          <w:p w14:paraId="1F1FDFD0" w14:textId="77777777" w:rsidR="00A67FEE" w:rsidRPr="00ED4D49" w:rsidRDefault="00A67FEE" w:rsidP="00A67FEE">
            <w:pPr>
              <w:spacing w:before="0" w:after="0"/>
              <w:ind w:left="144" w:right="144"/>
              <w:rPr>
                <w:rFonts w:cs="Calibri"/>
                <w:sz w:val="16"/>
                <w:szCs w:val="16"/>
                <w:lang w:val="en-US"/>
              </w:rPr>
            </w:pPr>
            <w:r w:rsidRPr="00ED4D49">
              <w:rPr>
                <w:rFonts w:cs="Calibri"/>
                <w:sz w:val="16"/>
                <w:szCs w:val="16"/>
                <w:lang w:val="en-US"/>
              </w:rPr>
              <w:t>RS</w:t>
            </w:r>
          </w:p>
        </w:tc>
        <w:tc>
          <w:tcPr>
            <w:tcW w:w="1616" w:type="pct"/>
            <w:shd w:val="clear" w:color="auto" w:fill="auto"/>
          </w:tcPr>
          <w:p w14:paraId="24D9E988" w14:textId="77777777" w:rsidR="00A67FEE" w:rsidRPr="00ED4D49" w:rsidRDefault="00A67FEE" w:rsidP="00A67FEE">
            <w:pPr>
              <w:spacing w:before="0" w:after="0"/>
              <w:ind w:left="144" w:right="144"/>
              <w:jc w:val="right"/>
              <w:rPr>
                <w:rFonts w:cs="Calibri"/>
                <w:sz w:val="16"/>
                <w:szCs w:val="16"/>
                <w:lang w:val="en-US"/>
              </w:rPr>
            </w:pPr>
            <w:r w:rsidRPr="00ED4D49">
              <w:rPr>
                <w:rFonts w:cs="Calibri"/>
                <w:sz w:val="16"/>
                <w:szCs w:val="16"/>
                <w:lang w:val="en-US"/>
              </w:rPr>
              <w:t>1,228,423</w:t>
            </w:r>
          </w:p>
        </w:tc>
        <w:tc>
          <w:tcPr>
            <w:tcW w:w="1617" w:type="pct"/>
            <w:shd w:val="clear" w:color="auto" w:fill="auto"/>
          </w:tcPr>
          <w:p w14:paraId="56E0DE5F" w14:textId="77777777" w:rsidR="00A67FEE" w:rsidRPr="00ED4D49" w:rsidRDefault="00A67FEE" w:rsidP="00A67FEE">
            <w:pPr>
              <w:spacing w:before="0" w:after="0"/>
              <w:ind w:left="144" w:right="144"/>
              <w:jc w:val="right"/>
              <w:rPr>
                <w:rFonts w:cs="Calibri"/>
                <w:sz w:val="16"/>
                <w:szCs w:val="16"/>
                <w:lang w:val="en-US"/>
              </w:rPr>
            </w:pPr>
            <w:r w:rsidRPr="00ED4D49">
              <w:rPr>
                <w:rFonts w:cs="Calibri"/>
                <w:sz w:val="16"/>
                <w:szCs w:val="16"/>
                <w:lang w:val="en-US"/>
              </w:rPr>
              <w:t>1,153,017</w:t>
            </w:r>
          </w:p>
        </w:tc>
      </w:tr>
      <w:tr w:rsidR="00A67FEE" w:rsidRPr="00ED4D49" w14:paraId="480F4AAB" w14:textId="77777777" w:rsidTr="00A67FEE">
        <w:tc>
          <w:tcPr>
            <w:tcW w:w="1767" w:type="pct"/>
            <w:shd w:val="clear" w:color="auto" w:fill="auto"/>
          </w:tcPr>
          <w:p w14:paraId="5713CA12" w14:textId="77777777" w:rsidR="00A67FEE" w:rsidRPr="00ED4D49" w:rsidRDefault="00A67FEE" w:rsidP="00A67FEE">
            <w:pPr>
              <w:spacing w:before="0" w:after="0"/>
              <w:ind w:left="144" w:right="144"/>
              <w:rPr>
                <w:rFonts w:cs="Calibri"/>
                <w:sz w:val="16"/>
                <w:szCs w:val="16"/>
                <w:lang w:val="en-US"/>
              </w:rPr>
            </w:pPr>
            <w:r w:rsidRPr="00ED4D49">
              <w:rPr>
                <w:rFonts w:cs="Calibri"/>
                <w:sz w:val="16"/>
                <w:szCs w:val="16"/>
                <w:lang w:val="en-US"/>
              </w:rPr>
              <w:t>BD</w:t>
            </w:r>
          </w:p>
        </w:tc>
        <w:tc>
          <w:tcPr>
            <w:tcW w:w="1616" w:type="pct"/>
            <w:shd w:val="clear" w:color="auto" w:fill="auto"/>
          </w:tcPr>
          <w:p w14:paraId="2D3BFFC3" w14:textId="77777777" w:rsidR="00A67FEE" w:rsidRPr="00ED4D49" w:rsidRDefault="00A67FEE" w:rsidP="00A67FEE">
            <w:pPr>
              <w:spacing w:before="0" w:after="0"/>
              <w:ind w:left="144" w:right="144"/>
              <w:jc w:val="right"/>
              <w:rPr>
                <w:rFonts w:cs="Calibri"/>
                <w:sz w:val="16"/>
                <w:szCs w:val="16"/>
                <w:lang w:val="en-US"/>
              </w:rPr>
            </w:pPr>
            <w:r w:rsidRPr="00ED4D49">
              <w:rPr>
                <w:rFonts w:cs="Calibri"/>
                <w:sz w:val="16"/>
                <w:szCs w:val="16"/>
                <w:lang w:val="en-US"/>
              </w:rPr>
              <w:t>83,516</w:t>
            </w:r>
          </w:p>
        </w:tc>
        <w:tc>
          <w:tcPr>
            <w:tcW w:w="1617" w:type="pct"/>
            <w:shd w:val="clear" w:color="auto" w:fill="auto"/>
          </w:tcPr>
          <w:p w14:paraId="71CFB2E7" w14:textId="77777777" w:rsidR="00A67FEE" w:rsidRPr="00ED4D49" w:rsidRDefault="00A67FEE" w:rsidP="00A67FEE">
            <w:pPr>
              <w:spacing w:before="0" w:after="0"/>
              <w:ind w:left="144" w:right="144"/>
              <w:jc w:val="right"/>
              <w:rPr>
                <w:rFonts w:cs="Calibri"/>
                <w:sz w:val="16"/>
                <w:szCs w:val="16"/>
                <w:lang w:val="en-US"/>
              </w:rPr>
            </w:pPr>
            <w:r w:rsidRPr="00ED4D49">
              <w:rPr>
                <w:rFonts w:cs="Calibri"/>
                <w:sz w:val="16"/>
                <w:szCs w:val="16"/>
                <w:lang w:val="en-US"/>
              </w:rPr>
              <w:t>83,243</w:t>
            </w:r>
          </w:p>
        </w:tc>
      </w:tr>
      <w:tr w:rsidR="00A67FEE" w:rsidRPr="00ED4D49" w14:paraId="7ADB93C0" w14:textId="77777777" w:rsidTr="00A67FEE">
        <w:tc>
          <w:tcPr>
            <w:tcW w:w="1767" w:type="pct"/>
            <w:shd w:val="clear" w:color="auto" w:fill="auto"/>
          </w:tcPr>
          <w:p w14:paraId="0DB05A9D" w14:textId="77777777" w:rsidR="00A67FEE" w:rsidRPr="00ED4D49" w:rsidRDefault="00A67FEE" w:rsidP="00A67FEE">
            <w:pPr>
              <w:spacing w:before="0" w:after="0"/>
              <w:ind w:left="144" w:right="144"/>
              <w:jc w:val="right"/>
              <w:rPr>
                <w:rFonts w:cs="Calibri"/>
                <w:sz w:val="16"/>
                <w:szCs w:val="16"/>
                <w:lang w:val="en-US"/>
              </w:rPr>
            </w:pPr>
            <w:r w:rsidRPr="00ED4D49">
              <w:rPr>
                <w:rFonts w:cs="Calibri"/>
                <w:sz w:val="16"/>
                <w:szCs w:val="16"/>
                <w:lang w:val="en-US"/>
              </w:rPr>
              <w:t xml:space="preserve">Total </w:t>
            </w:r>
          </w:p>
        </w:tc>
        <w:tc>
          <w:tcPr>
            <w:tcW w:w="1616" w:type="pct"/>
            <w:shd w:val="clear" w:color="auto" w:fill="auto"/>
          </w:tcPr>
          <w:p w14:paraId="4191005E" w14:textId="77777777" w:rsidR="00A67FEE" w:rsidRPr="00ED4D49" w:rsidRDefault="00A67FEE" w:rsidP="00A67FEE">
            <w:pPr>
              <w:spacing w:before="0" w:after="0"/>
              <w:ind w:left="144" w:right="144"/>
              <w:jc w:val="right"/>
              <w:rPr>
                <w:rFonts w:cs="Calibri"/>
                <w:sz w:val="16"/>
                <w:szCs w:val="16"/>
                <w:lang w:val="en-US"/>
              </w:rPr>
            </w:pPr>
            <w:r w:rsidRPr="00ED4D49">
              <w:rPr>
                <w:rFonts w:cs="Calibri"/>
                <w:sz w:val="16"/>
                <w:szCs w:val="16"/>
                <w:lang w:val="en-US"/>
              </w:rPr>
              <w:t>3,531,159</w:t>
            </w:r>
          </w:p>
        </w:tc>
        <w:tc>
          <w:tcPr>
            <w:tcW w:w="1617" w:type="pct"/>
            <w:shd w:val="clear" w:color="auto" w:fill="auto"/>
          </w:tcPr>
          <w:p w14:paraId="72C7ECFD" w14:textId="77777777" w:rsidR="00A67FEE" w:rsidRPr="00ED4D49" w:rsidRDefault="00A67FEE" w:rsidP="00A67FEE">
            <w:pPr>
              <w:spacing w:before="0" w:after="0"/>
              <w:ind w:left="144" w:right="144"/>
              <w:jc w:val="right"/>
              <w:rPr>
                <w:rFonts w:cs="Calibri"/>
                <w:sz w:val="16"/>
                <w:szCs w:val="16"/>
                <w:lang w:val="en-US"/>
              </w:rPr>
            </w:pPr>
            <w:r w:rsidRPr="00ED4D49">
              <w:rPr>
                <w:rFonts w:cs="Calibri"/>
                <w:sz w:val="16"/>
                <w:szCs w:val="16"/>
                <w:lang w:val="en-US"/>
              </w:rPr>
              <w:t>3,437,453</w:t>
            </w:r>
          </w:p>
        </w:tc>
      </w:tr>
    </w:tbl>
    <w:p w14:paraId="54C0380A" w14:textId="77777777" w:rsidR="00A67FEE" w:rsidRPr="00ED4D49" w:rsidRDefault="00A67FEE" w:rsidP="00A67FEE">
      <w:pPr>
        <w:pStyle w:val="Heading3"/>
      </w:pPr>
      <w:bookmarkStart w:id="97" w:name="_Toc20858920"/>
      <w:bookmarkStart w:id="98" w:name="_Toc21102395"/>
      <w:bookmarkStart w:id="99" w:name="_Toc31811068"/>
      <w:r w:rsidRPr="00ED4D49">
        <w:t xml:space="preserve">Demography in the </w:t>
      </w:r>
      <w:bookmarkEnd w:id="97"/>
      <w:r w:rsidRPr="00ED4D49">
        <w:t>Drina Basin</w:t>
      </w:r>
      <w:bookmarkEnd w:id="98"/>
      <w:bookmarkEnd w:id="99"/>
    </w:p>
    <w:p w14:paraId="6D32CB3F" w14:textId="6F11DE2B" w:rsidR="00A67FEE" w:rsidRPr="00ED4D49" w:rsidRDefault="00A67FEE" w:rsidP="00A67FEE">
      <w:pPr>
        <w:spacing w:before="0"/>
        <w:jc w:val="both"/>
        <w:rPr>
          <w:rStyle w:val="tlid-translation"/>
          <w:rFonts w:cs="Calibri"/>
          <w:lang w:val="en-US"/>
        </w:rPr>
      </w:pPr>
      <w:r w:rsidRPr="00ED4D49">
        <w:rPr>
          <w:rStyle w:val="tlid-translation"/>
          <w:rFonts w:cs="Calibri"/>
          <w:lang w:val="en-US"/>
        </w:rPr>
        <w:t>The DRB in FBiH covers twelve municipalities: Gora</w:t>
      </w:r>
      <w:r w:rsidR="00A7018E" w:rsidRPr="00ED4D49">
        <w:rPr>
          <w:rStyle w:val="tlid-translation"/>
          <w:rFonts w:cs="Calibri"/>
          <w:lang w:val="en-US"/>
        </w:rPr>
        <w:t>z</w:t>
      </w:r>
      <w:r w:rsidRPr="00ED4D49">
        <w:rPr>
          <w:rStyle w:val="tlid-translation"/>
          <w:rFonts w:cs="Calibri"/>
          <w:lang w:val="en-US"/>
        </w:rPr>
        <w:t>de, Pale-</w:t>
      </w:r>
      <w:proofErr w:type="spellStart"/>
      <w:r w:rsidRPr="00ED4D49">
        <w:rPr>
          <w:rStyle w:val="tlid-translation"/>
          <w:rFonts w:cs="Calibri"/>
          <w:lang w:val="en-US"/>
        </w:rPr>
        <w:t>Pra</w:t>
      </w:r>
      <w:r w:rsidR="00A7018E" w:rsidRPr="00ED4D49">
        <w:rPr>
          <w:rStyle w:val="tlid-translation"/>
          <w:rFonts w:cs="Calibri"/>
          <w:lang w:val="en-US"/>
        </w:rPr>
        <w:t>c</w:t>
      </w:r>
      <w:r w:rsidRPr="00ED4D49">
        <w:rPr>
          <w:rStyle w:val="tlid-translation"/>
          <w:rFonts w:cs="Calibri"/>
          <w:lang w:val="en-US"/>
        </w:rPr>
        <w:t>a</w:t>
      </w:r>
      <w:proofErr w:type="spellEnd"/>
      <w:r w:rsidRPr="00ED4D49">
        <w:rPr>
          <w:rStyle w:val="tlid-translation"/>
          <w:rFonts w:cs="Calibri"/>
          <w:lang w:val="en-US"/>
        </w:rPr>
        <w:t xml:space="preserve"> (FBiH), Fo</w:t>
      </w:r>
      <w:r w:rsidR="00A7018E" w:rsidRPr="00ED4D49">
        <w:rPr>
          <w:rStyle w:val="tlid-translation"/>
          <w:rFonts w:cs="Calibri"/>
          <w:lang w:val="en-US"/>
        </w:rPr>
        <w:t>c</w:t>
      </w:r>
      <w:r w:rsidRPr="00ED4D49">
        <w:rPr>
          <w:rStyle w:val="tlid-translation"/>
          <w:rFonts w:cs="Calibri"/>
          <w:lang w:val="en-US"/>
        </w:rPr>
        <w:t>a-</w:t>
      </w:r>
      <w:proofErr w:type="spellStart"/>
      <w:r w:rsidRPr="00ED4D49">
        <w:rPr>
          <w:rStyle w:val="tlid-translation"/>
          <w:rFonts w:cs="Calibri"/>
          <w:lang w:val="en-US"/>
        </w:rPr>
        <w:t>Ustikolina</w:t>
      </w:r>
      <w:proofErr w:type="spellEnd"/>
      <w:r w:rsidRPr="00ED4D49">
        <w:rPr>
          <w:rStyle w:val="tlid-translation"/>
          <w:rFonts w:cs="Calibri"/>
          <w:lang w:val="en-US"/>
        </w:rPr>
        <w:t xml:space="preserve"> (FBiH), </w:t>
      </w:r>
      <w:proofErr w:type="spellStart"/>
      <w:r w:rsidRPr="00ED4D49">
        <w:rPr>
          <w:rStyle w:val="tlid-translation"/>
          <w:rFonts w:cs="Calibri"/>
          <w:lang w:val="en-US"/>
        </w:rPr>
        <w:t>Kladanj</w:t>
      </w:r>
      <w:proofErr w:type="spellEnd"/>
      <w:r w:rsidRPr="00ED4D49">
        <w:rPr>
          <w:rStyle w:val="tlid-translation"/>
          <w:rFonts w:cs="Calibri"/>
          <w:lang w:val="en-US"/>
        </w:rPr>
        <w:t xml:space="preserve">, Sapna, </w:t>
      </w:r>
      <w:proofErr w:type="spellStart"/>
      <w:r w:rsidRPr="00ED4D49">
        <w:rPr>
          <w:rStyle w:val="tlid-translation"/>
          <w:rFonts w:cs="Calibri"/>
          <w:lang w:val="en-US"/>
        </w:rPr>
        <w:t>Teo</w:t>
      </w:r>
      <w:r w:rsidR="00A7018E" w:rsidRPr="00ED4D49">
        <w:rPr>
          <w:rStyle w:val="tlid-translation"/>
          <w:rFonts w:cs="Calibri"/>
          <w:lang w:val="en-US"/>
        </w:rPr>
        <w:t>c</w:t>
      </w:r>
      <w:r w:rsidRPr="00ED4D49">
        <w:rPr>
          <w:rStyle w:val="tlid-translation"/>
          <w:rFonts w:cs="Calibri"/>
          <w:lang w:val="en-US"/>
        </w:rPr>
        <w:t>ak</w:t>
      </w:r>
      <w:proofErr w:type="spellEnd"/>
      <w:r w:rsidRPr="00ED4D49">
        <w:rPr>
          <w:rStyle w:val="tlid-translation"/>
          <w:rFonts w:cs="Calibri"/>
          <w:lang w:val="en-US"/>
        </w:rPr>
        <w:t xml:space="preserve">, </w:t>
      </w:r>
      <w:proofErr w:type="spellStart"/>
      <w:r w:rsidR="00A7018E" w:rsidRPr="00ED4D49">
        <w:rPr>
          <w:rStyle w:val="tlid-translation"/>
          <w:rFonts w:cs="Calibri"/>
          <w:lang w:val="en-US"/>
        </w:rPr>
        <w:t>Z</w:t>
      </w:r>
      <w:r w:rsidRPr="00ED4D49">
        <w:rPr>
          <w:rStyle w:val="tlid-translation"/>
          <w:rFonts w:cs="Calibri"/>
          <w:lang w:val="en-US"/>
        </w:rPr>
        <w:t>ivinice</w:t>
      </w:r>
      <w:proofErr w:type="spellEnd"/>
      <w:r w:rsidRPr="00ED4D49">
        <w:rPr>
          <w:rStyle w:val="tlid-translation"/>
          <w:rFonts w:cs="Calibri"/>
          <w:lang w:val="en-US"/>
        </w:rPr>
        <w:t xml:space="preserve">, </w:t>
      </w:r>
      <w:proofErr w:type="spellStart"/>
      <w:r w:rsidRPr="00ED4D49">
        <w:rPr>
          <w:rStyle w:val="tlid-translation"/>
          <w:rFonts w:cs="Calibri"/>
          <w:lang w:val="en-US"/>
        </w:rPr>
        <w:t>Banovici</w:t>
      </w:r>
      <w:proofErr w:type="spellEnd"/>
      <w:r w:rsidRPr="00ED4D49">
        <w:rPr>
          <w:rStyle w:val="tlid-translation"/>
          <w:rFonts w:cs="Calibri"/>
          <w:lang w:val="en-US"/>
        </w:rPr>
        <w:t xml:space="preserve">, </w:t>
      </w:r>
      <w:proofErr w:type="spellStart"/>
      <w:r w:rsidRPr="00ED4D49">
        <w:rPr>
          <w:rStyle w:val="tlid-translation"/>
          <w:rFonts w:cs="Calibri"/>
          <w:lang w:val="en-US"/>
        </w:rPr>
        <w:t>Kalesija</w:t>
      </w:r>
      <w:proofErr w:type="spellEnd"/>
      <w:r w:rsidRPr="00ED4D49">
        <w:rPr>
          <w:rStyle w:val="tlid-translation"/>
          <w:rFonts w:cs="Calibri"/>
          <w:lang w:val="en-US"/>
        </w:rPr>
        <w:t xml:space="preserve">, Tuzla, </w:t>
      </w:r>
      <w:proofErr w:type="spellStart"/>
      <w:r w:rsidRPr="00ED4D49">
        <w:rPr>
          <w:rStyle w:val="tlid-translation"/>
          <w:rFonts w:cs="Calibri"/>
          <w:lang w:val="en-US"/>
        </w:rPr>
        <w:t>Olovo</w:t>
      </w:r>
      <w:proofErr w:type="spellEnd"/>
      <w:r w:rsidRPr="00ED4D49">
        <w:rPr>
          <w:rStyle w:val="tlid-translation"/>
          <w:rFonts w:cs="Calibri"/>
          <w:lang w:val="en-US"/>
        </w:rPr>
        <w:t xml:space="preserve"> and </w:t>
      </w:r>
      <w:proofErr w:type="spellStart"/>
      <w:r w:rsidRPr="00ED4D49">
        <w:rPr>
          <w:rStyle w:val="tlid-translation"/>
          <w:rFonts w:cs="Calibri"/>
          <w:lang w:val="en-US"/>
        </w:rPr>
        <w:t>Trnovo</w:t>
      </w:r>
      <w:proofErr w:type="spellEnd"/>
      <w:r w:rsidRPr="00ED4D49">
        <w:rPr>
          <w:rStyle w:val="tlid-translation"/>
          <w:rFonts w:cs="Calibri"/>
          <w:lang w:val="en-US"/>
        </w:rPr>
        <w:t xml:space="preserve">. The total number of inhabitants in the part of the DRB that belongs to FBiH is 58,120 inhabitants (2013 Census). </w:t>
      </w:r>
    </w:p>
    <w:p w14:paraId="50AC1424" w14:textId="06DB425E" w:rsidR="00A67FEE" w:rsidRPr="00ED4D49" w:rsidRDefault="00A67FEE" w:rsidP="00A67FEE">
      <w:pPr>
        <w:spacing w:before="0"/>
        <w:jc w:val="both"/>
        <w:rPr>
          <w:rStyle w:val="tlid-translation"/>
          <w:rFonts w:cs="Calibri"/>
          <w:lang w:val="en-US"/>
        </w:rPr>
      </w:pPr>
      <w:r w:rsidRPr="00ED4D49">
        <w:rPr>
          <w:rStyle w:val="tlid-translation"/>
          <w:rFonts w:cs="Calibri"/>
          <w:lang w:val="en-US"/>
        </w:rPr>
        <w:t xml:space="preserve">19 municipalities are located on the territory of DRB in </w:t>
      </w:r>
      <w:proofErr w:type="spellStart"/>
      <w:r w:rsidRPr="00ED4D49">
        <w:rPr>
          <w:rStyle w:val="tlid-translation"/>
          <w:rFonts w:cs="Calibri"/>
          <w:lang w:val="en-US"/>
        </w:rPr>
        <w:t>Republika</w:t>
      </w:r>
      <w:proofErr w:type="spellEnd"/>
      <w:r w:rsidRPr="00ED4D49">
        <w:rPr>
          <w:rStyle w:val="tlid-translation"/>
          <w:rFonts w:cs="Calibri"/>
          <w:lang w:val="en-US"/>
        </w:rPr>
        <w:t xml:space="preserve"> Srpska: Bijeljina, Bratunac, </w:t>
      </w:r>
      <w:proofErr w:type="spellStart"/>
      <w:r w:rsidR="00A7018E" w:rsidRPr="00ED4D49">
        <w:rPr>
          <w:rStyle w:val="tlid-translation"/>
          <w:rFonts w:cs="Calibri"/>
          <w:lang w:val="en-US"/>
        </w:rPr>
        <w:t>C</w:t>
      </w:r>
      <w:r w:rsidRPr="00ED4D49">
        <w:rPr>
          <w:rStyle w:val="tlid-translation"/>
          <w:rFonts w:cs="Calibri"/>
          <w:lang w:val="en-US"/>
        </w:rPr>
        <w:t>ajni</w:t>
      </w:r>
      <w:r w:rsidR="00A7018E" w:rsidRPr="00ED4D49">
        <w:rPr>
          <w:rStyle w:val="tlid-translation"/>
          <w:rFonts w:cs="Calibri"/>
          <w:lang w:val="en-US"/>
        </w:rPr>
        <w:t>c</w:t>
      </w:r>
      <w:r w:rsidRPr="00ED4D49">
        <w:rPr>
          <w:rStyle w:val="tlid-translation"/>
          <w:rFonts w:cs="Calibri"/>
          <w:lang w:val="en-US"/>
        </w:rPr>
        <w:t>e</w:t>
      </w:r>
      <w:proofErr w:type="spellEnd"/>
      <w:r w:rsidRPr="00ED4D49">
        <w:rPr>
          <w:rStyle w:val="tlid-translation"/>
          <w:rFonts w:cs="Calibri"/>
          <w:lang w:val="en-US"/>
        </w:rPr>
        <w:t>, Fo</w:t>
      </w:r>
      <w:r w:rsidR="00A7018E" w:rsidRPr="00ED4D49">
        <w:rPr>
          <w:rStyle w:val="tlid-translation"/>
          <w:rFonts w:cs="Calibri"/>
          <w:lang w:val="en-US"/>
        </w:rPr>
        <w:t>c</w:t>
      </w:r>
      <w:r w:rsidRPr="00ED4D49">
        <w:rPr>
          <w:rStyle w:val="tlid-translation"/>
          <w:rFonts w:cs="Calibri"/>
          <w:lang w:val="en-US"/>
        </w:rPr>
        <w:t xml:space="preserve">a, Gacko, Han </w:t>
      </w:r>
      <w:proofErr w:type="spellStart"/>
      <w:r w:rsidRPr="00ED4D49">
        <w:rPr>
          <w:rStyle w:val="tlid-translation"/>
          <w:rFonts w:cs="Calibri"/>
          <w:lang w:val="en-US"/>
        </w:rPr>
        <w:t>Pijesak</w:t>
      </w:r>
      <w:proofErr w:type="spellEnd"/>
      <w:r w:rsidRPr="00ED4D49">
        <w:rPr>
          <w:rStyle w:val="tlid-translation"/>
          <w:rFonts w:cs="Calibri"/>
          <w:lang w:val="en-US"/>
        </w:rPr>
        <w:t xml:space="preserve">, </w:t>
      </w:r>
      <w:proofErr w:type="spellStart"/>
      <w:r w:rsidRPr="00ED4D49">
        <w:rPr>
          <w:rStyle w:val="tlid-translation"/>
          <w:rFonts w:cs="Calibri"/>
          <w:lang w:val="en-US"/>
        </w:rPr>
        <w:t>Lopare</w:t>
      </w:r>
      <w:proofErr w:type="spellEnd"/>
      <w:r w:rsidRPr="00ED4D49">
        <w:rPr>
          <w:rStyle w:val="tlid-translation"/>
          <w:rFonts w:cs="Calibri"/>
          <w:lang w:val="en-US"/>
        </w:rPr>
        <w:t>, Mili</w:t>
      </w:r>
      <w:r w:rsidR="00A7018E" w:rsidRPr="00ED4D49">
        <w:rPr>
          <w:rStyle w:val="tlid-translation"/>
          <w:rFonts w:cs="Calibri"/>
          <w:lang w:val="en-US"/>
        </w:rPr>
        <w:t>c</w:t>
      </w:r>
      <w:r w:rsidRPr="00ED4D49">
        <w:rPr>
          <w:rStyle w:val="tlid-translation"/>
          <w:rFonts w:cs="Calibri"/>
          <w:lang w:val="en-US"/>
        </w:rPr>
        <w:t>i, Novo Gora</w:t>
      </w:r>
      <w:r w:rsidR="00A7018E" w:rsidRPr="00ED4D49">
        <w:rPr>
          <w:rStyle w:val="tlid-translation"/>
          <w:rFonts w:cs="Calibri"/>
          <w:lang w:val="en-US"/>
        </w:rPr>
        <w:t>z</w:t>
      </w:r>
      <w:r w:rsidRPr="00ED4D49">
        <w:rPr>
          <w:rStyle w:val="tlid-translation"/>
          <w:rFonts w:cs="Calibri"/>
          <w:lang w:val="en-US"/>
        </w:rPr>
        <w:t xml:space="preserve">de, Pale, Rogatica, Rudo, </w:t>
      </w:r>
      <w:proofErr w:type="spellStart"/>
      <w:r w:rsidR="00A7018E" w:rsidRPr="00ED4D49">
        <w:rPr>
          <w:rStyle w:val="tlid-translation"/>
          <w:rFonts w:cs="Calibri"/>
          <w:lang w:val="en-US"/>
        </w:rPr>
        <w:t>S</w:t>
      </w:r>
      <w:r w:rsidRPr="00ED4D49">
        <w:rPr>
          <w:rStyle w:val="tlid-translation"/>
          <w:rFonts w:cs="Calibri"/>
          <w:lang w:val="en-US"/>
        </w:rPr>
        <w:t>ekovi</w:t>
      </w:r>
      <w:r w:rsidR="00A7018E" w:rsidRPr="00ED4D49">
        <w:rPr>
          <w:rStyle w:val="tlid-translation"/>
          <w:rFonts w:cs="Calibri"/>
          <w:lang w:val="en-US"/>
        </w:rPr>
        <w:t>c</w:t>
      </w:r>
      <w:r w:rsidRPr="00ED4D49">
        <w:rPr>
          <w:rStyle w:val="tlid-translation"/>
          <w:rFonts w:cs="Calibri"/>
          <w:lang w:val="en-US"/>
        </w:rPr>
        <w:t>i</w:t>
      </w:r>
      <w:proofErr w:type="spellEnd"/>
      <w:r w:rsidRPr="00ED4D49">
        <w:rPr>
          <w:rStyle w:val="tlid-translation"/>
          <w:rFonts w:cs="Calibri"/>
          <w:lang w:val="en-US"/>
        </w:rPr>
        <w:t xml:space="preserve">, </w:t>
      </w:r>
      <w:proofErr w:type="spellStart"/>
      <w:r w:rsidRPr="00ED4D49">
        <w:rPr>
          <w:rStyle w:val="tlid-translation"/>
          <w:rFonts w:cs="Calibri"/>
          <w:lang w:val="en-US"/>
        </w:rPr>
        <w:t>Sokolac</w:t>
      </w:r>
      <w:proofErr w:type="spellEnd"/>
      <w:r w:rsidRPr="00ED4D49">
        <w:rPr>
          <w:rStyle w:val="tlid-translation"/>
          <w:rFonts w:cs="Calibri"/>
          <w:lang w:val="en-US"/>
        </w:rPr>
        <w:t xml:space="preserve">, Srebrenica, Ugljevik, </w:t>
      </w:r>
      <w:proofErr w:type="spellStart"/>
      <w:r w:rsidRPr="00ED4D49">
        <w:rPr>
          <w:rStyle w:val="tlid-translation"/>
          <w:rFonts w:cs="Calibri"/>
          <w:lang w:val="en-US"/>
        </w:rPr>
        <w:t>Vi</w:t>
      </w:r>
      <w:r w:rsidR="00A7018E" w:rsidRPr="00ED4D49">
        <w:rPr>
          <w:rStyle w:val="tlid-translation"/>
          <w:rFonts w:cs="Calibri"/>
          <w:lang w:val="en-US"/>
        </w:rPr>
        <w:t>s</w:t>
      </w:r>
      <w:r w:rsidRPr="00ED4D49">
        <w:rPr>
          <w:rStyle w:val="tlid-translation"/>
          <w:rFonts w:cs="Calibri"/>
          <w:lang w:val="en-US"/>
        </w:rPr>
        <w:t>egrad</w:t>
      </w:r>
      <w:proofErr w:type="spellEnd"/>
      <w:r w:rsidRPr="00ED4D49">
        <w:rPr>
          <w:rStyle w:val="tlid-translation"/>
          <w:rFonts w:cs="Calibri"/>
          <w:lang w:val="en-US"/>
        </w:rPr>
        <w:t xml:space="preserve">, </w:t>
      </w:r>
      <w:proofErr w:type="spellStart"/>
      <w:r w:rsidRPr="00ED4D49">
        <w:rPr>
          <w:rStyle w:val="tlid-translation"/>
          <w:rFonts w:cs="Calibri"/>
          <w:lang w:val="en-US"/>
        </w:rPr>
        <w:t>Vlasenica</w:t>
      </w:r>
      <w:proofErr w:type="spellEnd"/>
      <w:r w:rsidRPr="00ED4D49">
        <w:rPr>
          <w:rStyle w:val="tlid-translation"/>
          <w:rFonts w:cs="Calibri"/>
          <w:lang w:val="en-US"/>
        </w:rPr>
        <w:t xml:space="preserve"> and </w:t>
      </w:r>
      <w:proofErr w:type="spellStart"/>
      <w:r w:rsidRPr="00ED4D49">
        <w:rPr>
          <w:rStyle w:val="tlid-translation"/>
          <w:rFonts w:cs="Calibri"/>
          <w:lang w:val="en-US"/>
        </w:rPr>
        <w:t>Zvornik</w:t>
      </w:r>
      <w:proofErr w:type="spellEnd"/>
      <w:r w:rsidRPr="00ED4D49">
        <w:rPr>
          <w:rStyle w:val="tlid-translation"/>
          <w:rFonts w:cs="Calibri"/>
          <w:lang w:val="en-US"/>
        </w:rPr>
        <w:t xml:space="preserve">. The total number of inhabitants in RS (in the DRB part) is 371,461 inhabitants (2013 Census). </w:t>
      </w:r>
    </w:p>
    <w:p w14:paraId="748D846A" w14:textId="5AF245F0" w:rsidR="00A67FEE" w:rsidRPr="00ED4D49" w:rsidRDefault="00A67FEE" w:rsidP="00A67FEE">
      <w:pPr>
        <w:spacing w:before="0"/>
        <w:jc w:val="both"/>
        <w:rPr>
          <w:rStyle w:val="tlid-translation"/>
          <w:rFonts w:cs="Calibri"/>
          <w:lang w:val="en-US"/>
        </w:rPr>
      </w:pPr>
      <w:r w:rsidRPr="00ED4D49">
        <w:rPr>
          <w:rStyle w:val="tlid-translation"/>
          <w:rFonts w:cs="Calibri"/>
          <w:lang w:val="en-US"/>
        </w:rPr>
        <w:t>The population density in RS is 51 inhabitants/km</w:t>
      </w:r>
      <w:r w:rsidRPr="00ED4D49">
        <w:rPr>
          <w:rStyle w:val="tlid-translation"/>
          <w:rFonts w:cs="Calibri"/>
          <w:vertAlign w:val="superscript"/>
          <w:lang w:val="en-US"/>
        </w:rPr>
        <w:t>2</w:t>
      </w:r>
      <w:r w:rsidRPr="00ED4D49">
        <w:rPr>
          <w:rStyle w:val="tlid-translation"/>
          <w:rFonts w:cs="Calibri"/>
          <w:lang w:val="en-US"/>
        </w:rPr>
        <w:t>, while in FBiH it is 59 inhabitants/km</w:t>
      </w:r>
      <w:r w:rsidRPr="00ED4D49">
        <w:rPr>
          <w:rStyle w:val="tlid-translation"/>
          <w:rFonts w:cs="Calibri"/>
          <w:vertAlign w:val="superscript"/>
          <w:lang w:val="en-US"/>
        </w:rPr>
        <w:t>2</w:t>
      </w:r>
      <w:r w:rsidRPr="00ED4D49">
        <w:rPr>
          <w:rStyle w:val="tlid-translation"/>
          <w:rFonts w:cs="Calibri"/>
          <w:lang w:val="en-US"/>
        </w:rPr>
        <w:t xml:space="preserve">. The Municipality </w:t>
      </w:r>
      <w:proofErr w:type="spellStart"/>
      <w:r w:rsidRPr="00ED4D49">
        <w:rPr>
          <w:rStyle w:val="tlid-translation"/>
          <w:rFonts w:cs="Calibri"/>
          <w:lang w:val="en-US"/>
        </w:rPr>
        <w:t>Teo</w:t>
      </w:r>
      <w:r w:rsidR="00A7018E" w:rsidRPr="00ED4D49">
        <w:rPr>
          <w:rStyle w:val="tlid-translation"/>
          <w:rFonts w:cs="Calibri"/>
          <w:lang w:val="en-US"/>
        </w:rPr>
        <w:t>c</w:t>
      </w:r>
      <w:r w:rsidRPr="00ED4D49">
        <w:rPr>
          <w:rStyle w:val="tlid-translation"/>
          <w:rFonts w:cs="Calibri"/>
          <w:lang w:val="en-US"/>
        </w:rPr>
        <w:t>ak</w:t>
      </w:r>
      <w:proofErr w:type="spellEnd"/>
      <w:r w:rsidRPr="00ED4D49">
        <w:rPr>
          <w:rStyle w:val="tlid-translation"/>
          <w:rFonts w:cs="Calibri"/>
          <w:lang w:val="en-US"/>
        </w:rPr>
        <w:t xml:space="preserve"> has the highest population density in BiH and in the whole DRB, with 262 inhabitants/km</w:t>
      </w:r>
      <w:r w:rsidRPr="00ED4D49">
        <w:rPr>
          <w:rStyle w:val="tlid-translation"/>
          <w:rFonts w:cs="Calibri"/>
          <w:vertAlign w:val="superscript"/>
          <w:lang w:val="en-US"/>
        </w:rPr>
        <w:t>2</w:t>
      </w:r>
      <w:r w:rsidRPr="00ED4D49">
        <w:rPr>
          <w:rStyle w:val="tlid-translation"/>
          <w:rFonts w:cs="Calibri"/>
          <w:lang w:val="en-US"/>
        </w:rPr>
        <w:t xml:space="preserve">, and the lowest density is in the municipalities of Han </w:t>
      </w:r>
      <w:proofErr w:type="spellStart"/>
      <w:r w:rsidRPr="00ED4D49">
        <w:rPr>
          <w:rStyle w:val="tlid-translation"/>
          <w:rFonts w:cs="Calibri"/>
          <w:lang w:val="en-US"/>
        </w:rPr>
        <w:t>Pijesak</w:t>
      </w:r>
      <w:proofErr w:type="spellEnd"/>
      <w:r w:rsidRPr="00ED4D49">
        <w:rPr>
          <w:rStyle w:val="tlid-translation"/>
          <w:rFonts w:cs="Calibri"/>
          <w:lang w:val="en-US"/>
        </w:rPr>
        <w:t>, Fo</w:t>
      </w:r>
      <w:r w:rsidR="00A7018E" w:rsidRPr="00ED4D49">
        <w:rPr>
          <w:rStyle w:val="tlid-translation"/>
          <w:rFonts w:cs="Calibri"/>
          <w:lang w:val="en-US"/>
        </w:rPr>
        <w:t>c</w:t>
      </w:r>
      <w:r w:rsidRPr="00ED4D49">
        <w:rPr>
          <w:rStyle w:val="tlid-translation"/>
          <w:rFonts w:cs="Calibri"/>
          <w:lang w:val="en-US"/>
        </w:rPr>
        <w:t xml:space="preserve">a (FBiH and RS), Pale (FBiH), Rogatica, </w:t>
      </w:r>
      <w:proofErr w:type="spellStart"/>
      <w:r w:rsidRPr="00ED4D49">
        <w:rPr>
          <w:rStyle w:val="tlid-translation"/>
          <w:rFonts w:cs="Calibri"/>
          <w:lang w:val="en-US"/>
        </w:rPr>
        <w:t>Sokolac</w:t>
      </w:r>
      <w:proofErr w:type="spellEnd"/>
      <w:r w:rsidRPr="00ED4D49">
        <w:rPr>
          <w:rStyle w:val="tlid-translation"/>
          <w:rFonts w:cs="Calibri"/>
          <w:lang w:val="en-US"/>
        </w:rPr>
        <w:t xml:space="preserve"> and </w:t>
      </w:r>
      <w:proofErr w:type="spellStart"/>
      <w:r w:rsidR="00A7018E" w:rsidRPr="00ED4D49">
        <w:rPr>
          <w:rStyle w:val="tlid-translation"/>
          <w:rFonts w:cs="Calibri"/>
          <w:lang w:val="en-US"/>
        </w:rPr>
        <w:t>C</w:t>
      </w:r>
      <w:r w:rsidRPr="00ED4D49">
        <w:rPr>
          <w:rStyle w:val="tlid-translation"/>
          <w:rFonts w:cs="Calibri"/>
          <w:lang w:val="en-US"/>
        </w:rPr>
        <w:t>ajnice</w:t>
      </w:r>
      <w:proofErr w:type="spellEnd"/>
      <w:r w:rsidRPr="00ED4D49">
        <w:rPr>
          <w:rStyle w:val="tlid-translation"/>
          <w:rFonts w:cs="Calibri"/>
          <w:lang w:val="en-US"/>
        </w:rPr>
        <w:t>, with less than 20 inhabitants/km</w:t>
      </w:r>
      <w:r w:rsidRPr="00ED4D49">
        <w:rPr>
          <w:rStyle w:val="tlid-translation"/>
          <w:rFonts w:cs="Calibri"/>
          <w:vertAlign w:val="superscript"/>
          <w:lang w:val="en-US"/>
        </w:rPr>
        <w:t>2</w:t>
      </w:r>
      <w:r w:rsidRPr="00ED4D49">
        <w:rPr>
          <w:rStyle w:val="tlid-translation"/>
          <w:rFonts w:cs="Calibri"/>
          <w:lang w:val="en-US"/>
        </w:rPr>
        <w:t>.</w:t>
      </w:r>
    </w:p>
    <w:p w14:paraId="741DC074" w14:textId="77777777" w:rsidR="00A67FEE" w:rsidRPr="00ED4D49" w:rsidRDefault="00A67FEE" w:rsidP="00A67FEE">
      <w:pPr>
        <w:spacing w:before="0"/>
        <w:jc w:val="both"/>
        <w:rPr>
          <w:color w:val="000000"/>
          <w:szCs w:val="23"/>
          <w:lang w:val="en-US"/>
        </w:rPr>
      </w:pPr>
      <w:r w:rsidRPr="00ED4D49">
        <w:rPr>
          <w:color w:val="000000"/>
          <w:szCs w:val="23"/>
          <w:lang w:val="en-US"/>
        </w:rPr>
        <w:t>According to the presented demographic profile in the DRB, this Project will have a positive social impact on about 429,581 people living in 31 municipalities and cities in BiH (which represent 39% of total population of the DRB). The Project will contribute to social welfare of the local population by supporting activities to prevent and deal with climate change-related disasters, notably floods and droughts.</w:t>
      </w:r>
    </w:p>
    <w:p w14:paraId="346D1C5A" w14:textId="77777777" w:rsidR="00A67FEE" w:rsidRPr="00ED4D49" w:rsidRDefault="00A67FEE" w:rsidP="00A67FEE">
      <w:pPr>
        <w:pStyle w:val="Heading3"/>
      </w:pPr>
      <w:bookmarkStart w:id="100" w:name="_Toc20858921"/>
      <w:bookmarkStart w:id="101" w:name="_Toc21102396"/>
      <w:bookmarkStart w:id="102" w:name="_Toc31811069"/>
      <w:r w:rsidRPr="00ED4D49">
        <w:t>Demography in the Sava Basin</w:t>
      </w:r>
      <w:bookmarkEnd w:id="100"/>
      <w:bookmarkEnd w:id="101"/>
      <w:bookmarkEnd w:id="102"/>
    </w:p>
    <w:p w14:paraId="58E5660F" w14:textId="2754FD17" w:rsidR="00A67FEE" w:rsidRPr="00ED4D49" w:rsidRDefault="00A67FEE" w:rsidP="00A67FEE">
      <w:pPr>
        <w:spacing w:before="0"/>
        <w:jc w:val="both"/>
        <w:rPr>
          <w:rFonts w:cs="Calibri"/>
          <w:lang w:val="en-US"/>
        </w:rPr>
      </w:pPr>
      <w:r w:rsidRPr="00ED4D49">
        <w:rPr>
          <w:rStyle w:val="tlid-translation"/>
          <w:rFonts w:cs="Calibri"/>
          <w:lang w:val="en-US"/>
        </w:rPr>
        <w:t xml:space="preserve">The SRB in FBiH covers nine municipalities: </w:t>
      </w:r>
      <w:proofErr w:type="spellStart"/>
      <w:r w:rsidRPr="00ED4D49">
        <w:rPr>
          <w:rStyle w:val="tlid-translation"/>
          <w:rFonts w:cs="Calibri"/>
          <w:lang w:val="en-US"/>
        </w:rPr>
        <w:t>Domaljevac-Samac</w:t>
      </w:r>
      <w:proofErr w:type="spellEnd"/>
      <w:r w:rsidRPr="00ED4D49">
        <w:rPr>
          <w:rStyle w:val="tlid-translation"/>
          <w:rFonts w:cs="Calibri"/>
          <w:lang w:val="en-US"/>
        </w:rPr>
        <w:t xml:space="preserve">, </w:t>
      </w:r>
      <w:proofErr w:type="spellStart"/>
      <w:r w:rsidRPr="00ED4D49">
        <w:rPr>
          <w:rStyle w:val="tlid-translation"/>
          <w:rFonts w:cs="Calibri"/>
          <w:lang w:val="en-US"/>
        </w:rPr>
        <w:t>Orasje</w:t>
      </w:r>
      <w:proofErr w:type="spellEnd"/>
      <w:r w:rsidRPr="00ED4D49">
        <w:rPr>
          <w:rStyle w:val="tlid-translation"/>
          <w:rFonts w:cs="Calibri"/>
          <w:lang w:val="en-US"/>
        </w:rPr>
        <w:t xml:space="preserve">, </w:t>
      </w:r>
      <w:proofErr w:type="spellStart"/>
      <w:r w:rsidRPr="00ED4D49">
        <w:rPr>
          <w:rStyle w:val="tlid-translation"/>
          <w:rFonts w:cs="Calibri"/>
          <w:lang w:val="en-US"/>
        </w:rPr>
        <w:t>Odzak</w:t>
      </w:r>
      <w:proofErr w:type="spellEnd"/>
      <w:r w:rsidRPr="00ED4D49">
        <w:rPr>
          <w:rStyle w:val="tlid-translation"/>
          <w:rFonts w:cs="Calibri"/>
          <w:lang w:val="en-US"/>
        </w:rPr>
        <w:t xml:space="preserve">, </w:t>
      </w:r>
      <w:proofErr w:type="spellStart"/>
      <w:r w:rsidRPr="00ED4D49">
        <w:rPr>
          <w:rStyle w:val="tlid-translation"/>
          <w:rFonts w:cs="Calibri"/>
          <w:lang w:val="en-US"/>
        </w:rPr>
        <w:t>Gradacac</w:t>
      </w:r>
      <w:proofErr w:type="spellEnd"/>
      <w:r w:rsidRPr="00ED4D49">
        <w:rPr>
          <w:rStyle w:val="tlid-translation"/>
          <w:rFonts w:cs="Calibri"/>
          <w:lang w:val="en-US"/>
        </w:rPr>
        <w:t xml:space="preserve">, Gracanica, </w:t>
      </w:r>
      <w:proofErr w:type="spellStart"/>
      <w:r w:rsidRPr="00ED4D49">
        <w:rPr>
          <w:rStyle w:val="tlid-translation"/>
          <w:rFonts w:cs="Calibri"/>
          <w:lang w:val="en-US"/>
        </w:rPr>
        <w:t>Lukavac</w:t>
      </w:r>
      <w:proofErr w:type="spellEnd"/>
      <w:r w:rsidRPr="00ED4D49">
        <w:rPr>
          <w:rStyle w:val="tlid-translation"/>
          <w:rFonts w:cs="Calibri"/>
          <w:lang w:val="en-US"/>
        </w:rPr>
        <w:t xml:space="preserve">, </w:t>
      </w:r>
      <w:proofErr w:type="spellStart"/>
      <w:r w:rsidRPr="00ED4D49">
        <w:rPr>
          <w:rStyle w:val="tlid-translation"/>
          <w:rFonts w:cs="Calibri"/>
          <w:lang w:val="en-US"/>
        </w:rPr>
        <w:t>Srebrenik</w:t>
      </w:r>
      <w:proofErr w:type="spellEnd"/>
      <w:r w:rsidRPr="00ED4D49">
        <w:rPr>
          <w:rStyle w:val="tlid-translation"/>
          <w:rFonts w:cs="Calibri"/>
          <w:lang w:val="en-US"/>
        </w:rPr>
        <w:t xml:space="preserve">, Celic and Tuzla. The total number of inhabitants in the part of SRB that belongs to FBiH is </w:t>
      </w:r>
      <w:r w:rsidRPr="00ED4D49">
        <w:rPr>
          <w:rFonts w:cs="Calibri"/>
          <w:lang w:val="en-US"/>
        </w:rPr>
        <w:t>333, 692 inhabitants (2013 Census).</w:t>
      </w:r>
    </w:p>
    <w:p w14:paraId="73894495" w14:textId="441B131E" w:rsidR="00A67FEE" w:rsidRPr="00ED4D49" w:rsidRDefault="00A67FEE" w:rsidP="00A67FEE">
      <w:pPr>
        <w:spacing w:before="0"/>
        <w:jc w:val="both"/>
        <w:rPr>
          <w:rFonts w:cs="Calibri"/>
          <w:lang w:val="en-US"/>
        </w:rPr>
      </w:pPr>
      <w:r w:rsidRPr="00ED4D49">
        <w:rPr>
          <w:rFonts w:cs="Calibri"/>
          <w:lang w:val="en-US"/>
        </w:rPr>
        <w:t xml:space="preserve">The SRB in RS covers twenty-two municipalities: </w:t>
      </w:r>
      <w:proofErr w:type="spellStart"/>
      <w:r w:rsidRPr="00ED4D49">
        <w:rPr>
          <w:rFonts w:cs="Calibri"/>
          <w:lang w:val="en-US"/>
        </w:rPr>
        <w:t>Kozarska</w:t>
      </w:r>
      <w:proofErr w:type="spellEnd"/>
      <w:r w:rsidRPr="00ED4D49">
        <w:rPr>
          <w:rFonts w:cs="Calibri"/>
          <w:lang w:val="en-US"/>
        </w:rPr>
        <w:t xml:space="preserve"> </w:t>
      </w:r>
      <w:proofErr w:type="spellStart"/>
      <w:r w:rsidRPr="00ED4D49">
        <w:rPr>
          <w:rFonts w:cs="Calibri"/>
          <w:lang w:val="en-US"/>
        </w:rPr>
        <w:t>Dubica</w:t>
      </w:r>
      <w:proofErr w:type="spellEnd"/>
      <w:r w:rsidRPr="00ED4D49">
        <w:rPr>
          <w:rFonts w:cs="Calibri"/>
          <w:lang w:val="en-US"/>
        </w:rPr>
        <w:t xml:space="preserve">, </w:t>
      </w:r>
      <w:proofErr w:type="spellStart"/>
      <w:r w:rsidRPr="00ED4D49">
        <w:rPr>
          <w:rFonts w:cs="Calibri"/>
          <w:lang w:val="en-US"/>
        </w:rPr>
        <w:t>Prijedor</w:t>
      </w:r>
      <w:proofErr w:type="spellEnd"/>
      <w:r w:rsidRPr="00ED4D49">
        <w:rPr>
          <w:rFonts w:cs="Calibri"/>
          <w:lang w:val="en-US"/>
        </w:rPr>
        <w:t xml:space="preserve">, </w:t>
      </w:r>
      <w:proofErr w:type="spellStart"/>
      <w:r w:rsidRPr="00ED4D49">
        <w:rPr>
          <w:rFonts w:cs="Calibri"/>
          <w:lang w:val="en-US"/>
        </w:rPr>
        <w:t>Gradi</w:t>
      </w:r>
      <w:r w:rsidR="00A7018E" w:rsidRPr="00ED4D49">
        <w:rPr>
          <w:rFonts w:cs="Calibri"/>
          <w:lang w:val="en-US"/>
        </w:rPr>
        <w:t>s</w:t>
      </w:r>
      <w:r w:rsidRPr="00ED4D49">
        <w:rPr>
          <w:rFonts w:cs="Calibri"/>
          <w:lang w:val="en-US"/>
        </w:rPr>
        <w:t>ka</w:t>
      </w:r>
      <w:proofErr w:type="spellEnd"/>
      <w:r w:rsidRPr="00ED4D49">
        <w:rPr>
          <w:rFonts w:cs="Calibri"/>
          <w:lang w:val="en-US"/>
        </w:rPr>
        <w:t xml:space="preserve">, Banja Luka, </w:t>
      </w:r>
      <w:proofErr w:type="spellStart"/>
      <w:r w:rsidRPr="00ED4D49">
        <w:rPr>
          <w:rFonts w:cs="Calibri"/>
          <w:lang w:val="en-US"/>
        </w:rPr>
        <w:t>Lakta</w:t>
      </w:r>
      <w:r w:rsidR="00A7018E" w:rsidRPr="00ED4D49">
        <w:rPr>
          <w:rFonts w:cs="Calibri"/>
          <w:lang w:val="en-US"/>
        </w:rPr>
        <w:t>s</w:t>
      </w:r>
      <w:r w:rsidRPr="00ED4D49">
        <w:rPr>
          <w:rFonts w:cs="Calibri"/>
          <w:lang w:val="en-US"/>
        </w:rPr>
        <w:t>i</w:t>
      </w:r>
      <w:proofErr w:type="spellEnd"/>
      <w:r w:rsidRPr="00ED4D49">
        <w:rPr>
          <w:rFonts w:cs="Calibri"/>
          <w:lang w:val="en-US"/>
        </w:rPr>
        <w:t xml:space="preserve">, </w:t>
      </w:r>
      <w:proofErr w:type="spellStart"/>
      <w:r w:rsidR="00A7018E" w:rsidRPr="00ED4D49">
        <w:rPr>
          <w:rFonts w:cs="Calibri"/>
          <w:lang w:val="en-US"/>
        </w:rPr>
        <w:t>C</w:t>
      </w:r>
      <w:r w:rsidRPr="00ED4D49">
        <w:rPr>
          <w:rFonts w:cs="Calibri"/>
          <w:lang w:val="en-US"/>
        </w:rPr>
        <w:t>elinac</w:t>
      </w:r>
      <w:proofErr w:type="spellEnd"/>
      <w:r w:rsidRPr="00ED4D49">
        <w:rPr>
          <w:rFonts w:cs="Calibri"/>
          <w:lang w:val="en-US"/>
        </w:rPr>
        <w:t>, Kotor Varo</w:t>
      </w:r>
      <w:r w:rsidR="00A7018E" w:rsidRPr="00ED4D49">
        <w:rPr>
          <w:rFonts w:cs="Calibri"/>
          <w:lang w:val="en-US"/>
        </w:rPr>
        <w:t>s</w:t>
      </w:r>
      <w:r w:rsidRPr="00ED4D49">
        <w:rPr>
          <w:rFonts w:cs="Calibri"/>
          <w:lang w:val="en-US"/>
        </w:rPr>
        <w:t xml:space="preserve">, </w:t>
      </w:r>
      <w:proofErr w:type="spellStart"/>
      <w:r w:rsidRPr="00ED4D49">
        <w:rPr>
          <w:rFonts w:cs="Calibri"/>
          <w:lang w:val="en-US"/>
        </w:rPr>
        <w:t>Srbac</w:t>
      </w:r>
      <w:proofErr w:type="spellEnd"/>
      <w:r w:rsidRPr="00ED4D49">
        <w:rPr>
          <w:rFonts w:cs="Calibri"/>
          <w:lang w:val="en-US"/>
        </w:rPr>
        <w:t xml:space="preserve">, </w:t>
      </w:r>
      <w:proofErr w:type="spellStart"/>
      <w:r w:rsidRPr="00ED4D49">
        <w:rPr>
          <w:rFonts w:cs="Calibri"/>
          <w:lang w:val="en-US"/>
        </w:rPr>
        <w:t>Tesli</w:t>
      </w:r>
      <w:r w:rsidR="00A7018E" w:rsidRPr="00ED4D49">
        <w:rPr>
          <w:rFonts w:cs="Calibri"/>
          <w:lang w:val="en-US"/>
        </w:rPr>
        <w:t>c</w:t>
      </w:r>
      <w:proofErr w:type="spellEnd"/>
      <w:r w:rsidRPr="00ED4D49">
        <w:rPr>
          <w:rFonts w:cs="Calibri"/>
          <w:lang w:val="en-US"/>
        </w:rPr>
        <w:t xml:space="preserve">, </w:t>
      </w:r>
      <w:proofErr w:type="spellStart"/>
      <w:r w:rsidRPr="00ED4D49">
        <w:rPr>
          <w:rFonts w:cs="Calibri"/>
          <w:lang w:val="en-US"/>
        </w:rPr>
        <w:t>Prnjavor</w:t>
      </w:r>
      <w:proofErr w:type="spellEnd"/>
      <w:r w:rsidRPr="00ED4D49">
        <w:rPr>
          <w:rFonts w:cs="Calibri"/>
          <w:lang w:val="en-US"/>
        </w:rPr>
        <w:t xml:space="preserve">, </w:t>
      </w:r>
      <w:proofErr w:type="spellStart"/>
      <w:r w:rsidRPr="00ED4D49">
        <w:rPr>
          <w:rFonts w:cs="Calibri"/>
          <w:lang w:val="en-US"/>
        </w:rPr>
        <w:t>Stanari</w:t>
      </w:r>
      <w:proofErr w:type="spellEnd"/>
      <w:r w:rsidRPr="00ED4D49">
        <w:rPr>
          <w:rFonts w:cs="Calibri"/>
          <w:lang w:val="en-US"/>
        </w:rPr>
        <w:t xml:space="preserve">, </w:t>
      </w:r>
      <w:proofErr w:type="spellStart"/>
      <w:r w:rsidRPr="00ED4D49">
        <w:rPr>
          <w:rFonts w:cs="Calibri"/>
          <w:lang w:val="en-US"/>
        </w:rPr>
        <w:t>Derventa</w:t>
      </w:r>
      <w:proofErr w:type="spellEnd"/>
      <w:r w:rsidRPr="00ED4D49">
        <w:rPr>
          <w:rFonts w:cs="Calibri"/>
          <w:lang w:val="en-US"/>
        </w:rPr>
        <w:t xml:space="preserve">, Doboj, Brod, </w:t>
      </w:r>
      <w:proofErr w:type="spellStart"/>
      <w:r w:rsidRPr="00ED4D49">
        <w:rPr>
          <w:rFonts w:cs="Calibri"/>
          <w:lang w:val="en-US"/>
        </w:rPr>
        <w:t>Modri</w:t>
      </w:r>
      <w:r w:rsidR="00A7018E" w:rsidRPr="00ED4D49">
        <w:rPr>
          <w:rFonts w:cs="Calibri"/>
          <w:lang w:val="en-US"/>
        </w:rPr>
        <w:t>c</w:t>
      </w:r>
      <w:r w:rsidRPr="00ED4D49">
        <w:rPr>
          <w:rFonts w:cs="Calibri"/>
          <w:lang w:val="en-US"/>
        </w:rPr>
        <w:t>a</w:t>
      </w:r>
      <w:proofErr w:type="spellEnd"/>
      <w:r w:rsidRPr="00ED4D49">
        <w:rPr>
          <w:rFonts w:cs="Calibri"/>
          <w:lang w:val="en-US"/>
        </w:rPr>
        <w:t xml:space="preserve">, </w:t>
      </w:r>
      <w:proofErr w:type="spellStart"/>
      <w:r w:rsidRPr="00ED4D49">
        <w:rPr>
          <w:rFonts w:cs="Calibri"/>
          <w:lang w:val="en-US"/>
        </w:rPr>
        <w:t>Vukosavlje</w:t>
      </w:r>
      <w:proofErr w:type="spellEnd"/>
      <w:r w:rsidRPr="00ED4D49">
        <w:rPr>
          <w:rFonts w:cs="Calibri"/>
          <w:lang w:val="en-US"/>
        </w:rPr>
        <w:t xml:space="preserve">, </w:t>
      </w:r>
      <w:proofErr w:type="spellStart"/>
      <w:r w:rsidR="00A7018E" w:rsidRPr="00ED4D49">
        <w:rPr>
          <w:rFonts w:cs="Calibri"/>
          <w:lang w:val="en-US"/>
        </w:rPr>
        <w:t>S</w:t>
      </w:r>
      <w:r w:rsidRPr="00ED4D49">
        <w:rPr>
          <w:rFonts w:cs="Calibri"/>
          <w:lang w:val="en-US"/>
        </w:rPr>
        <w:t>amac</w:t>
      </w:r>
      <w:proofErr w:type="spellEnd"/>
      <w:r w:rsidRPr="00ED4D49">
        <w:rPr>
          <w:rFonts w:cs="Calibri"/>
          <w:lang w:val="en-US"/>
        </w:rPr>
        <w:t xml:space="preserve">, </w:t>
      </w:r>
      <w:proofErr w:type="spellStart"/>
      <w:r w:rsidRPr="00ED4D49">
        <w:rPr>
          <w:rFonts w:cs="Calibri"/>
          <w:lang w:val="en-US"/>
        </w:rPr>
        <w:t>Donji</w:t>
      </w:r>
      <w:proofErr w:type="spellEnd"/>
      <w:r w:rsidRPr="00ED4D49">
        <w:rPr>
          <w:rFonts w:cs="Calibri"/>
          <w:lang w:val="en-US"/>
        </w:rPr>
        <w:t xml:space="preserve"> </w:t>
      </w:r>
      <w:r w:rsidR="00C6478C" w:rsidRPr="00ED4D49">
        <w:rPr>
          <w:rFonts w:cs="Calibri"/>
          <w:lang w:val="en-US"/>
        </w:rPr>
        <w:t>Z</w:t>
      </w:r>
      <w:r w:rsidRPr="00ED4D49">
        <w:rPr>
          <w:rFonts w:cs="Calibri"/>
          <w:lang w:val="en-US"/>
        </w:rPr>
        <w:t xml:space="preserve">abar, </w:t>
      </w:r>
      <w:proofErr w:type="spellStart"/>
      <w:r w:rsidRPr="00ED4D49">
        <w:rPr>
          <w:rFonts w:cs="Calibri"/>
          <w:lang w:val="en-US"/>
        </w:rPr>
        <w:t>Pelagi</w:t>
      </w:r>
      <w:r w:rsidR="00C6478C" w:rsidRPr="00ED4D49">
        <w:rPr>
          <w:rFonts w:cs="Calibri"/>
          <w:lang w:val="en-US"/>
        </w:rPr>
        <w:t>c</w:t>
      </w:r>
      <w:r w:rsidRPr="00ED4D49">
        <w:rPr>
          <w:rFonts w:cs="Calibri"/>
          <w:lang w:val="en-US"/>
        </w:rPr>
        <w:t>evo</w:t>
      </w:r>
      <w:proofErr w:type="spellEnd"/>
      <w:r w:rsidRPr="00ED4D49">
        <w:rPr>
          <w:rFonts w:cs="Calibri"/>
          <w:lang w:val="en-US"/>
        </w:rPr>
        <w:t xml:space="preserve">, </w:t>
      </w:r>
      <w:proofErr w:type="spellStart"/>
      <w:r w:rsidRPr="00ED4D49">
        <w:rPr>
          <w:rFonts w:cs="Calibri"/>
          <w:lang w:val="en-US"/>
        </w:rPr>
        <w:t>Lopare</w:t>
      </w:r>
      <w:proofErr w:type="spellEnd"/>
      <w:r w:rsidRPr="00ED4D49">
        <w:rPr>
          <w:rFonts w:cs="Calibri"/>
          <w:lang w:val="en-US"/>
        </w:rPr>
        <w:t xml:space="preserve">, Ugljevik and Bijeljina. </w:t>
      </w:r>
      <w:r w:rsidRPr="00ED4D49">
        <w:rPr>
          <w:rStyle w:val="tlid-translation"/>
          <w:rFonts w:cs="Calibri"/>
          <w:lang w:val="en-US"/>
        </w:rPr>
        <w:t xml:space="preserve">The total number of inhabitants in the part of SRB that belongs to RS is </w:t>
      </w:r>
      <w:r w:rsidRPr="00ED4D49">
        <w:rPr>
          <w:rFonts w:cs="Calibri"/>
          <w:lang w:val="en-US"/>
        </w:rPr>
        <w:t>827,886 inhabitants (2013 Census).</w:t>
      </w:r>
    </w:p>
    <w:p w14:paraId="741900FC" w14:textId="2A7976AB" w:rsidR="00A67FEE" w:rsidRPr="00ED4D49" w:rsidRDefault="00A67FEE" w:rsidP="00A67FEE">
      <w:pPr>
        <w:spacing w:before="0"/>
        <w:jc w:val="both"/>
        <w:rPr>
          <w:rFonts w:cs="Calibri"/>
          <w:lang w:val="en-US"/>
        </w:rPr>
      </w:pPr>
      <w:r w:rsidRPr="00ED4D49">
        <w:rPr>
          <w:rFonts w:cs="Calibri"/>
          <w:lang w:val="en-US"/>
        </w:rPr>
        <w:t>In addition to the aforementioned municipalities in FBiH and RS, the SRB covers Brcko District (BD) with its 83,516 inhabitants.</w:t>
      </w:r>
    </w:p>
    <w:p w14:paraId="7E47C34C" w14:textId="32F57D10" w:rsidR="00A67FEE" w:rsidRPr="00ED4D49" w:rsidRDefault="00A67FEE" w:rsidP="00A67FEE">
      <w:pPr>
        <w:spacing w:before="0"/>
        <w:jc w:val="both"/>
        <w:rPr>
          <w:rStyle w:val="tlid-translation"/>
          <w:rFonts w:cs="Calibri"/>
          <w:lang w:val="en-US"/>
        </w:rPr>
      </w:pPr>
      <w:r w:rsidRPr="00ED4D49">
        <w:rPr>
          <w:rStyle w:val="tlid-translation"/>
          <w:rFonts w:cs="Calibri"/>
          <w:lang w:val="en-US"/>
        </w:rPr>
        <w:t>The population density in SRB in RS is 82.33 inhabitants/km</w:t>
      </w:r>
      <w:r w:rsidRPr="00ED4D49">
        <w:rPr>
          <w:rStyle w:val="tlid-translation"/>
          <w:rFonts w:cs="Calibri"/>
          <w:vertAlign w:val="superscript"/>
          <w:lang w:val="en-US"/>
        </w:rPr>
        <w:t>2</w:t>
      </w:r>
      <w:r w:rsidRPr="00ED4D49">
        <w:rPr>
          <w:rStyle w:val="tlid-translation"/>
          <w:rFonts w:cs="Calibri"/>
          <w:lang w:val="en-US"/>
        </w:rPr>
        <w:t>, while in FBiH it is 192 inhabitants/km</w:t>
      </w:r>
      <w:r w:rsidRPr="00ED4D49">
        <w:rPr>
          <w:rStyle w:val="tlid-translation"/>
          <w:rFonts w:cs="Calibri"/>
          <w:vertAlign w:val="superscript"/>
          <w:lang w:val="en-US"/>
        </w:rPr>
        <w:t>2</w:t>
      </w:r>
      <w:r w:rsidRPr="00ED4D49">
        <w:rPr>
          <w:rStyle w:val="tlid-translation"/>
          <w:rFonts w:cs="Calibri"/>
          <w:lang w:val="en-US"/>
        </w:rPr>
        <w:t>. The City of Tuzla has the highest population density in SRB area in BiH, with 377.48 inhabitants/km</w:t>
      </w:r>
      <w:r w:rsidRPr="00ED4D49">
        <w:rPr>
          <w:rStyle w:val="tlid-translation"/>
          <w:rFonts w:cs="Calibri"/>
          <w:vertAlign w:val="superscript"/>
          <w:lang w:val="en-US"/>
        </w:rPr>
        <w:t>2</w:t>
      </w:r>
      <w:r w:rsidRPr="00ED4D49">
        <w:rPr>
          <w:rStyle w:val="tlid-translation"/>
          <w:rFonts w:cs="Calibri"/>
          <w:lang w:val="en-US"/>
        </w:rPr>
        <w:t>, and the lowest density is in the municipalities of Kotor Varo (36.21 inhabitants/km</w:t>
      </w:r>
      <w:r w:rsidRPr="00ED4D49">
        <w:rPr>
          <w:rStyle w:val="tlid-translation"/>
          <w:rFonts w:cs="Calibri"/>
          <w:vertAlign w:val="superscript"/>
          <w:lang w:val="en-US"/>
        </w:rPr>
        <w:t>2</w:t>
      </w:r>
      <w:r w:rsidRPr="00ED4D49">
        <w:rPr>
          <w:rStyle w:val="tlid-translation"/>
          <w:rFonts w:cs="Calibri"/>
          <w:lang w:val="en-US"/>
        </w:rPr>
        <w:t xml:space="preserve">), </w:t>
      </w:r>
      <w:proofErr w:type="spellStart"/>
      <w:r w:rsidRPr="00ED4D49">
        <w:rPr>
          <w:rStyle w:val="tlid-translation"/>
          <w:rFonts w:cs="Calibri"/>
          <w:lang w:val="en-US"/>
        </w:rPr>
        <w:t>Srbac</w:t>
      </w:r>
      <w:proofErr w:type="spellEnd"/>
      <w:r w:rsidRPr="00ED4D49">
        <w:rPr>
          <w:rStyle w:val="tlid-translation"/>
          <w:rFonts w:cs="Calibri"/>
          <w:lang w:val="en-US"/>
        </w:rPr>
        <w:t xml:space="preserve"> (38.89 inhabitants/km</w:t>
      </w:r>
      <w:r w:rsidRPr="00ED4D49">
        <w:rPr>
          <w:rStyle w:val="tlid-translation"/>
          <w:rFonts w:cs="Calibri"/>
          <w:vertAlign w:val="superscript"/>
          <w:lang w:val="en-US"/>
        </w:rPr>
        <w:t>2</w:t>
      </w:r>
      <w:r w:rsidRPr="00ED4D49">
        <w:rPr>
          <w:rStyle w:val="tlid-translation"/>
          <w:rFonts w:cs="Calibri"/>
          <w:lang w:val="en-US"/>
        </w:rPr>
        <w:t xml:space="preserve">), </w:t>
      </w:r>
      <w:proofErr w:type="spellStart"/>
      <w:r w:rsidRPr="00ED4D49">
        <w:rPr>
          <w:rStyle w:val="tlid-translation"/>
          <w:rFonts w:cs="Calibri"/>
          <w:lang w:val="en-US"/>
        </w:rPr>
        <w:t>Stanari</w:t>
      </w:r>
      <w:proofErr w:type="spellEnd"/>
      <w:r w:rsidRPr="00ED4D49">
        <w:rPr>
          <w:rStyle w:val="tlid-translation"/>
          <w:rFonts w:cs="Calibri"/>
          <w:lang w:val="en-US"/>
        </w:rPr>
        <w:t xml:space="preserve"> (42.17 inhabitants/km</w:t>
      </w:r>
      <w:r w:rsidRPr="00ED4D49">
        <w:rPr>
          <w:rStyle w:val="tlid-translation"/>
          <w:rFonts w:cs="Calibri"/>
          <w:vertAlign w:val="superscript"/>
          <w:lang w:val="en-US"/>
        </w:rPr>
        <w:t>2</w:t>
      </w:r>
      <w:r w:rsidRPr="00ED4D49">
        <w:rPr>
          <w:rStyle w:val="tlid-translation"/>
          <w:rFonts w:cs="Calibri"/>
          <w:lang w:val="en-US"/>
        </w:rPr>
        <w:t xml:space="preserve">), </w:t>
      </w:r>
      <w:proofErr w:type="spellStart"/>
      <w:r w:rsidRPr="00ED4D49">
        <w:rPr>
          <w:rStyle w:val="tlid-translation"/>
          <w:rFonts w:cs="Calibri"/>
          <w:lang w:val="en-US"/>
        </w:rPr>
        <w:t>Pelagicevo</w:t>
      </w:r>
      <w:proofErr w:type="spellEnd"/>
      <w:r w:rsidRPr="00ED4D49">
        <w:rPr>
          <w:rStyle w:val="tlid-translation"/>
          <w:rFonts w:cs="Calibri"/>
          <w:lang w:val="en-US"/>
        </w:rPr>
        <w:t xml:space="preserve"> (42.62 inhabitants/km</w:t>
      </w:r>
      <w:r w:rsidRPr="00ED4D49">
        <w:rPr>
          <w:rStyle w:val="tlid-translation"/>
          <w:rFonts w:cs="Calibri"/>
          <w:vertAlign w:val="superscript"/>
          <w:lang w:val="en-US"/>
        </w:rPr>
        <w:t>2</w:t>
      </w:r>
      <w:r w:rsidRPr="00ED4D49">
        <w:rPr>
          <w:rStyle w:val="tlid-translation"/>
          <w:rFonts w:cs="Calibri"/>
          <w:lang w:val="en-US"/>
        </w:rPr>
        <w:t xml:space="preserve">) and </w:t>
      </w:r>
      <w:proofErr w:type="spellStart"/>
      <w:r w:rsidR="00A7018E" w:rsidRPr="00ED4D49">
        <w:rPr>
          <w:rStyle w:val="tlid-translation"/>
          <w:rFonts w:cs="Calibri"/>
          <w:lang w:val="en-US"/>
        </w:rPr>
        <w:t>C</w:t>
      </w:r>
      <w:r w:rsidRPr="00ED4D49">
        <w:rPr>
          <w:rStyle w:val="tlid-translation"/>
          <w:rFonts w:cs="Calibri"/>
          <w:lang w:val="en-US"/>
        </w:rPr>
        <w:t>elinac</w:t>
      </w:r>
      <w:proofErr w:type="spellEnd"/>
      <w:r w:rsidRPr="00ED4D49">
        <w:rPr>
          <w:rStyle w:val="tlid-translation"/>
          <w:rFonts w:cs="Calibri"/>
          <w:lang w:val="en-US"/>
        </w:rPr>
        <w:t xml:space="preserve"> (42.95 inhabitants/km</w:t>
      </w:r>
      <w:r w:rsidRPr="00ED4D49">
        <w:rPr>
          <w:rStyle w:val="tlid-translation"/>
          <w:rFonts w:cs="Calibri"/>
          <w:vertAlign w:val="superscript"/>
          <w:lang w:val="en-US"/>
        </w:rPr>
        <w:t>2</w:t>
      </w:r>
      <w:r w:rsidRPr="00ED4D49">
        <w:rPr>
          <w:rStyle w:val="tlid-translation"/>
          <w:rFonts w:cs="Calibri"/>
          <w:lang w:val="en-US"/>
        </w:rPr>
        <w:t>).</w:t>
      </w:r>
    </w:p>
    <w:p w14:paraId="221C2F46" w14:textId="77777777" w:rsidR="00A67FEE" w:rsidRPr="00ED4D49" w:rsidRDefault="00A67FEE" w:rsidP="00A67FEE">
      <w:pPr>
        <w:jc w:val="both"/>
        <w:rPr>
          <w:rStyle w:val="tlid-translation"/>
          <w:rFonts w:eastAsia="Times New Roman" w:cs="Calibri"/>
          <w:color w:val="000000"/>
          <w:sz w:val="22"/>
          <w:lang w:val="en-US"/>
        </w:rPr>
      </w:pPr>
      <w:r w:rsidRPr="00ED4D49">
        <w:rPr>
          <w:color w:val="000000"/>
          <w:szCs w:val="23"/>
          <w:lang w:val="en-US"/>
        </w:rPr>
        <w:t>According to the presented demographic profile in the SRB, this Project will have a positive social impact on about 1,245,094 people living in 31 municipalities and BD BiH.</w:t>
      </w:r>
    </w:p>
    <w:p w14:paraId="2E4E633A" w14:textId="77777777" w:rsidR="00A67FEE" w:rsidRPr="00ED4D49" w:rsidRDefault="00A67FEE" w:rsidP="0063606C">
      <w:pPr>
        <w:pStyle w:val="Heading2"/>
      </w:pPr>
      <w:bookmarkStart w:id="103" w:name="_Toc438547173"/>
      <w:bookmarkStart w:id="104" w:name="_Toc20858922"/>
      <w:bookmarkStart w:id="105" w:name="_Toc21102397"/>
      <w:bookmarkStart w:id="106" w:name="_Toc31811070"/>
      <w:r w:rsidRPr="00ED4D49">
        <w:lastRenderedPageBreak/>
        <w:t>Rural and Urban Areas</w:t>
      </w:r>
      <w:bookmarkEnd w:id="103"/>
      <w:bookmarkEnd w:id="104"/>
      <w:bookmarkEnd w:id="105"/>
      <w:bookmarkEnd w:id="106"/>
    </w:p>
    <w:p w14:paraId="104176E6" w14:textId="77777777" w:rsidR="00A67FEE" w:rsidRPr="00ED4D49" w:rsidRDefault="00A67FEE" w:rsidP="00A67FEE">
      <w:pPr>
        <w:jc w:val="both"/>
        <w:rPr>
          <w:lang w:val="en-US"/>
        </w:rPr>
      </w:pPr>
      <w:r w:rsidRPr="00ED4D49">
        <w:rPr>
          <w:lang w:val="en-US"/>
        </w:rPr>
        <w:t xml:space="preserve">The urban and rural parts of BiH are considerably different. The urban parts include major cities: Sarajevo, Banja Luka, Tuzla, </w:t>
      </w:r>
      <w:proofErr w:type="spellStart"/>
      <w:r w:rsidRPr="00ED4D49">
        <w:rPr>
          <w:lang w:val="en-US"/>
        </w:rPr>
        <w:t>Zenica</w:t>
      </w:r>
      <w:proofErr w:type="spellEnd"/>
      <w:r w:rsidRPr="00ED4D49">
        <w:rPr>
          <w:lang w:val="en-US"/>
        </w:rPr>
        <w:t xml:space="preserve">, Mostar and Bijeljina, whereas the rest of the country is mainly rural. The average level of urbanization in RS and FBiH is 37%, while the differences at municipal level are significantly higher. </w:t>
      </w:r>
    </w:p>
    <w:p w14:paraId="3A7B0C54" w14:textId="77777777" w:rsidR="00A67FEE" w:rsidRPr="00ED4D49" w:rsidRDefault="00A67FEE" w:rsidP="00A67FEE">
      <w:pPr>
        <w:pStyle w:val="Heading3"/>
      </w:pPr>
      <w:bookmarkStart w:id="107" w:name="_Toc20858923"/>
      <w:bookmarkStart w:id="108" w:name="_Toc21102398"/>
      <w:bookmarkStart w:id="109" w:name="_Toc31811071"/>
      <w:r w:rsidRPr="00ED4D49">
        <w:t xml:space="preserve">Rural and Urban Areas in the </w:t>
      </w:r>
      <w:bookmarkEnd w:id="107"/>
      <w:r w:rsidRPr="00ED4D49">
        <w:t>Drina Basin</w:t>
      </w:r>
      <w:bookmarkEnd w:id="108"/>
      <w:bookmarkEnd w:id="109"/>
    </w:p>
    <w:p w14:paraId="1D94C3E4" w14:textId="401B5471" w:rsidR="00A67FEE" w:rsidRPr="00ED4D49" w:rsidRDefault="00A67FEE" w:rsidP="00A67FEE">
      <w:pPr>
        <w:jc w:val="both"/>
        <w:rPr>
          <w:lang w:val="en-US"/>
        </w:rPr>
      </w:pPr>
      <w:r w:rsidRPr="00ED4D49">
        <w:rPr>
          <w:lang w:val="en-US"/>
        </w:rPr>
        <w:t xml:space="preserve">A greater share of urban population compared to rural population is a characteristic of municipalities of Foca (62%), Pale (62%), Han </w:t>
      </w:r>
      <w:proofErr w:type="spellStart"/>
      <w:r w:rsidRPr="00ED4D49">
        <w:rPr>
          <w:lang w:val="en-US"/>
        </w:rPr>
        <w:t>Pijesak</w:t>
      </w:r>
      <w:proofErr w:type="spellEnd"/>
      <w:r w:rsidRPr="00ED4D49">
        <w:rPr>
          <w:lang w:val="en-US"/>
        </w:rPr>
        <w:t xml:space="preserve"> (53%) in RS, and Gorazde (57%) in FBiH. The Drina River in its upper and middle part of the basin flows mainly through rural areas. This project will therefore have a great positive impact on the development of rural areas compared to urban, in terms of creating new opportunities and safe business environment for rural development and ecotourism.</w:t>
      </w:r>
    </w:p>
    <w:p w14:paraId="6F2BBF57" w14:textId="77777777" w:rsidR="00A67FEE" w:rsidRPr="00ED4D49" w:rsidRDefault="00A67FEE" w:rsidP="00A67FEE">
      <w:pPr>
        <w:pStyle w:val="Heading3"/>
      </w:pPr>
      <w:bookmarkStart w:id="110" w:name="_Toc20858924"/>
      <w:bookmarkStart w:id="111" w:name="_Toc21102399"/>
      <w:bookmarkStart w:id="112" w:name="_Toc31811072"/>
      <w:r w:rsidRPr="00ED4D49">
        <w:t>Rural and Urban Areas in the Sava Basin</w:t>
      </w:r>
      <w:bookmarkEnd w:id="110"/>
      <w:bookmarkEnd w:id="111"/>
      <w:bookmarkEnd w:id="112"/>
    </w:p>
    <w:p w14:paraId="2D10531F" w14:textId="77777777" w:rsidR="00D71599" w:rsidRPr="00ED4D49" w:rsidRDefault="00A67FEE" w:rsidP="00A67FEE">
      <w:pPr>
        <w:spacing w:before="0"/>
        <w:jc w:val="both"/>
        <w:rPr>
          <w:rFonts w:asciiTheme="minorHAnsi" w:eastAsiaTheme="minorHAnsi" w:hAnsiTheme="minorHAnsi" w:cstheme="minorBidi"/>
          <w:lang w:val="en-US"/>
        </w:rPr>
      </w:pPr>
      <w:r w:rsidRPr="00ED4D49">
        <w:rPr>
          <w:rStyle w:val="tlid-translation"/>
          <w:rFonts w:cs="Calibri"/>
          <w:lang w:val="en-US"/>
        </w:rPr>
        <w:t>In FBiH and RS</w:t>
      </w:r>
      <w:r w:rsidR="00D71599" w:rsidRPr="00ED4D49">
        <w:rPr>
          <w:rStyle w:val="tlid-translation"/>
          <w:rFonts w:cs="Calibri"/>
          <w:lang w:val="en-US"/>
        </w:rPr>
        <w:t>,</w:t>
      </w:r>
      <w:r w:rsidRPr="00ED4D49">
        <w:rPr>
          <w:rStyle w:val="tlid-translation"/>
          <w:rFonts w:cs="Calibri"/>
          <w:lang w:val="en-US"/>
        </w:rPr>
        <w:t xml:space="preserve"> the Sava River flows mainly through rural areas. According to data from </w:t>
      </w:r>
      <w:r w:rsidR="00D71599" w:rsidRPr="00ED4D49">
        <w:rPr>
          <w:rStyle w:val="tlid-translation"/>
          <w:rFonts w:cs="Calibri"/>
          <w:lang w:val="en-US"/>
        </w:rPr>
        <w:t xml:space="preserve">the 2013 </w:t>
      </w:r>
      <w:r w:rsidRPr="00ED4D49">
        <w:rPr>
          <w:rStyle w:val="tlid-translation"/>
          <w:rFonts w:cs="Calibri"/>
          <w:lang w:val="en-US"/>
        </w:rPr>
        <w:t xml:space="preserve">Census, some municipalities are completely rural areas. Municipalities with 100% of rural population in RS are </w:t>
      </w:r>
      <w:proofErr w:type="spellStart"/>
      <w:r w:rsidRPr="00ED4D49">
        <w:rPr>
          <w:rFonts w:cs="Calibri"/>
          <w:lang w:val="en-US"/>
        </w:rPr>
        <w:t>Vukosavlje</w:t>
      </w:r>
      <w:proofErr w:type="spellEnd"/>
      <w:r w:rsidRPr="00ED4D49">
        <w:rPr>
          <w:rFonts w:cs="Calibri"/>
          <w:lang w:val="en-US"/>
        </w:rPr>
        <w:t xml:space="preserve">, </w:t>
      </w:r>
      <w:proofErr w:type="spellStart"/>
      <w:r w:rsidRPr="00ED4D49">
        <w:rPr>
          <w:rFonts w:asciiTheme="minorHAnsi" w:eastAsiaTheme="minorHAnsi" w:hAnsiTheme="minorHAnsi" w:cstheme="minorBidi"/>
          <w:lang w:val="en-US"/>
        </w:rPr>
        <w:t>Donji</w:t>
      </w:r>
      <w:proofErr w:type="spellEnd"/>
      <w:r w:rsidRPr="00ED4D49">
        <w:rPr>
          <w:rFonts w:asciiTheme="minorHAnsi" w:eastAsiaTheme="minorHAnsi" w:hAnsiTheme="minorHAnsi" w:cstheme="minorBidi"/>
          <w:lang w:val="en-US"/>
        </w:rPr>
        <w:t xml:space="preserve"> Zabar and </w:t>
      </w:r>
      <w:proofErr w:type="spellStart"/>
      <w:r w:rsidRPr="00ED4D49">
        <w:rPr>
          <w:rFonts w:asciiTheme="minorHAnsi" w:eastAsiaTheme="minorHAnsi" w:hAnsiTheme="minorHAnsi" w:cstheme="minorBidi"/>
          <w:lang w:val="en-US"/>
        </w:rPr>
        <w:t>Pelagicevo</w:t>
      </w:r>
      <w:proofErr w:type="spellEnd"/>
      <w:r w:rsidRPr="00ED4D49">
        <w:rPr>
          <w:rFonts w:asciiTheme="minorHAnsi" w:eastAsiaTheme="minorHAnsi" w:hAnsiTheme="minorHAnsi" w:cstheme="minorBidi"/>
          <w:lang w:val="en-US"/>
        </w:rPr>
        <w:t xml:space="preserve"> in RS, while in FBiH </w:t>
      </w:r>
      <w:r w:rsidR="00D71599" w:rsidRPr="00ED4D49">
        <w:rPr>
          <w:rFonts w:asciiTheme="minorHAnsi" w:eastAsiaTheme="minorHAnsi" w:hAnsiTheme="minorHAnsi" w:cstheme="minorBidi"/>
          <w:lang w:val="en-US"/>
        </w:rPr>
        <w:t>these are</w:t>
      </w:r>
      <w:r w:rsidRPr="00ED4D49">
        <w:rPr>
          <w:rFonts w:asciiTheme="minorHAnsi" w:eastAsiaTheme="minorHAnsi" w:hAnsiTheme="minorHAnsi" w:cstheme="minorBidi"/>
          <w:lang w:val="en-US"/>
        </w:rPr>
        <w:t xml:space="preserve"> </w:t>
      </w:r>
      <w:proofErr w:type="spellStart"/>
      <w:r w:rsidRPr="00ED4D49">
        <w:rPr>
          <w:rFonts w:asciiTheme="minorHAnsi" w:eastAsiaTheme="minorHAnsi" w:hAnsiTheme="minorHAnsi" w:cstheme="minorBidi"/>
          <w:lang w:val="en-US"/>
        </w:rPr>
        <w:t>Domaljevac-Samac</w:t>
      </w:r>
      <w:proofErr w:type="spellEnd"/>
      <w:r w:rsidRPr="00ED4D49">
        <w:rPr>
          <w:rFonts w:asciiTheme="minorHAnsi" w:eastAsiaTheme="minorHAnsi" w:hAnsiTheme="minorHAnsi" w:cstheme="minorBidi"/>
          <w:lang w:val="en-US"/>
        </w:rPr>
        <w:t xml:space="preserve"> and Celic. Other municipalities with </w:t>
      </w:r>
      <w:r w:rsidR="00D71599" w:rsidRPr="00ED4D49">
        <w:rPr>
          <w:rFonts w:asciiTheme="minorHAnsi" w:eastAsiaTheme="minorHAnsi" w:hAnsiTheme="minorHAnsi" w:cstheme="minorBidi"/>
          <w:lang w:val="en-US"/>
        </w:rPr>
        <w:t xml:space="preserve">a </w:t>
      </w:r>
      <w:r w:rsidRPr="00ED4D49">
        <w:rPr>
          <w:rFonts w:asciiTheme="minorHAnsi" w:eastAsiaTheme="minorHAnsi" w:hAnsiTheme="minorHAnsi" w:cstheme="minorBidi"/>
          <w:lang w:val="en-US"/>
        </w:rPr>
        <w:t xml:space="preserve">high rate of rural population are </w:t>
      </w:r>
      <w:proofErr w:type="spellStart"/>
      <w:r w:rsidRPr="00ED4D49">
        <w:rPr>
          <w:rFonts w:asciiTheme="minorHAnsi" w:eastAsiaTheme="minorHAnsi" w:hAnsiTheme="minorHAnsi" w:cstheme="minorBidi"/>
          <w:lang w:val="en-US"/>
        </w:rPr>
        <w:t>Srbac</w:t>
      </w:r>
      <w:proofErr w:type="spellEnd"/>
      <w:r w:rsidRPr="00ED4D49">
        <w:rPr>
          <w:rFonts w:asciiTheme="minorHAnsi" w:eastAsiaTheme="minorHAnsi" w:hAnsiTheme="minorHAnsi" w:cstheme="minorBidi"/>
          <w:lang w:val="en-US"/>
        </w:rPr>
        <w:t xml:space="preserve"> and </w:t>
      </w:r>
      <w:proofErr w:type="spellStart"/>
      <w:r w:rsidRPr="00ED4D49">
        <w:rPr>
          <w:rFonts w:asciiTheme="minorHAnsi" w:eastAsiaTheme="minorHAnsi" w:hAnsiTheme="minorHAnsi" w:cstheme="minorBidi"/>
          <w:lang w:val="en-US"/>
        </w:rPr>
        <w:t>Lopare</w:t>
      </w:r>
      <w:proofErr w:type="spellEnd"/>
      <w:r w:rsidRPr="00ED4D49">
        <w:rPr>
          <w:rFonts w:asciiTheme="minorHAnsi" w:eastAsiaTheme="minorHAnsi" w:hAnsiTheme="minorHAnsi" w:cstheme="minorBidi"/>
          <w:lang w:val="en-US"/>
        </w:rPr>
        <w:t xml:space="preserve"> in RS with 84.1% of rural population, and </w:t>
      </w:r>
      <w:proofErr w:type="spellStart"/>
      <w:r w:rsidRPr="00ED4D49">
        <w:rPr>
          <w:rFonts w:asciiTheme="minorHAnsi" w:eastAsiaTheme="minorHAnsi" w:hAnsiTheme="minorHAnsi" w:cstheme="minorBidi"/>
          <w:lang w:val="en-US"/>
        </w:rPr>
        <w:t>Srebrenik</w:t>
      </w:r>
      <w:proofErr w:type="spellEnd"/>
      <w:r w:rsidRPr="00ED4D49">
        <w:rPr>
          <w:rFonts w:asciiTheme="minorHAnsi" w:eastAsiaTheme="minorHAnsi" w:hAnsiTheme="minorHAnsi" w:cstheme="minorBidi"/>
          <w:lang w:val="en-US"/>
        </w:rPr>
        <w:t xml:space="preserve"> in FBiH with 83.1% of rural population. </w:t>
      </w:r>
    </w:p>
    <w:p w14:paraId="7C5871AD" w14:textId="2EC09491" w:rsidR="00A67FEE" w:rsidRPr="00ED4D49" w:rsidRDefault="00D71599" w:rsidP="00A67FEE">
      <w:pPr>
        <w:spacing w:before="0"/>
        <w:jc w:val="both"/>
        <w:rPr>
          <w:rStyle w:val="tlid-translation"/>
          <w:rFonts w:cs="Calibri"/>
          <w:lang w:val="en-US"/>
        </w:rPr>
      </w:pPr>
      <w:r w:rsidRPr="00ED4D49">
        <w:rPr>
          <w:rFonts w:asciiTheme="minorHAnsi" w:eastAsiaTheme="minorHAnsi" w:hAnsiTheme="minorHAnsi" w:cstheme="minorBidi"/>
          <w:lang w:val="en-US"/>
        </w:rPr>
        <w:t>A</w:t>
      </w:r>
      <w:r w:rsidR="00A67FEE" w:rsidRPr="00ED4D49">
        <w:rPr>
          <w:lang w:val="en-US"/>
        </w:rPr>
        <w:t xml:space="preserve"> greater share of urban population compared to rural population is a characteristic of the City of Banja Luka in RS with 75.1% of urban population and the City of Tuzla in FBiH with 67.1% of urban population. In other municipalities of FBiH and RS within the SRB</w:t>
      </w:r>
      <w:r w:rsidRPr="00ED4D49">
        <w:rPr>
          <w:lang w:val="en-US"/>
        </w:rPr>
        <w:t>,</w:t>
      </w:r>
      <w:r w:rsidR="00A67FEE" w:rsidRPr="00ED4D49">
        <w:rPr>
          <w:lang w:val="en-US"/>
        </w:rPr>
        <w:t xml:space="preserve"> the rate of urban population is between 15.9% and 49%. </w:t>
      </w:r>
      <w:r w:rsidRPr="00ED4D49">
        <w:rPr>
          <w:lang w:val="en-US"/>
        </w:rPr>
        <w:t>In BD,</w:t>
      </w:r>
      <w:r w:rsidR="00A67FEE" w:rsidRPr="00ED4D49">
        <w:rPr>
          <w:lang w:val="en-US"/>
        </w:rPr>
        <w:t xml:space="preserve"> the share of urban population compared to rural population is 54.5%.</w:t>
      </w:r>
    </w:p>
    <w:p w14:paraId="680DEA76" w14:textId="77777777" w:rsidR="00A67FEE" w:rsidRPr="00ED4D49" w:rsidRDefault="00A67FEE" w:rsidP="0063606C">
      <w:pPr>
        <w:pStyle w:val="Heading2"/>
      </w:pPr>
      <w:bookmarkStart w:id="113" w:name="_Toc20858925"/>
      <w:bookmarkStart w:id="114" w:name="_Toc21102400"/>
      <w:bookmarkStart w:id="115" w:name="_Toc31811073"/>
      <w:r w:rsidRPr="00ED4D49">
        <w:t>Key Economic Indicators</w:t>
      </w:r>
      <w:bookmarkEnd w:id="113"/>
      <w:bookmarkEnd w:id="114"/>
      <w:bookmarkEnd w:id="115"/>
    </w:p>
    <w:p w14:paraId="78E8B15E" w14:textId="2F2F2B39" w:rsidR="00A67FEE" w:rsidRPr="00ED4D49" w:rsidRDefault="00A67FEE" w:rsidP="00A67FEE">
      <w:pPr>
        <w:jc w:val="both"/>
        <w:rPr>
          <w:rFonts w:cs="Calibri"/>
          <w:szCs w:val="20"/>
          <w:lang w:val="en-US" w:eastAsia="hr-HR"/>
        </w:rPr>
      </w:pPr>
      <w:r w:rsidRPr="00ED4D49">
        <w:rPr>
          <w:rFonts w:cs="Calibri"/>
          <w:szCs w:val="20"/>
          <w:lang w:val="en-US" w:eastAsia="hr-HR"/>
        </w:rPr>
        <w:t xml:space="preserve">The key economic indicators for BiH are presented in </w:t>
      </w:r>
      <w:r w:rsidRPr="00ED4D49">
        <w:rPr>
          <w:rFonts w:cs="Calibri"/>
          <w:szCs w:val="20"/>
          <w:lang w:val="en-US" w:eastAsia="hr-HR"/>
        </w:rPr>
        <w:fldChar w:fldCharType="begin"/>
      </w:r>
      <w:r w:rsidRPr="00ED4D49">
        <w:rPr>
          <w:rFonts w:cs="Calibri"/>
          <w:szCs w:val="20"/>
          <w:lang w:val="en-US" w:eastAsia="hr-HR"/>
        </w:rPr>
        <w:instrText xml:space="preserve"> REF _Ref19216126 \h  \* MERGEFORMAT </w:instrText>
      </w:r>
      <w:r w:rsidRPr="00ED4D49">
        <w:rPr>
          <w:rFonts w:cs="Calibri"/>
          <w:szCs w:val="20"/>
          <w:lang w:val="en-US" w:eastAsia="hr-HR"/>
        </w:rPr>
      </w:r>
      <w:r w:rsidRPr="00ED4D49">
        <w:rPr>
          <w:rFonts w:cs="Calibri"/>
          <w:szCs w:val="20"/>
          <w:lang w:val="en-US" w:eastAsia="hr-HR"/>
        </w:rPr>
        <w:fldChar w:fldCharType="separate"/>
      </w:r>
      <w:r w:rsidR="00F60130" w:rsidRPr="00ED4D49">
        <w:rPr>
          <w:rFonts w:cs="Calibri"/>
          <w:szCs w:val="20"/>
          <w:lang w:val="en-US" w:eastAsia="hr-HR"/>
        </w:rPr>
        <w:t>Table 10</w:t>
      </w:r>
      <w:r w:rsidRPr="00ED4D49">
        <w:rPr>
          <w:rFonts w:cs="Calibri"/>
          <w:szCs w:val="20"/>
          <w:lang w:val="en-US" w:eastAsia="hr-HR"/>
        </w:rPr>
        <w:fldChar w:fldCharType="end"/>
      </w:r>
      <w:r w:rsidRPr="00ED4D49">
        <w:rPr>
          <w:rFonts w:cs="Calibri"/>
          <w:szCs w:val="20"/>
          <w:lang w:val="en-US" w:eastAsia="hr-HR"/>
        </w:rPr>
        <w:t>.</w:t>
      </w:r>
    </w:p>
    <w:p w14:paraId="11E950B2" w14:textId="73D9BC5D" w:rsidR="00A67FEE" w:rsidRPr="00ED4D49" w:rsidRDefault="00A67FEE" w:rsidP="00A67FEE">
      <w:pPr>
        <w:pStyle w:val="Caption"/>
        <w:rPr>
          <w:rFonts w:cs="Calibri"/>
          <w:b w:val="0"/>
          <w:i/>
          <w:color w:val="auto"/>
          <w:sz w:val="16"/>
          <w:szCs w:val="24"/>
        </w:rPr>
      </w:pPr>
      <w:bookmarkStart w:id="116" w:name="_Ref19216126"/>
      <w:bookmarkStart w:id="117" w:name="_Toc21102443"/>
      <w:bookmarkStart w:id="118" w:name="_Toc28188035"/>
      <w:r w:rsidRPr="00ED4D49">
        <w:rPr>
          <w:rFonts w:cs="Calibri"/>
          <w:b w:val="0"/>
          <w:bCs w:val="0"/>
          <w:i/>
          <w:iCs/>
          <w:color w:val="1F3864"/>
          <w:sz w:val="16"/>
          <w:szCs w:val="16"/>
        </w:rPr>
        <w:t xml:space="preserve">Table </w:t>
      </w:r>
      <w:r w:rsidRPr="00ED4D49">
        <w:rPr>
          <w:rFonts w:cs="Calibri"/>
          <w:b w:val="0"/>
          <w:bCs w:val="0"/>
          <w:i/>
          <w:iCs/>
          <w:color w:val="1F3864"/>
          <w:sz w:val="16"/>
          <w:szCs w:val="16"/>
        </w:rPr>
        <w:fldChar w:fldCharType="begin"/>
      </w:r>
      <w:r w:rsidRPr="00ED4D49">
        <w:rPr>
          <w:rFonts w:cs="Calibri"/>
          <w:b w:val="0"/>
          <w:bCs w:val="0"/>
          <w:i/>
          <w:iCs/>
          <w:color w:val="1F3864"/>
          <w:sz w:val="16"/>
          <w:szCs w:val="16"/>
        </w:rPr>
        <w:instrText xml:space="preserve"> SEQ Table \* ARABIC </w:instrText>
      </w:r>
      <w:r w:rsidRPr="00ED4D49">
        <w:rPr>
          <w:rFonts w:cs="Calibri"/>
          <w:b w:val="0"/>
          <w:bCs w:val="0"/>
          <w:i/>
          <w:iCs/>
          <w:color w:val="1F3864"/>
          <w:sz w:val="16"/>
          <w:szCs w:val="16"/>
        </w:rPr>
        <w:fldChar w:fldCharType="separate"/>
      </w:r>
      <w:r w:rsidR="00F60130" w:rsidRPr="00ED4D49">
        <w:rPr>
          <w:rFonts w:cs="Calibri"/>
          <w:b w:val="0"/>
          <w:bCs w:val="0"/>
          <w:i/>
          <w:iCs/>
          <w:noProof/>
          <w:color w:val="1F3864"/>
          <w:sz w:val="16"/>
          <w:szCs w:val="16"/>
        </w:rPr>
        <w:t>10</w:t>
      </w:r>
      <w:r w:rsidRPr="00ED4D49">
        <w:rPr>
          <w:rFonts w:cs="Calibri"/>
          <w:b w:val="0"/>
          <w:bCs w:val="0"/>
          <w:i/>
          <w:iCs/>
          <w:color w:val="1F3864"/>
          <w:sz w:val="16"/>
          <w:szCs w:val="16"/>
        </w:rPr>
        <w:fldChar w:fldCharType="end"/>
      </w:r>
      <w:bookmarkEnd w:id="116"/>
      <w:r w:rsidRPr="00ED4D49">
        <w:rPr>
          <w:rFonts w:cs="Calibri"/>
          <w:b w:val="0"/>
          <w:bCs w:val="0"/>
          <w:i/>
          <w:iCs/>
          <w:color w:val="1F3864"/>
          <w:sz w:val="16"/>
          <w:szCs w:val="16"/>
        </w:rPr>
        <w:t>:</w:t>
      </w:r>
      <w:r w:rsidRPr="00ED4D49">
        <w:rPr>
          <w:rFonts w:cs="Calibri"/>
          <w:b w:val="0"/>
          <w:i/>
          <w:color w:val="auto"/>
          <w:sz w:val="16"/>
        </w:rPr>
        <w:t>Key Economic Indicators in BiH in 2015, 2016, 2017 and 2018</w:t>
      </w:r>
      <w:bookmarkEnd w:id="117"/>
      <w:bookmarkEnd w:id="118"/>
    </w:p>
    <w:tbl>
      <w:tblPr>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2401"/>
        <w:gridCol w:w="1652"/>
        <w:gridCol w:w="1653"/>
        <w:gridCol w:w="1652"/>
        <w:gridCol w:w="1652"/>
      </w:tblGrid>
      <w:tr w:rsidR="00A67FEE" w:rsidRPr="00ED4D49" w14:paraId="3BB67B63" w14:textId="77777777" w:rsidTr="00A67FEE">
        <w:tc>
          <w:tcPr>
            <w:tcW w:w="1332" w:type="pct"/>
            <w:shd w:val="clear" w:color="auto" w:fill="auto"/>
          </w:tcPr>
          <w:p w14:paraId="3EC985B8" w14:textId="77777777" w:rsidR="00A67FEE" w:rsidRPr="00ED4D49" w:rsidRDefault="00A67FEE" w:rsidP="00A67FEE">
            <w:pPr>
              <w:autoSpaceDE w:val="0"/>
              <w:autoSpaceDN w:val="0"/>
              <w:adjustRightInd w:val="0"/>
              <w:spacing w:before="0" w:after="0"/>
              <w:jc w:val="both"/>
              <w:rPr>
                <w:rFonts w:cs="Calibri"/>
                <w:bCs/>
                <w:color w:val="1F3864"/>
                <w:sz w:val="16"/>
                <w:szCs w:val="20"/>
                <w:lang w:val="en-US" w:eastAsia="hr-HR"/>
              </w:rPr>
            </w:pPr>
          </w:p>
        </w:tc>
        <w:tc>
          <w:tcPr>
            <w:tcW w:w="916" w:type="pct"/>
            <w:shd w:val="clear" w:color="auto" w:fill="auto"/>
          </w:tcPr>
          <w:p w14:paraId="541BC181" w14:textId="77777777" w:rsidR="00A67FEE" w:rsidRPr="00ED4D49" w:rsidRDefault="00A67FEE" w:rsidP="00A67FEE">
            <w:pPr>
              <w:autoSpaceDE w:val="0"/>
              <w:autoSpaceDN w:val="0"/>
              <w:adjustRightInd w:val="0"/>
              <w:spacing w:before="0" w:after="0"/>
              <w:jc w:val="center"/>
              <w:rPr>
                <w:rFonts w:cs="Calibri"/>
                <w:bCs/>
                <w:color w:val="1F3864"/>
                <w:sz w:val="16"/>
                <w:szCs w:val="20"/>
                <w:lang w:val="en-US" w:eastAsia="hr-HR"/>
              </w:rPr>
            </w:pPr>
            <w:r w:rsidRPr="00ED4D49">
              <w:rPr>
                <w:rFonts w:cs="Calibri"/>
                <w:bCs/>
                <w:color w:val="1F3864"/>
                <w:sz w:val="16"/>
                <w:szCs w:val="20"/>
                <w:lang w:val="en-US" w:eastAsia="hr-HR"/>
              </w:rPr>
              <w:t>2015</w:t>
            </w:r>
          </w:p>
        </w:tc>
        <w:tc>
          <w:tcPr>
            <w:tcW w:w="917" w:type="pct"/>
            <w:shd w:val="clear" w:color="auto" w:fill="auto"/>
          </w:tcPr>
          <w:p w14:paraId="47DB4DA6" w14:textId="77777777" w:rsidR="00A67FEE" w:rsidRPr="00ED4D49" w:rsidRDefault="00A67FEE" w:rsidP="00A67FEE">
            <w:pPr>
              <w:autoSpaceDE w:val="0"/>
              <w:autoSpaceDN w:val="0"/>
              <w:adjustRightInd w:val="0"/>
              <w:spacing w:before="0" w:after="0"/>
              <w:jc w:val="center"/>
              <w:rPr>
                <w:rFonts w:cs="Calibri"/>
                <w:bCs/>
                <w:color w:val="1F3864"/>
                <w:sz w:val="16"/>
                <w:szCs w:val="20"/>
                <w:lang w:val="en-US" w:eastAsia="hr-HR"/>
              </w:rPr>
            </w:pPr>
            <w:r w:rsidRPr="00ED4D49">
              <w:rPr>
                <w:rFonts w:cs="Calibri"/>
                <w:bCs/>
                <w:color w:val="1F3864"/>
                <w:sz w:val="16"/>
                <w:szCs w:val="20"/>
                <w:lang w:val="en-US" w:eastAsia="hr-HR"/>
              </w:rPr>
              <w:t>2016</w:t>
            </w:r>
          </w:p>
        </w:tc>
        <w:tc>
          <w:tcPr>
            <w:tcW w:w="917" w:type="pct"/>
            <w:shd w:val="clear" w:color="auto" w:fill="auto"/>
          </w:tcPr>
          <w:p w14:paraId="433EC6B3" w14:textId="77777777" w:rsidR="00A67FEE" w:rsidRPr="00ED4D49" w:rsidRDefault="00A67FEE" w:rsidP="00A67FEE">
            <w:pPr>
              <w:autoSpaceDE w:val="0"/>
              <w:autoSpaceDN w:val="0"/>
              <w:adjustRightInd w:val="0"/>
              <w:spacing w:before="0" w:after="0"/>
              <w:jc w:val="center"/>
              <w:rPr>
                <w:rFonts w:cs="Calibri"/>
                <w:bCs/>
                <w:color w:val="1F3864"/>
                <w:sz w:val="16"/>
                <w:szCs w:val="20"/>
                <w:lang w:val="en-US" w:eastAsia="hr-HR"/>
              </w:rPr>
            </w:pPr>
            <w:r w:rsidRPr="00ED4D49">
              <w:rPr>
                <w:rFonts w:cs="Calibri"/>
                <w:bCs/>
                <w:color w:val="1F3864"/>
                <w:sz w:val="16"/>
                <w:szCs w:val="20"/>
                <w:lang w:val="en-US" w:eastAsia="hr-HR"/>
              </w:rPr>
              <w:t>2017</w:t>
            </w:r>
          </w:p>
        </w:tc>
        <w:tc>
          <w:tcPr>
            <w:tcW w:w="917" w:type="pct"/>
          </w:tcPr>
          <w:p w14:paraId="5A59A25C" w14:textId="77777777" w:rsidR="00A67FEE" w:rsidRPr="00ED4D49" w:rsidRDefault="00A67FEE" w:rsidP="00A67FEE">
            <w:pPr>
              <w:autoSpaceDE w:val="0"/>
              <w:autoSpaceDN w:val="0"/>
              <w:adjustRightInd w:val="0"/>
              <w:spacing w:before="0" w:after="0"/>
              <w:jc w:val="center"/>
              <w:rPr>
                <w:rFonts w:cs="Calibri"/>
                <w:bCs/>
                <w:color w:val="1F3864"/>
                <w:sz w:val="16"/>
                <w:szCs w:val="20"/>
                <w:lang w:val="en-US" w:eastAsia="hr-HR"/>
              </w:rPr>
            </w:pPr>
            <w:r w:rsidRPr="00ED4D49">
              <w:rPr>
                <w:rFonts w:cs="Calibri"/>
                <w:bCs/>
                <w:color w:val="1F3864"/>
                <w:sz w:val="16"/>
                <w:szCs w:val="20"/>
                <w:lang w:val="en-US" w:eastAsia="hr-HR"/>
              </w:rPr>
              <w:t>2018</w:t>
            </w:r>
          </w:p>
        </w:tc>
      </w:tr>
      <w:tr w:rsidR="00A67FEE" w:rsidRPr="00ED4D49" w14:paraId="277A59D2" w14:textId="77777777" w:rsidTr="00A67FEE">
        <w:tc>
          <w:tcPr>
            <w:tcW w:w="1332" w:type="pct"/>
            <w:shd w:val="clear" w:color="auto" w:fill="auto"/>
          </w:tcPr>
          <w:p w14:paraId="62A8683E" w14:textId="66519AEF" w:rsidR="00A67FEE" w:rsidRPr="00ED4D49" w:rsidRDefault="00A67FEE" w:rsidP="00A67FEE">
            <w:pPr>
              <w:autoSpaceDE w:val="0"/>
              <w:autoSpaceDN w:val="0"/>
              <w:adjustRightInd w:val="0"/>
              <w:spacing w:before="0" w:after="0"/>
              <w:rPr>
                <w:rFonts w:cs="Calibri"/>
                <w:bCs/>
                <w:color w:val="1F3864"/>
                <w:sz w:val="16"/>
                <w:szCs w:val="20"/>
                <w:lang w:val="en-US" w:eastAsia="hr-HR"/>
              </w:rPr>
            </w:pPr>
            <w:r w:rsidRPr="00ED4D49">
              <w:rPr>
                <w:rFonts w:cs="Calibri"/>
                <w:bCs/>
                <w:color w:val="1F3864"/>
                <w:sz w:val="16"/>
                <w:szCs w:val="20"/>
                <w:lang w:val="en-US" w:eastAsia="hr-HR"/>
              </w:rPr>
              <w:t>Nominal GDP (in BAM</w:t>
            </w:r>
            <w:r w:rsidR="00D71599" w:rsidRPr="00ED4D49">
              <w:rPr>
                <w:rFonts w:cs="Calibri"/>
                <w:bCs/>
                <w:color w:val="1F3864"/>
                <w:sz w:val="16"/>
                <w:szCs w:val="20"/>
                <w:lang w:val="en-US" w:eastAsia="hr-HR"/>
              </w:rPr>
              <w:t xml:space="preserve"> </w:t>
            </w:r>
            <w:r w:rsidRPr="00ED4D49">
              <w:rPr>
                <w:rFonts w:cs="Calibri"/>
                <w:bCs/>
                <w:color w:val="1F3864"/>
                <w:sz w:val="16"/>
                <w:szCs w:val="20"/>
                <w:lang w:val="en-US" w:eastAsia="hr-HR"/>
              </w:rPr>
              <w:t>million)</w:t>
            </w:r>
          </w:p>
        </w:tc>
        <w:tc>
          <w:tcPr>
            <w:tcW w:w="916" w:type="pct"/>
            <w:shd w:val="clear" w:color="auto" w:fill="auto"/>
          </w:tcPr>
          <w:p w14:paraId="71B40636" w14:textId="77777777" w:rsidR="00A67FEE" w:rsidRPr="00ED4D49" w:rsidRDefault="00A67FEE" w:rsidP="00A67FEE">
            <w:pPr>
              <w:autoSpaceDE w:val="0"/>
              <w:autoSpaceDN w:val="0"/>
              <w:adjustRightInd w:val="0"/>
              <w:spacing w:before="0" w:after="0"/>
              <w:jc w:val="center"/>
              <w:rPr>
                <w:rFonts w:cs="Calibri"/>
                <w:sz w:val="16"/>
                <w:szCs w:val="20"/>
                <w:lang w:val="en-US" w:eastAsia="hr-HR"/>
              </w:rPr>
            </w:pPr>
            <w:r w:rsidRPr="00ED4D49">
              <w:rPr>
                <w:rFonts w:cs="Calibri"/>
                <w:sz w:val="16"/>
                <w:szCs w:val="20"/>
                <w:lang w:val="en-US" w:eastAsia="hr-HR"/>
              </w:rPr>
              <w:t>29,665</w:t>
            </w:r>
          </w:p>
        </w:tc>
        <w:tc>
          <w:tcPr>
            <w:tcW w:w="917" w:type="pct"/>
            <w:shd w:val="clear" w:color="auto" w:fill="auto"/>
          </w:tcPr>
          <w:p w14:paraId="225F30D7" w14:textId="77777777" w:rsidR="00A67FEE" w:rsidRPr="00ED4D49" w:rsidRDefault="00A67FEE" w:rsidP="00A67FEE">
            <w:pPr>
              <w:autoSpaceDE w:val="0"/>
              <w:autoSpaceDN w:val="0"/>
              <w:adjustRightInd w:val="0"/>
              <w:spacing w:before="0" w:after="0"/>
              <w:jc w:val="center"/>
              <w:rPr>
                <w:rFonts w:cs="Calibri"/>
                <w:sz w:val="16"/>
                <w:szCs w:val="20"/>
                <w:lang w:val="en-US" w:eastAsia="hr-HR"/>
              </w:rPr>
            </w:pPr>
            <w:r w:rsidRPr="00ED4D49">
              <w:rPr>
                <w:rFonts w:cs="Calibri"/>
                <w:sz w:val="16"/>
                <w:szCs w:val="20"/>
                <w:lang w:val="en-US" w:eastAsia="hr-HR"/>
              </w:rPr>
              <w:t>30,977</w:t>
            </w:r>
          </w:p>
        </w:tc>
        <w:tc>
          <w:tcPr>
            <w:tcW w:w="917" w:type="pct"/>
            <w:shd w:val="clear" w:color="auto" w:fill="auto"/>
          </w:tcPr>
          <w:p w14:paraId="38E17F3F" w14:textId="77777777" w:rsidR="00A67FEE" w:rsidRPr="00ED4D49" w:rsidRDefault="00A67FEE" w:rsidP="00A67FEE">
            <w:pPr>
              <w:autoSpaceDE w:val="0"/>
              <w:autoSpaceDN w:val="0"/>
              <w:adjustRightInd w:val="0"/>
              <w:spacing w:before="0" w:after="0"/>
              <w:jc w:val="center"/>
              <w:rPr>
                <w:rFonts w:cs="Calibri"/>
                <w:sz w:val="16"/>
                <w:szCs w:val="20"/>
                <w:lang w:val="en-US" w:eastAsia="hr-HR"/>
              </w:rPr>
            </w:pPr>
            <w:r w:rsidRPr="00ED4D49">
              <w:rPr>
                <w:rFonts w:cs="Calibri"/>
                <w:sz w:val="16"/>
                <w:szCs w:val="20"/>
                <w:lang w:val="en-US" w:eastAsia="hr-HR"/>
              </w:rPr>
              <w:t>31,862</w:t>
            </w:r>
          </w:p>
        </w:tc>
        <w:tc>
          <w:tcPr>
            <w:tcW w:w="917" w:type="pct"/>
          </w:tcPr>
          <w:p w14:paraId="3DDB773E" w14:textId="77777777" w:rsidR="00A67FEE" w:rsidRPr="00ED4D49" w:rsidRDefault="00A67FEE" w:rsidP="00A67FEE">
            <w:pPr>
              <w:autoSpaceDE w:val="0"/>
              <w:autoSpaceDN w:val="0"/>
              <w:adjustRightInd w:val="0"/>
              <w:spacing w:before="0" w:after="0"/>
              <w:jc w:val="center"/>
              <w:rPr>
                <w:rFonts w:cs="Calibri"/>
                <w:sz w:val="16"/>
                <w:szCs w:val="20"/>
                <w:lang w:val="en-US" w:eastAsia="hr-HR"/>
              </w:rPr>
            </w:pPr>
            <w:r w:rsidRPr="00ED4D49">
              <w:rPr>
                <w:rFonts w:cs="Calibri"/>
                <w:sz w:val="16"/>
                <w:szCs w:val="20"/>
                <w:lang w:val="en-US" w:eastAsia="hr-HR"/>
              </w:rPr>
              <w:t>33,408</w:t>
            </w:r>
          </w:p>
        </w:tc>
      </w:tr>
      <w:tr w:rsidR="00A67FEE" w:rsidRPr="00ED4D49" w14:paraId="07935CE7" w14:textId="77777777" w:rsidTr="00A67FEE">
        <w:tc>
          <w:tcPr>
            <w:tcW w:w="1332" w:type="pct"/>
            <w:shd w:val="clear" w:color="auto" w:fill="auto"/>
          </w:tcPr>
          <w:p w14:paraId="1BD48E08" w14:textId="77777777" w:rsidR="00A67FEE" w:rsidRPr="00ED4D49" w:rsidRDefault="00A67FEE" w:rsidP="00A67FEE">
            <w:pPr>
              <w:autoSpaceDE w:val="0"/>
              <w:autoSpaceDN w:val="0"/>
              <w:adjustRightInd w:val="0"/>
              <w:spacing w:before="0" w:after="0"/>
              <w:rPr>
                <w:rFonts w:cs="Calibri"/>
                <w:bCs/>
                <w:color w:val="1F3864"/>
                <w:sz w:val="16"/>
                <w:szCs w:val="20"/>
                <w:lang w:val="en-US" w:eastAsia="hr-HR"/>
              </w:rPr>
            </w:pPr>
            <w:r w:rsidRPr="00ED4D49">
              <w:rPr>
                <w:rFonts w:cs="Calibri"/>
                <w:bCs/>
                <w:color w:val="1F3864"/>
                <w:sz w:val="16"/>
                <w:szCs w:val="20"/>
                <w:lang w:val="en-US" w:eastAsia="hr-HR"/>
              </w:rPr>
              <w:t>Nominal growth rate (in %)</w:t>
            </w:r>
          </w:p>
        </w:tc>
        <w:tc>
          <w:tcPr>
            <w:tcW w:w="916" w:type="pct"/>
            <w:shd w:val="clear" w:color="auto" w:fill="auto"/>
          </w:tcPr>
          <w:p w14:paraId="445979FC" w14:textId="77777777" w:rsidR="00A67FEE" w:rsidRPr="00ED4D49" w:rsidRDefault="00A67FEE" w:rsidP="00A67FEE">
            <w:pPr>
              <w:autoSpaceDE w:val="0"/>
              <w:autoSpaceDN w:val="0"/>
              <w:adjustRightInd w:val="0"/>
              <w:spacing w:before="0" w:after="0"/>
              <w:jc w:val="center"/>
              <w:rPr>
                <w:rFonts w:cs="Calibri"/>
                <w:sz w:val="16"/>
                <w:szCs w:val="20"/>
                <w:lang w:val="en-US" w:eastAsia="hr-HR"/>
              </w:rPr>
            </w:pPr>
            <w:r w:rsidRPr="00ED4D49">
              <w:rPr>
                <w:rFonts w:cs="Calibri"/>
                <w:sz w:val="16"/>
                <w:szCs w:val="20"/>
                <w:lang w:val="en-US" w:eastAsia="hr-HR"/>
              </w:rPr>
              <w:t>4.6</w:t>
            </w:r>
          </w:p>
        </w:tc>
        <w:tc>
          <w:tcPr>
            <w:tcW w:w="917" w:type="pct"/>
            <w:shd w:val="clear" w:color="auto" w:fill="auto"/>
          </w:tcPr>
          <w:p w14:paraId="37A9916A" w14:textId="77777777" w:rsidR="00A67FEE" w:rsidRPr="00ED4D49" w:rsidRDefault="00A67FEE" w:rsidP="00A67FEE">
            <w:pPr>
              <w:autoSpaceDE w:val="0"/>
              <w:autoSpaceDN w:val="0"/>
              <w:adjustRightInd w:val="0"/>
              <w:spacing w:before="0" w:after="0"/>
              <w:jc w:val="center"/>
              <w:rPr>
                <w:rFonts w:cs="Calibri"/>
                <w:sz w:val="16"/>
                <w:szCs w:val="20"/>
                <w:lang w:val="en-US" w:eastAsia="hr-HR"/>
              </w:rPr>
            </w:pPr>
            <w:r w:rsidRPr="00ED4D49">
              <w:rPr>
                <w:rFonts w:cs="Calibri"/>
                <w:sz w:val="16"/>
                <w:szCs w:val="20"/>
                <w:lang w:val="en-US" w:eastAsia="hr-HR"/>
              </w:rPr>
              <w:t>4.4</w:t>
            </w:r>
          </w:p>
        </w:tc>
        <w:tc>
          <w:tcPr>
            <w:tcW w:w="917" w:type="pct"/>
            <w:shd w:val="clear" w:color="auto" w:fill="auto"/>
          </w:tcPr>
          <w:p w14:paraId="7F3C5350" w14:textId="77777777" w:rsidR="00A67FEE" w:rsidRPr="00ED4D49" w:rsidRDefault="00A67FEE" w:rsidP="00A67FEE">
            <w:pPr>
              <w:autoSpaceDE w:val="0"/>
              <w:autoSpaceDN w:val="0"/>
              <w:adjustRightInd w:val="0"/>
              <w:spacing w:before="0" w:after="0"/>
              <w:jc w:val="center"/>
              <w:rPr>
                <w:rFonts w:cs="Calibri"/>
                <w:sz w:val="16"/>
                <w:szCs w:val="20"/>
                <w:lang w:val="en-US" w:eastAsia="hr-HR"/>
              </w:rPr>
            </w:pPr>
            <w:r w:rsidRPr="00ED4D49">
              <w:rPr>
                <w:rFonts w:cs="Calibri"/>
                <w:sz w:val="16"/>
                <w:szCs w:val="20"/>
                <w:lang w:val="en-US" w:eastAsia="hr-HR"/>
              </w:rPr>
              <w:t>3.1</w:t>
            </w:r>
          </w:p>
        </w:tc>
        <w:tc>
          <w:tcPr>
            <w:tcW w:w="917" w:type="pct"/>
          </w:tcPr>
          <w:p w14:paraId="48553307" w14:textId="77777777" w:rsidR="00A67FEE" w:rsidRPr="00ED4D49" w:rsidRDefault="00A67FEE" w:rsidP="00A67FEE">
            <w:pPr>
              <w:autoSpaceDE w:val="0"/>
              <w:autoSpaceDN w:val="0"/>
              <w:adjustRightInd w:val="0"/>
              <w:spacing w:before="0" w:after="0"/>
              <w:jc w:val="center"/>
              <w:rPr>
                <w:rFonts w:cs="Calibri"/>
                <w:sz w:val="16"/>
                <w:szCs w:val="20"/>
                <w:lang w:val="en-US" w:eastAsia="hr-HR"/>
              </w:rPr>
            </w:pPr>
            <w:r w:rsidRPr="00ED4D49">
              <w:rPr>
                <w:rFonts w:cs="Calibri"/>
                <w:sz w:val="16"/>
                <w:szCs w:val="20"/>
                <w:lang w:val="en-US" w:eastAsia="hr-HR"/>
              </w:rPr>
              <w:t>-</w:t>
            </w:r>
          </w:p>
        </w:tc>
      </w:tr>
      <w:tr w:rsidR="00A67FEE" w:rsidRPr="00ED4D49" w14:paraId="582D34FC" w14:textId="77777777" w:rsidTr="00A67FEE">
        <w:tc>
          <w:tcPr>
            <w:tcW w:w="1332" w:type="pct"/>
            <w:shd w:val="clear" w:color="auto" w:fill="auto"/>
          </w:tcPr>
          <w:p w14:paraId="3B5FB6BA" w14:textId="77777777" w:rsidR="00A67FEE" w:rsidRPr="00ED4D49" w:rsidRDefault="00A67FEE" w:rsidP="00A67FEE">
            <w:pPr>
              <w:autoSpaceDE w:val="0"/>
              <w:autoSpaceDN w:val="0"/>
              <w:adjustRightInd w:val="0"/>
              <w:spacing w:before="0" w:after="0"/>
              <w:rPr>
                <w:rFonts w:cs="Calibri"/>
                <w:bCs/>
                <w:color w:val="1F3864"/>
                <w:sz w:val="16"/>
                <w:szCs w:val="20"/>
                <w:lang w:val="en-US" w:eastAsia="hr-HR"/>
              </w:rPr>
            </w:pPr>
            <w:r w:rsidRPr="00ED4D49">
              <w:rPr>
                <w:rFonts w:cs="Calibri"/>
                <w:bCs/>
                <w:color w:val="1F3864"/>
                <w:sz w:val="16"/>
                <w:szCs w:val="20"/>
                <w:lang w:val="en-US" w:eastAsia="hr-HR"/>
              </w:rPr>
              <w:t>Real growth rate (in %)</w:t>
            </w:r>
          </w:p>
        </w:tc>
        <w:tc>
          <w:tcPr>
            <w:tcW w:w="916" w:type="pct"/>
            <w:shd w:val="clear" w:color="auto" w:fill="auto"/>
          </w:tcPr>
          <w:p w14:paraId="61F1C8DF" w14:textId="77777777" w:rsidR="00A67FEE" w:rsidRPr="00ED4D49" w:rsidRDefault="00A67FEE" w:rsidP="00A67FEE">
            <w:pPr>
              <w:autoSpaceDE w:val="0"/>
              <w:autoSpaceDN w:val="0"/>
              <w:adjustRightInd w:val="0"/>
              <w:spacing w:before="0" w:after="0"/>
              <w:jc w:val="center"/>
              <w:rPr>
                <w:rFonts w:cs="Calibri"/>
                <w:sz w:val="16"/>
                <w:szCs w:val="20"/>
                <w:lang w:val="en-US" w:eastAsia="hr-HR"/>
              </w:rPr>
            </w:pPr>
            <w:r w:rsidRPr="00ED4D49">
              <w:rPr>
                <w:rFonts w:cs="Calibri"/>
                <w:sz w:val="16"/>
                <w:szCs w:val="20"/>
                <w:lang w:val="en-US" w:eastAsia="hr-HR"/>
              </w:rPr>
              <w:t>3.8</w:t>
            </w:r>
          </w:p>
        </w:tc>
        <w:tc>
          <w:tcPr>
            <w:tcW w:w="917" w:type="pct"/>
            <w:shd w:val="clear" w:color="auto" w:fill="auto"/>
          </w:tcPr>
          <w:p w14:paraId="13B401E9" w14:textId="77777777" w:rsidR="00A67FEE" w:rsidRPr="00ED4D49" w:rsidRDefault="00A67FEE" w:rsidP="00A67FEE">
            <w:pPr>
              <w:autoSpaceDE w:val="0"/>
              <w:autoSpaceDN w:val="0"/>
              <w:adjustRightInd w:val="0"/>
              <w:spacing w:before="0" w:after="0"/>
              <w:jc w:val="center"/>
              <w:rPr>
                <w:rFonts w:cs="Calibri"/>
                <w:sz w:val="16"/>
                <w:szCs w:val="20"/>
                <w:lang w:val="en-US" w:eastAsia="hr-HR"/>
              </w:rPr>
            </w:pPr>
            <w:r w:rsidRPr="00ED4D49">
              <w:rPr>
                <w:rFonts w:cs="Calibri"/>
                <w:sz w:val="16"/>
                <w:szCs w:val="20"/>
                <w:lang w:val="en-US" w:eastAsia="hr-HR"/>
              </w:rPr>
              <w:t>3.3</w:t>
            </w:r>
          </w:p>
        </w:tc>
        <w:tc>
          <w:tcPr>
            <w:tcW w:w="917" w:type="pct"/>
            <w:shd w:val="clear" w:color="auto" w:fill="auto"/>
          </w:tcPr>
          <w:p w14:paraId="7BB9F486" w14:textId="77777777" w:rsidR="00A67FEE" w:rsidRPr="00ED4D49" w:rsidRDefault="00A67FEE" w:rsidP="00A67FEE">
            <w:pPr>
              <w:autoSpaceDE w:val="0"/>
              <w:autoSpaceDN w:val="0"/>
              <w:adjustRightInd w:val="0"/>
              <w:spacing w:before="0" w:after="0"/>
              <w:jc w:val="center"/>
              <w:rPr>
                <w:rFonts w:cs="Calibri"/>
                <w:sz w:val="16"/>
                <w:szCs w:val="20"/>
                <w:lang w:val="en-US" w:eastAsia="hr-HR"/>
              </w:rPr>
            </w:pPr>
            <w:r w:rsidRPr="00ED4D49">
              <w:rPr>
                <w:rFonts w:cs="Calibri"/>
                <w:sz w:val="16"/>
                <w:szCs w:val="20"/>
                <w:lang w:val="en-US" w:eastAsia="hr-HR"/>
              </w:rPr>
              <w:t>3.0</w:t>
            </w:r>
          </w:p>
        </w:tc>
        <w:tc>
          <w:tcPr>
            <w:tcW w:w="917" w:type="pct"/>
          </w:tcPr>
          <w:p w14:paraId="27E6B151" w14:textId="77777777" w:rsidR="00A67FEE" w:rsidRPr="00ED4D49" w:rsidRDefault="00A67FEE" w:rsidP="00A67FEE">
            <w:pPr>
              <w:autoSpaceDE w:val="0"/>
              <w:autoSpaceDN w:val="0"/>
              <w:adjustRightInd w:val="0"/>
              <w:spacing w:before="0" w:after="0"/>
              <w:jc w:val="center"/>
              <w:rPr>
                <w:rFonts w:cs="Calibri"/>
                <w:sz w:val="16"/>
                <w:szCs w:val="20"/>
                <w:lang w:val="en-US" w:eastAsia="hr-HR"/>
              </w:rPr>
            </w:pPr>
            <w:r w:rsidRPr="00ED4D49">
              <w:rPr>
                <w:rFonts w:cs="Calibri"/>
                <w:sz w:val="16"/>
                <w:szCs w:val="20"/>
                <w:lang w:val="en-US" w:eastAsia="hr-HR"/>
              </w:rPr>
              <w:t>3.6</w:t>
            </w:r>
          </w:p>
        </w:tc>
      </w:tr>
      <w:tr w:rsidR="00A67FEE" w:rsidRPr="00ED4D49" w14:paraId="502E6AD2" w14:textId="77777777" w:rsidTr="00A67FEE">
        <w:tc>
          <w:tcPr>
            <w:tcW w:w="1332" w:type="pct"/>
            <w:shd w:val="clear" w:color="auto" w:fill="auto"/>
          </w:tcPr>
          <w:p w14:paraId="5956891A" w14:textId="77777777" w:rsidR="00A67FEE" w:rsidRPr="00ED4D49" w:rsidRDefault="00A67FEE" w:rsidP="00A67FEE">
            <w:pPr>
              <w:autoSpaceDE w:val="0"/>
              <w:autoSpaceDN w:val="0"/>
              <w:adjustRightInd w:val="0"/>
              <w:spacing w:before="0" w:after="0"/>
              <w:rPr>
                <w:rFonts w:cs="Calibri"/>
                <w:bCs/>
                <w:color w:val="1F3864"/>
                <w:sz w:val="16"/>
                <w:szCs w:val="20"/>
                <w:lang w:val="en-US" w:eastAsia="hr-HR"/>
              </w:rPr>
            </w:pPr>
            <w:r w:rsidRPr="00ED4D49">
              <w:rPr>
                <w:rFonts w:cs="Calibri"/>
                <w:bCs/>
                <w:color w:val="1F3864"/>
                <w:sz w:val="16"/>
                <w:szCs w:val="20"/>
                <w:lang w:val="en-US" w:eastAsia="hr-HR"/>
              </w:rPr>
              <w:t xml:space="preserve">GDP per capita </w:t>
            </w:r>
          </w:p>
          <w:p w14:paraId="67D69750" w14:textId="77777777" w:rsidR="00A67FEE" w:rsidRPr="00ED4D49" w:rsidRDefault="00A67FEE" w:rsidP="00A67FEE">
            <w:pPr>
              <w:autoSpaceDE w:val="0"/>
              <w:autoSpaceDN w:val="0"/>
              <w:adjustRightInd w:val="0"/>
              <w:spacing w:before="0" w:after="0"/>
              <w:rPr>
                <w:rFonts w:cs="Calibri"/>
                <w:bCs/>
                <w:color w:val="1F3864"/>
                <w:sz w:val="16"/>
                <w:szCs w:val="20"/>
                <w:lang w:val="en-US" w:eastAsia="hr-HR"/>
              </w:rPr>
            </w:pPr>
            <w:r w:rsidRPr="00ED4D49">
              <w:rPr>
                <w:rFonts w:cs="Calibri"/>
                <w:bCs/>
                <w:color w:val="1F3864"/>
                <w:sz w:val="16"/>
                <w:szCs w:val="20"/>
                <w:lang w:val="en-US" w:eastAsia="hr-HR"/>
              </w:rPr>
              <w:t>(in BAM)</w:t>
            </w:r>
          </w:p>
        </w:tc>
        <w:tc>
          <w:tcPr>
            <w:tcW w:w="916" w:type="pct"/>
            <w:shd w:val="clear" w:color="auto" w:fill="auto"/>
          </w:tcPr>
          <w:p w14:paraId="2E77D558" w14:textId="77777777" w:rsidR="00A67FEE" w:rsidRPr="00ED4D49" w:rsidRDefault="00A67FEE" w:rsidP="00A67FEE">
            <w:pPr>
              <w:autoSpaceDE w:val="0"/>
              <w:autoSpaceDN w:val="0"/>
              <w:adjustRightInd w:val="0"/>
              <w:spacing w:before="0" w:after="0"/>
              <w:jc w:val="center"/>
              <w:rPr>
                <w:rFonts w:cs="Calibri"/>
                <w:sz w:val="16"/>
                <w:szCs w:val="20"/>
                <w:lang w:val="en-US" w:eastAsia="hr-HR"/>
              </w:rPr>
            </w:pPr>
            <w:r w:rsidRPr="00ED4D49">
              <w:rPr>
                <w:rFonts w:cs="Calibri"/>
                <w:sz w:val="16"/>
                <w:szCs w:val="20"/>
                <w:lang w:val="en-US" w:eastAsia="hr-HR"/>
              </w:rPr>
              <w:t>8,432</w:t>
            </w:r>
          </w:p>
        </w:tc>
        <w:tc>
          <w:tcPr>
            <w:tcW w:w="917" w:type="pct"/>
            <w:shd w:val="clear" w:color="auto" w:fill="auto"/>
          </w:tcPr>
          <w:p w14:paraId="46405F6B" w14:textId="77777777" w:rsidR="00A67FEE" w:rsidRPr="00ED4D49" w:rsidRDefault="00A67FEE" w:rsidP="00A67FEE">
            <w:pPr>
              <w:autoSpaceDE w:val="0"/>
              <w:autoSpaceDN w:val="0"/>
              <w:adjustRightInd w:val="0"/>
              <w:spacing w:before="0" w:after="0"/>
              <w:jc w:val="center"/>
              <w:rPr>
                <w:rFonts w:cs="Calibri"/>
                <w:sz w:val="16"/>
                <w:szCs w:val="20"/>
                <w:lang w:val="en-US" w:eastAsia="hr-HR"/>
              </w:rPr>
            </w:pPr>
            <w:r w:rsidRPr="00ED4D49">
              <w:rPr>
                <w:rFonts w:cs="Calibri"/>
                <w:sz w:val="16"/>
                <w:szCs w:val="20"/>
                <w:lang w:val="en-US" w:eastAsia="hr-HR"/>
              </w:rPr>
              <w:t>8,805</w:t>
            </w:r>
          </w:p>
        </w:tc>
        <w:tc>
          <w:tcPr>
            <w:tcW w:w="917" w:type="pct"/>
            <w:shd w:val="clear" w:color="auto" w:fill="auto"/>
          </w:tcPr>
          <w:p w14:paraId="2E996C88" w14:textId="77777777" w:rsidR="00A67FEE" w:rsidRPr="00ED4D49" w:rsidRDefault="00A67FEE" w:rsidP="00A67FEE">
            <w:pPr>
              <w:autoSpaceDE w:val="0"/>
              <w:autoSpaceDN w:val="0"/>
              <w:adjustRightInd w:val="0"/>
              <w:spacing w:before="0" w:after="0"/>
              <w:jc w:val="center"/>
              <w:rPr>
                <w:rFonts w:cs="Calibri"/>
                <w:sz w:val="16"/>
                <w:szCs w:val="20"/>
                <w:lang w:val="en-US" w:eastAsia="hr-HR"/>
              </w:rPr>
            </w:pPr>
            <w:r w:rsidRPr="00ED4D49">
              <w:rPr>
                <w:rFonts w:cs="Calibri"/>
                <w:sz w:val="16"/>
                <w:szCs w:val="20"/>
                <w:lang w:val="en-US" w:eastAsia="hr-HR"/>
              </w:rPr>
              <w:t>9,057</w:t>
            </w:r>
          </w:p>
        </w:tc>
        <w:tc>
          <w:tcPr>
            <w:tcW w:w="917" w:type="pct"/>
          </w:tcPr>
          <w:p w14:paraId="4EE55D05" w14:textId="77777777" w:rsidR="00A67FEE" w:rsidRPr="00ED4D49" w:rsidRDefault="00A67FEE" w:rsidP="00A67FEE">
            <w:pPr>
              <w:autoSpaceDE w:val="0"/>
              <w:autoSpaceDN w:val="0"/>
              <w:adjustRightInd w:val="0"/>
              <w:spacing w:before="0" w:after="0"/>
              <w:jc w:val="center"/>
              <w:rPr>
                <w:rFonts w:cs="Calibri"/>
                <w:sz w:val="16"/>
                <w:szCs w:val="20"/>
                <w:lang w:val="en-US" w:eastAsia="hr-HR"/>
              </w:rPr>
            </w:pPr>
            <w:r w:rsidRPr="00ED4D49">
              <w:rPr>
                <w:rFonts w:cs="Calibri"/>
                <w:sz w:val="16"/>
                <w:szCs w:val="20"/>
                <w:lang w:val="en-US" w:eastAsia="hr-HR"/>
              </w:rPr>
              <w:t>9,556</w:t>
            </w:r>
          </w:p>
        </w:tc>
      </w:tr>
      <w:tr w:rsidR="00A67FEE" w:rsidRPr="00ED4D49" w14:paraId="39A0FB90" w14:textId="77777777" w:rsidTr="00A67FEE">
        <w:tc>
          <w:tcPr>
            <w:tcW w:w="1332" w:type="pct"/>
            <w:shd w:val="clear" w:color="auto" w:fill="auto"/>
          </w:tcPr>
          <w:p w14:paraId="1FC4EA9C" w14:textId="77777777" w:rsidR="00A67FEE" w:rsidRPr="00ED4D49" w:rsidRDefault="00A67FEE" w:rsidP="00A67FEE">
            <w:pPr>
              <w:autoSpaceDE w:val="0"/>
              <w:autoSpaceDN w:val="0"/>
              <w:adjustRightInd w:val="0"/>
              <w:spacing w:before="0" w:after="0"/>
              <w:rPr>
                <w:rFonts w:cs="Calibri"/>
                <w:bCs/>
                <w:color w:val="1F3864"/>
                <w:sz w:val="16"/>
                <w:szCs w:val="20"/>
                <w:lang w:val="en-US" w:eastAsia="hr-HR"/>
              </w:rPr>
            </w:pPr>
            <w:r w:rsidRPr="00ED4D49">
              <w:rPr>
                <w:rFonts w:cs="Calibri"/>
                <w:bCs/>
                <w:color w:val="1F3864"/>
                <w:sz w:val="16"/>
                <w:szCs w:val="20"/>
                <w:lang w:val="en-US" w:eastAsia="hr-HR"/>
              </w:rPr>
              <w:t>Average net wage (in BAM)</w:t>
            </w:r>
          </w:p>
        </w:tc>
        <w:tc>
          <w:tcPr>
            <w:tcW w:w="916" w:type="pct"/>
            <w:shd w:val="clear" w:color="auto" w:fill="auto"/>
          </w:tcPr>
          <w:p w14:paraId="606920DC" w14:textId="77777777" w:rsidR="00A67FEE" w:rsidRPr="00ED4D49" w:rsidRDefault="00A67FEE" w:rsidP="00A67FEE">
            <w:pPr>
              <w:autoSpaceDE w:val="0"/>
              <w:autoSpaceDN w:val="0"/>
              <w:adjustRightInd w:val="0"/>
              <w:spacing w:before="0" w:after="0"/>
              <w:jc w:val="center"/>
              <w:rPr>
                <w:rFonts w:cs="Calibri"/>
                <w:sz w:val="16"/>
                <w:szCs w:val="20"/>
                <w:lang w:val="en-US" w:eastAsia="hr-HR"/>
              </w:rPr>
            </w:pPr>
            <w:r w:rsidRPr="00ED4D49">
              <w:rPr>
                <w:rFonts w:cs="Calibri"/>
                <w:sz w:val="16"/>
                <w:szCs w:val="20"/>
                <w:lang w:val="en-US" w:eastAsia="hr-HR"/>
              </w:rPr>
              <w:t>830</w:t>
            </w:r>
          </w:p>
        </w:tc>
        <w:tc>
          <w:tcPr>
            <w:tcW w:w="917" w:type="pct"/>
            <w:shd w:val="clear" w:color="auto" w:fill="auto"/>
          </w:tcPr>
          <w:p w14:paraId="3C1E8EFC" w14:textId="77777777" w:rsidR="00A67FEE" w:rsidRPr="00ED4D49" w:rsidRDefault="00A67FEE" w:rsidP="00A67FEE">
            <w:pPr>
              <w:autoSpaceDE w:val="0"/>
              <w:autoSpaceDN w:val="0"/>
              <w:adjustRightInd w:val="0"/>
              <w:spacing w:before="0" w:after="0"/>
              <w:jc w:val="center"/>
              <w:rPr>
                <w:rFonts w:cs="Calibri"/>
                <w:sz w:val="16"/>
                <w:szCs w:val="20"/>
                <w:lang w:val="en-US" w:eastAsia="hr-HR"/>
              </w:rPr>
            </w:pPr>
            <w:r w:rsidRPr="00ED4D49">
              <w:rPr>
                <w:rFonts w:cs="Calibri"/>
                <w:sz w:val="16"/>
                <w:szCs w:val="20"/>
                <w:lang w:val="en-US" w:eastAsia="hr-HR"/>
              </w:rPr>
              <w:t>838</w:t>
            </w:r>
          </w:p>
        </w:tc>
        <w:tc>
          <w:tcPr>
            <w:tcW w:w="917" w:type="pct"/>
            <w:shd w:val="clear" w:color="auto" w:fill="auto"/>
          </w:tcPr>
          <w:p w14:paraId="7B602512" w14:textId="77777777" w:rsidR="00A67FEE" w:rsidRPr="00ED4D49" w:rsidRDefault="00A67FEE" w:rsidP="00A67FEE">
            <w:pPr>
              <w:autoSpaceDE w:val="0"/>
              <w:autoSpaceDN w:val="0"/>
              <w:adjustRightInd w:val="0"/>
              <w:spacing w:before="0" w:after="0"/>
              <w:jc w:val="center"/>
              <w:rPr>
                <w:rFonts w:cs="Calibri"/>
                <w:sz w:val="16"/>
                <w:szCs w:val="20"/>
                <w:lang w:val="en-US" w:eastAsia="hr-HR"/>
              </w:rPr>
            </w:pPr>
            <w:r w:rsidRPr="00ED4D49">
              <w:rPr>
                <w:rFonts w:cs="Calibri"/>
                <w:sz w:val="16"/>
                <w:szCs w:val="20"/>
                <w:lang w:val="en-US" w:eastAsia="hr-HR"/>
              </w:rPr>
              <w:t>851</w:t>
            </w:r>
          </w:p>
        </w:tc>
        <w:tc>
          <w:tcPr>
            <w:tcW w:w="917" w:type="pct"/>
          </w:tcPr>
          <w:p w14:paraId="327B2757" w14:textId="77777777" w:rsidR="00A67FEE" w:rsidRPr="00ED4D49" w:rsidRDefault="00A67FEE" w:rsidP="00A67FEE">
            <w:pPr>
              <w:autoSpaceDE w:val="0"/>
              <w:autoSpaceDN w:val="0"/>
              <w:adjustRightInd w:val="0"/>
              <w:spacing w:before="0" w:after="0"/>
              <w:jc w:val="center"/>
              <w:rPr>
                <w:rFonts w:cs="Calibri"/>
                <w:sz w:val="16"/>
                <w:szCs w:val="20"/>
                <w:lang w:val="en-US" w:eastAsia="hr-HR"/>
              </w:rPr>
            </w:pPr>
            <w:r w:rsidRPr="00ED4D49">
              <w:rPr>
                <w:rFonts w:cs="Calibri"/>
                <w:sz w:val="16"/>
                <w:szCs w:val="20"/>
                <w:lang w:val="en-US" w:eastAsia="hr-HR"/>
              </w:rPr>
              <w:t>878</w:t>
            </w:r>
          </w:p>
        </w:tc>
      </w:tr>
      <w:tr w:rsidR="00A67FEE" w:rsidRPr="00ED4D49" w14:paraId="4AA9A48C" w14:textId="77777777" w:rsidTr="00A67FEE">
        <w:tc>
          <w:tcPr>
            <w:tcW w:w="1332" w:type="pct"/>
            <w:shd w:val="clear" w:color="auto" w:fill="auto"/>
          </w:tcPr>
          <w:p w14:paraId="6FDF9DAC" w14:textId="77777777" w:rsidR="00A67FEE" w:rsidRPr="00ED4D49" w:rsidRDefault="00A67FEE" w:rsidP="00A67FEE">
            <w:pPr>
              <w:autoSpaceDE w:val="0"/>
              <w:autoSpaceDN w:val="0"/>
              <w:adjustRightInd w:val="0"/>
              <w:spacing w:before="0" w:after="0"/>
              <w:rPr>
                <w:rFonts w:cs="Calibri"/>
                <w:bCs/>
                <w:color w:val="1F3864"/>
                <w:sz w:val="16"/>
                <w:szCs w:val="20"/>
                <w:lang w:val="en-US" w:eastAsia="hr-HR"/>
              </w:rPr>
            </w:pPr>
            <w:r w:rsidRPr="00ED4D49">
              <w:rPr>
                <w:rFonts w:cs="Calibri"/>
                <w:bCs/>
                <w:color w:val="1F3864"/>
                <w:sz w:val="16"/>
                <w:szCs w:val="20"/>
                <w:lang w:val="en-US" w:eastAsia="hr-HR"/>
              </w:rPr>
              <w:t>CPI (Consumer Price Index)</w:t>
            </w:r>
          </w:p>
        </w:tc>
        <w:tc>
          <w:tcPr>
            <w:tcW w:w="916" w:type="pct"/>
            <w:shd w:val="clear" w:color="auto" w:fill="auto"/>
          </w:tcPr>
          <w:p w14:paraId="70B0D1EF" w14:textId="77777777" w:rsidR="00A67FEE" w:rsidRPr="00ED4D49" w:rsidRDefault="00A67FEE" w:rsidP="00A67FEE">
            <w:pPr>
              <w:autoSpaceDE w:val="0"/>
              <w:autoSpaceDN w:val="0"/>
              <w:adjustRightInd w:val="0"/>
              <w:spacing w:before="0" w:after="0"/>
              <w:jc w:val="center"/>
              <w:rPr>
                <w:rFonts w:cs="Calibri"/>
                <w:sz w:val="16"/>
                <w:szCs w:val="20"/>
                <w:lang w:val="en-US" w:eastAsia="hr-HR"/>
              </w:rPr>
            </w:pPr>
            <w:r w:rsidRPr="00ED4D49">
              <w:rPr>
                <w:rFonts w:cs="Calibri"/>
                <w:sz w:val="16"/>
                <w:szCs w:val="20"/>
                <w:lang w:val="en-US" w:eastAsia="hr-HR"/>
              </w:rPr>
              <w:t>-1.0%</w:t>
            </w:r>
          </w:p>
        </w:tc>
        <w:tc>
          <w:tcPr>
            <w:tcW w:w="917" w:type="pct"/>
            <w:shd w:val="clear" w:color="auto" w:fill="auto"/>
          </w:tcPr>
          <w:p w14:paraId="4A72A0CE" w14:textId="77777777" w:rsidR="00A67FEE" w:rsidRPr="00ED4D49" w:rsidRDefault="00A67FEE" w:rsidP="00A67FEE">
            <w:pPr>
              <w:autoSpaceDE w:val="0"/>
              <w:autoSpaceDN w:val="0"/>
              <w:adjustRightInd w:val="0"/>
              <w:spacing w:before="0" w:after="0"/>
              <w:jc w:val="center"/>
              <w:rPr>
                <w:rFonts w:cs="Calibri"/>
                <w:sz w:val="16"/>
                <w:szCs w:val="20"/>
                <w:lang w:val="en-US" w:eastAsia="hr-HR"/>
              </w:rPr>
            </w:pPr>
            <w:r w:rsidRPr="00ED4D49">
              <w:rPr>
                <w:rFonts w:cs="Calibri"/>
                <w:sz w:val="16"/>
                <w:szCs w:val="20"/>
                <w:lang w:val="en-US" w:eastAsia="hr-HR"/>
              </w:rPr>
              <w:t>-1.1%</w:t>
            </w:r>
          </w:p>
        </w:tc>
        <w:tc>
          <w:tcPr>
            <w:tcW w:w="917" w:type="pct"/>
            <w:shd w:val="clear" w:color="auto" w:fill="auto"/>
          </w:tcPr>
          <w:p w14:paraId="2A8FD6BA" w14:textId="77777777" w:rsidR="00A67FEE" w:rsidRPr="00ED4D49" w:rsidRDefault="00A67FEE" w:rsidP="00A67FEE">
            <w:pPr>
              <w:autoSpaceDE w:val="0"/>
              <w:autoSpaceDN w:val="0"/>
              <w:adjustRightInd w:val="0"/>
              <w:spacing w:before="0" w:after="0"/>
              <w:jc w:val="center"/>
              <w:rPr>
                <w:rFonts w:cs="Calibri"/>
                <w:sz w:val="16"/>
                <w:szCs w:val="20"/>
                <w:lang w:val="en-US" w:eastAsia="hr-HR"/>
              </w:rPr>
            </w:pPr>
            <w:r w:rsidRPr="00ED4D49">
              <w:rPr>
                <w:rFonts w:cs="Calibri"/>
                <w:sz w:val="16"/>
                <w:szCs w:val="20"/>
                <w:lang w:val="en-US" w:eastAsia="hr-HR"/>
              </w:rPr>
              <w:t>1.3%</w:t>
            </w:r>
          </w:p>
        </w:tc>
        <w:tc>
          <w:tcPr>
            <w:tcW w:w="917" w:type="pct"/>
          </w:tcPr>
          <w:p w14:paraId="6B2D79E1" w14:textId="77777777" w:rsidR="00A67FEE" w:rsidRPr="00ED4D49" w:rsidRDefault="00A67FEE" w:rsidP="00A67FEE">
            <w:pPr>
              <w:autoSpaceDE w:val="0"/>
              <w:autoSpaceDN w:val="0"/>
              <w:adjustRightInd w:val="0"/>
              <w:spacing w:before="0" w:after="0"/>
              <w:jc w:val="center"/>
              <w:rPr>
                <w:rFonts w:cs="Calibri"/>
                <w:sz w:val="16"/>
                <w:szCs w:val="20"/>
                <w:lang w:val="en-US" w:eastAsia="hr-HR"/>
              </w:rPr>
            </w:pPr>
            <w:r w:rsidRPr="00ED4D49">
              <w:rPr>
                <w:rFonts w:cs="Calibri"/>
                <w:sz w:val="16"/>
                <w:szCs w:val="20"/>
                <w:lang w:val="en-US" w:eastAsia="hr-HR"/>
              </w:rPr>
              <w:t>-</w:t>
            </w:r>
          </w:p>
        </w:tc>
      </w:tr>
    </w:tbl>
    <w:p w14:paraId="691A79C8" w14:textId="77777777" w:rsidR="00A67FEE" w:rsidRPr="00ED4D49" w:rsidRDefault="00A67FEE" w:rsidP="00A67FEE">
      <w:pPr>
        <w:autoSpaceDE w:val="0"/>
        <w:autoSpaceDN w:val="0"/>
        <w:adjustRightInd w:val="0"/>
        <w:spacing w:before="0" w:after="0"/>
        <w:jc w:val="both"/>
        <w:rPr>
          <w:rFonts w:cs="Calibri"/>
          <w:i/>
          <w:iCs/>
          <w:sz w:val="16"/>
          <w:szCs w:val="16"/>
          <w:lang w:val="en-US" w:eastAsia="hr-HR"/>
        </w:rPr>
      </w:pPr>
      <w:r w:rsidRPr="00ED4D49">
        <w:rPr>
          <w:rFonts w:cs="Calibri"/>
          <w:i/>
          <w:iCs/>
          <w:sz w:val="16"/>
          <w:szCs w:val="16"/>
          <w:lang w:val="en-US" w:eastAsia="hr-HR"/>
        </w:rPr>
        <w:t>Source of 2018 data: BiH Central Bank, BiH Statistics Agency</w:t>
      </w:r>
    </w:p>
    <w:p w14:paraId="37BECF37" w14:textId="77777777" w:rsidR="00A67FEE" w:rsidRPr="00ED4D49" w:rsidRDefault="00A67FEE" w:rsidP="00A67FEE">
      <w:pPr>
        <w:jc w:val="both"/>
        <w:rPr>
          <w:rFonts w:cs="Calibri"/>
          <w:szCs w:val="20"/>
          <w:lang w:val="en-US" w:eastAsia="hr-HR"/>
        </w:rPr>
      </w:pPr>
      <w:r w:rsidRPr="00ED4D49">
        <w:rPr>
          <w:rFonts w:cs="Calibri"/>
          <w:lang w:val="en-US"/>
        </w:rPr>
        <w:t>According to the Central Bank’s 2018 Annual Report, industrial production growth in the real sector slowed down in 2018 compared to the previous year. A significant decrease of production was reported in the manufacturing industry, whereas the electric power, gas, steam and air conditioning sectors reported growth. The construction sector reported stagnation due to a slowdown in infrastructure construction.</w:t>
      </w:r>
    </w:p>
    <w:p w14:paraId="2E20377D" w14:textId="77777777" w:rsidR="00A67FEE" w:rsidRPr="00ED4D49" w:rsidRDefault="00A67FEE" w:rsidP="00A67FEE">
      <w:pPr>
        <w:spacing w:before="0"/>
        <w:jc w:val="both"/>
        <w:rPr>
          <w:rFonts w:cs="Calibri"/>
          <w:szCs w:val="20"/>
          <w:lang w:val="en-US" w:eastAsia="hr-HR"/>
        </w:rPr>
      </w:pPr>
      <w:r w:rsidRPr="00ED4D49">
        <w:rPr>
          <w:rFonts w:cs="Calibri"/>
          <w:szCs w:val="20"/>
          <w:lang w:val="en-US" w:eastAsia="hr-HR"/>
        </w:rPr>
        <w:t>The trade sector has been significantly growing for all types of trading activities. The trends of general prices, measured by the Consumption Price Index, showed an increased inflation pressure in 2018, caused mainly by increased external prices (oil). At the same time, local prices, measured by a GDP deflator, are in the inflation zone. The labor market, according to administrative data and the 2018 Labor Force Survey data, reports a significantly reduced number of unemployed persons and increased number of employed persons, with increased demographic changes. Nominal net wages report strong growth, with somewhat slower growth of real net wages.</w:t>
      </w:r>
    </w:p>
    <w:p w14:paraId="2E239DF8" w14:textId="77777777" w:rsidR="00A67FEE" w:rsidRPr="00ED4D49" w:rsidRDefault="00A67FEE" w:rsidP="0063606C">
      <w:pPr>
        <w:pStyle w:val="Heading2"/>
      </w:pPr>
      <w:bookmarkStart w:id="119" w:name="_Toc20858926"/>
      <w:bookmarkStart w:id="120" w:name="_Toc21102401"/>
      <w:bookmarkStart w:id="121" w:name="_Toc31811074"/>
      <w:r w:rsidRPr="00ED4D49">
        <w:lastRenderedPageBreak/>
        <w:t>Local Economy of the Project Area</w:t>
      </w:r>
      <w:bookmarkEnd w:id="119"/>
      <w:bookmarkEnd w:id="120"/>
      <w:bookmarkEnd w:id="121"/>
    </w:p>
    <w:p w14:paraId="276FED64" w14:textId="77777777" w:rsidR="00A67FEE" w:rsidRPr="00ED4D49" w:rsidRDefault="00A67FEE" w:rsidP="00A67FEE">
      <w:pPr>
        <w:pStyle w:val="Heading3"/>
      </w:pPr>
      <w:bookmarkStart w:id="122" w:name="_Toc20858927"/>
      <w:bookmarkStart w:id="123" w:name="_Toc21102402"/>
      <w:bookmarkStart w:id="124" w:name="_Toc31811075"/>
      <w:r w:rsidRPr="00ED4D49">
        <w:t xml:space="preserve">Local Economy of the </w:t>
      </w:r>
      <w:bookmarkEnd w:id="122"/>
      <w:r w:rsidRPr="00ED4D49">
        <w:t>Drina Basin</w:t>
      </w:r>
      <w:bookmarkEnd w:id="123"/>
      <w:bookmarkEnd w:id="124"/>
    </w:p>
    <w:p w14:paraId="0BF2D4F2" w14:textId="3F3E69BE" w:rsidR="00A67FEE" w:rsidRPr="00ED4D49" w:rsidRDefault="00A67FEE" w:rsidP="00A67FEE">
      <w:pPr>
        <w:spacing w:before="0"/>
        <w:jc w:val="both"/>
        <w:rPr>
          <w:color w:val="000000"/>
          <w:szCs w:val="23"/>
          <w:lang w:val="en-US"/>
        </w:rPr>
      </w:pPr>
      <w:r w:rsidRPr="00ED4D49">
        <w:rPr>
          <w:color w:val="000000"/>
          <w:szCs w:val="23"/>
          <w:lang w:val="en-US"/>
        </w:rPr>
        <w:t xml:space="preserve">In the northern part of the </w:t>
      </w:r>
      <w:r w:rsidR="009011AF" w:rsidRPr="00ED4D49">
        <w:rPr>
          <w:color w:val="000000"/>
          <w:szCs w:val="23"/>
          <w:lang w:val="en-US"/>
        </w:rPr>
        <w:t>DRB</w:t>
      </w:r>
      <w:r w:rsidRPr="00ED4D49">
        <w:rPr>
          <w:color w:val="000000"/>
          <w:szCs w:val="23"/>
          <w:lang w:val="en-US"/>
        </w:rPr>
        <w:t xml:space="preserve"> in BiH, local economy is based on trade, manufacturing and agriculture. In this part of the DRB, there are significant areas of farming land where cultivation of cereals and vegetables is the dominant activity. The same applies to livestock production which has recently focused on specialized types of production (milk, meat) in order to improve production and incomes. As far as other municipalities are concerned, the local </w:t>
      </w:r>
      <w:r w:rsidRPr="00ED4D49">
        <w:rPr>
          <w:szCs w:val="23"/>
          <w:lang w:val="en-US"/>
        </w:rPr>
        <w:t>e</w:t>
      </w:r>
      <w:r w:rsidRPr="00ED4D49">
        <w:rPr>
          <w:color w:val="000000"/>
          <w:szCs w:val="23"/>
          <w:lang w:val="en-US"/>
        </w:rPr>
        <w:t>conomy is based on the electric power industry (Ugljevik), mining (Mili</w:t>
      </w:r>
      <w:r w:rsidR="00C6478C" w:rsidRPr="00ED4D49">
        <w:rPr>
          <w:color w:val="000000"/>
          <w:szCs w:val="23"/>
          <w:lang w:val="en-US"/>
        </w:rPr>
        <w:t>c</w:t>
      </w:r>
      <w:r w:rsidRPr="00ED4D49">
        <w:rPr>
          <w:color w:val="000000"/>
          <w:szCs w:val="23"/>
          <w:lang w:val="en-US"/>
        </w:rPr>
        <w:t>i), energy industry, forestry and agricultural production within small farms. An important and secure source of income is employment in public administrations and in private companies. The development of tourism is partially related to the Drina River, but does not represent a substantial source of income, except for the Municipality of Fo</w:t>
      </w:r>
      <w:r w:rsidR="00A7018E" w:rsidRPr="00ED4D49">
        <w:rPr>
          <w:color w:val="000000"/>
          <w:szCs w:val="23"/>
          <w:lang w:val="en-US"/>
        </w:rPr>
        <w:t>c</w:t>
      </w:r>
      <w:r w:rsidRPr="00ED4D49">
        <w:rPr>
          <w:color w:val="000000"/>
          <w:szCs w:val="23"/>
          <w:lang w:val="en-US"/>
        </w:rPr>
        <w:t>a where additional income is</w:t>
      </w:r>
      <w:r w:rsidR="00B1135E" w:rsidRPr="00ED4D49">
        <w:rPr>
          <w:color w:val="000000"/>
          <w:szCs w:val="23"/>
          <w:lang w:val="en-US"/>
        </w:rPr>
        <w:t xml:space="preserve"> </w:t>
      </w:r>
      <w:r w:rsidRPr="00ED4D49">
        <w:rPr>
          <w:color w:val="000000"/>
          <w:szCs w:val="23"/>
          <w:lang w:val="en-US"/>
        </w:rPr>
        <w:t xml:space="preserve">generated within the NP </w:t>
      </w:r>
      <w:proofErr w:type="spellStart"/>
      <w:r w:rsidRPr="00ED4D49">
        <w:rPr>
          <w:color w:val="000000"/>
          <w:szCs w:val="23"/>
          <w:lang w:val="en-US"/>
        </w:rPr>
        <w:t>Sutjeska</w:t>
      </w:r>
      <w:proofErr w:type="spellEnd"/>
      <w:r w:rsidRPr="00ED4D49">
        <w:rPr>
          <w:color w:val="000000"/>
          <w:szCs w:val="23"/>
          <w:lang w:val="en-US"/>
        </w:rPr>
        <w:t xml:space="preserve">. The only significant fish farm in RS is on the </w:t>
      </w:r>
      <w:proofErr w:type="spellStart"/>
      <w:r w:rsidRPr="00ED4D49">
        <w:rPr>
          <w:color w:val="000000"/>
          <w:szCs w:val="23"/>
          <w:lang w:val="en-US"/>
        </w:rPr>
        <w:t>Krupica</w:t>
      </w:r>
      <w:proofErr w:type="spellEnd"/>
      <w:r w:rsidRPr="00ED4D49">
        <w:rPr>
          <w:color w:val="000000"/>
          <w:szCs w:val="23"/>
          <w:lang w:val="en-US"/>
        </w:rPr>
        <w:t xml:space="preserve"> River, near Fo</w:t>
      </w:r>
      <w:r w:rsidR="00A7018E" w:rsidRPr="00ED4D49">
        <w:rPr>
          <w:color w:val="000000"/>
          <w:szCs w:val="23"/>
          <w:lang w:val="en-US"/>
        </w:rPr>
        <w:t>c</w:t>
      </w:r>
      <w:r w:rsidRPr="00ED4D49">
        <w:rPr>
          <w:color w:val="000000"/>
          <w:szCs w:val="23"/>
          <w:lang w:val="en-US"/>
        </w:rPr>
        <w:t>a. There are some natural fish farms and reservoirs in "</w:t>
      </w:r>
      <w:proofErr w:type="spellStart"/>
      <w:r w:rsidRPr="00ED4D49">
        <w:rPr>
          <w:color w:val="000000"/>
          <w:szCs w:val="23"/>
          <w:lang w:val="en-US"/>
        </w:rPr>
        <w:t>Vi</w:t>
      </w:r>
      <w:r w:rsidR="00A7018E" w:rsidRPr="00ED4D49">
        <w:rPr>
          <w:color w:val="000000"/>
          <w:szCs w:val="23"/>
          <w:lang w:val="en-US"/>
        </w:rPr>
        <w:t>s</w:t>
      </w:r>
      <w:r w:rsidRPr="00ED4D49">
        <w:rPr>
          <w:color w:val="000000"/>
          <w:szCs w:val="23"/>
          <w:lang w:val="en-US"/>
        </w:rPr>
        <w:t>egrad</w:t>
      </w:r>
      <w:proofErr w:type="spellEnd"/>
      <w:r w:rsidRPr="00ED4D49">
        <w:rPr>
          <w:color w:val="000000"/>
          <w:szCs w:val="23"/>
          <w:lang w:val="en-US"/>
        </w:rPr>
        <w:t>" (890 ha), "</w:t>
      </w:r>
      <w:proofErr w:type="spellStart"/>
      <w:r w:rsidRPr="00ED4D49">
        <w:rPr>
          <w:color w:val="000000"/>
          <w:szCs w:val="23"/>
          <w:lang w:val="en-US"/>
        </w:rPr>
        <w:t>Bajina</w:t>
      </w:r>
      <w:proofErr w:type="spellEnd"/>
      <w:r w:rsidRPr="00ED4D49">
        <w:rPr>
          <w:color w:val="000000"/>
          <w:szCs w:val="23"/>
          <w:lang w:val="en-US"/>
        </w:rPr>
        <w:t xml:space="preserve"> Ba</w:t>
      </w:r>
      <w:r w:rsidR="00A7018E" w:rsidRPr="00ED4D49">
        <w:rPr>
          <w:color w:val="000000"/>
          <w:szCs w:val="23"/>
          <w:lang w:val="en-US"/>
        </w:rPr>
        <w:t>s</w:t>
      </w:r>
      <w:r w:rsidRPr="00ED4D49">
        <w:rPr>
          <w:color w:val="000000"/>
          <w:szCs w:val="23"/>
          <w:lang w:val="en-US"/>
        </w:rPr>
        <w:t>ta" (1,030 ha) and "Zvornik" (1,380 ha), where about 25-35 kg/ha of fish is estimated to be available. Gravel extraction from the riverbed of the Drina River is an economic activity regulated by the state but the data on quantities of excavated sediments are unavailable, although this type of activity is a significant source of income for small private companies.</w:t>
      </w:r>
    </w:p>
    <w:p w14:paraId="7DE0038E" w14:textId="7460AF8F" w:rsidR="00A67FEE" w:rsidRPr="00ED4D49" w:rsidRDefault="00A67FEE" w:rsidP="00A67FEE">
      <w:pPr>
        <w:pStyle w:val="Heading3"/>
      </w:pPr>
      <w:bookmarkStart w:id="125" w:name="_Toc20858928"/>
      <w:bookmarkStart w:id="126" w:name="_Toc21102403"/>
      <w:bookmarkStart w:id="127" w:name="_Toc31811076"/>
      <w:r w:rsidRPr="00ED4D49">
        <w:t>Local Economy of</w:t>
      </w:r>
      <w:r w:rsidR="00B1135E" w:rsidRPr="00ED4D49">
        <w:t xml:space="preserve"> the</w:t>
      </w:r>
      <w:r w:rsidRPr="00ED4D49">
        <w:t xml:space="preserve"> Sava Basin</w:t>
      </w:r>
      <w:bookmarkEnd w:id="125"/>
      <w:bookmarkEnd w:id="126"/>
      <w:bookmarkEnd w:id="127"/>
    </w:p>
    <w:p w14:paraId="6F76D41E" w14:textId="77777777" w:rsidR="00B1135E" w:rsidRPr="00ED4D49" w:rsidRDefault="00A67FEE" w:rsidP="00A67FEE">
      <w:pPr>
        <w:spacing w:before="0"/>
        <w:jc w:val="both"/>
        <w:rPr>
          <w:rStyle w:val="tlid-translation"/>
          <w:rFonts w:cs="Calibri"/>
          <w:lang w:val="en-US"/>
        </w:rPr>
      </w:pPr>
      <w:r w:rsidRPr="00ED4D49">
        <w:rPr>
          <w:rStyle w:val="tlid-translation"/>
          <w:rFonts w:cs="Calibri"/>
          <w:lang w:val="en-US"/>
        </w:rPr>
        <w:t xml:space="preserve">In </w:t>
      </w:r>
      <w:r w:rsidR="00B1135E" w:rsidRPr="00ED4D49">
        <w:rPr>
          <w:rStyle w:val="tlid-translation"/>
          <w:rFonts w:cs="Calibri"/>
          <w:lang w:val="en-US"/>
        </w:rPr>
        <w:t>the SRB</w:t>
      </w:r>
      <w:r w:rsidRPr="00ED4D49">
        <w:rPr>
          <w:rStyle w:val="tlid-translation"/>
          <w:rFonts w:cs="Calibri"/>
          <w:lang w:val="en-US"/>
        </w:rPr>
        <w:t xml:space="preserve"> in BiH, </w:t>
      </w:r>
      <w:r w:rsidR="00B1135E" w:rsidRPr="00ED4D49">
        <w:rPr>
          <w:rStyle w:val="tlid-translation"/>
          <w:rFonts w:cs="Calibri"/>
          <w:lang w:val="en-US"/>
        </w:rPr>
        <w:t>same as</w:t>
      </w:r>
      <w:r w:rsidRPr="00ED4D49">
        <w:rPr>
          <w:rStyle w:val="tlid-translation"/>
          <w:rFonts w:cs="Calibri"/>
          <w:lang w:val="en-US"/>
        </w:rPr>
        <w:t xml:space="preserve"> for the </w:t>
      </w:r>
      <w:r w:rsidR="00B1135E" w:rsidRPr="00ED4D49">
        <w:rPr>
          <w:rStyle w:val="tlid-translation"/>
          <w:rFonts w:cs="Calibri"/>
          <w:lang w:val="en-US"/>
        </w:rPr>
        <w:t>DRB</w:t>
      </w:r>
      <w:r w:rsidRPr="00ED4D49">
        <w:rPr>
          <w:rStyle w:val="tlid-translation"/>
          <w:rFonts w:cs="Calibri"/>
          <w:lang w:val="en-US"/>
        </w:rPr>
        <w:t xml:space="preserve">, the local economy is mainly based on agriculture, trade and manufacturing. </w:t>
      </w:r>
      <w:r w:rsidR="00B1135E" w:rsidRPr="00ED4D49">
        <w:rPr>
          <w:rStyle w:val="tlid-translation"/>
          <w:rFonts w:cs="Calibri"/>
          <w:lang w:val="en-US"/>
        </w:rPr>
        <w:t>The m</w:t>
      </w:r>
      <w:r w:rsidRPr="00ED4D49">
        <w:rPr>
          <w:rStyle w:val="tlid-translation"/>
          <w:rFonts w:cs="Calibri"/>
          <w:lang w:val="en-US"/>
        </w:rPr>
        <w:t>ain agriculture activities are cultivation of vegetables and cereals</w:t>
      </w:r>
      <w:r w:rsidR="00B1135E" w:rsidRPr="00ED4D49">
        <w:rPr>
          <w:rStyle w:val="tlid-translation"/>
          <w:rFonts w:cs="Calibri"/>
          <w:lang w:val="en-US"/>
        </w:rPr>
        <w:t>,</w:t>
      </w:r>
      <w:r w:rsidRPr="00ED4D49">
        <w:rPr>
          <w:rStyle w:val="tlid-translation"/>
          <w:rFonts w:cs="Calibri"/>
          <w:lang w:val="en-US"/>
        </w:rPr>
        <w:t xml:space="preserve"> and farming for milk and meat production. Milk production is well developed in Gra</w:t>
      </w:r>
      <w:r w:rsidR="00A7018E" w:rsidRPr="00ED4D49">
        <w:rPr>
          <w:rStyle w:val="tlid-translation"/>
          <w:rFonts w:cs="Calibri"/>
          <w:lang w:val="en-US"/>
        </w:rPr>
        <w:t>c</w:t>
      </w:r>
      <w:r w:rsidRPr="00ED4D49">
        <w:rPr>
          <w:rStyle w:val="tlid-translation"/>
          <w:rFonts w:cs="Calibri"/>
          <w:lang w:val="en-US"/>
        </w:rPr>
        <w:t xml:space="preserve">anica and </w:t>
      </w:r>
      <w:proofErr w:type="spellStart"/>
      <w:r w:rsidRPr="00ED4D49">
        <w:rPr>
          <w:rStyle w:val="tlid-translation"/>
          <w:rFonts w:cs="Calibri"/>
          <w:lang w:val="en-US"/>
        </w:rPr>
        <w:t>Grada</w:t>
      </w:r>
      <w:r w:rsidR="00A7018E" w:rsidRPr="00ED4D49">
        <w:rPr>
          <w:rStyle w:val="tlid-translation"/>
          <w:rFonts w:cs="Calibri"/>
          <w:lang w:val="en-US"/>
        </w:rPr>
        <w:t>c</w:t>
      </w:r>
      <w:r w:rsidRPr="00ED4D49">
        <w:rPr>
          <w:rStyle w:val="tlid-translation"/>
          <w:rFonts w:cs="Calibri"/>
          <w:lang w:val="en-US"/>
        </w:rPr>
        <w:t>ac</w:t>
      </w:r>
      <w:proofErr w:type="spellEnd"/>
      <w:r w:rsidRPr="00ED4D49">
        <w:rPr>
          <w:rStyle w:val="tlid-translation"/>
          <w:rFonts w:cs="Calibri"/>
          <w:lang w:val="en-US"/>
        </w:rPr>
        <w:t xml:space="preserve">. </w:t>
      </w:r>
    </w:p>
    <w:p w14:paraId="4139659C" w14:textId="77777777" w:rsidR="00B1135E" w:rsidRPr="00ED4D49" w:rsidRDefault="00A67FEE" w:rsidP="00A67FEE">
      <w:pPr>
        <w:spacing w:before="0"/>
        <w:jc w:val="both"/>
        <w:rPr>
          <w:color w:val="000000"/>
          <w:szCs w:val="23"/>
          <w:lang w:val="en-US"/>
        </w:rPr>
      </w:pPr>
      <w:r w:rsidRPr="00ED4D49">
        <w:rPr>
          <w:rStyle w:val="tlid-translation"/>
          <w:rFonts w:cs="Calibri"/>
          <w:lang w:val="en-US"/>
        </w:rPr>
        <w:t>The local economy</w:t>
      </w:r>
      <w:r w:rsidR="00B1135E" w:rsidRPr="00ED4D49">
        <w:rPr>
          <w:rStyle w:val="tlid-translation"/>
          <w:rFonts w:cs="Calibri"/>
          <w:lang w:val="en-US"/>
        </w:rPr>
        <w:t xml:space="preserve"> in SRB</w:t>
      </w:r>
      <w:r w:rsidRPr="00ED4D49">
        <w:rPr>
          <w:rStyle w:val="tlid-translation"/>
          <w:rFonts w:cs="Calibri"/>
          <w:lang w:val="en-US"/>
        </w:rPr>
        <w:t xml:space="preserve"> is also characterized by</w:t>
      </w:r>
      <w:r w:rsidRPr="00ED4D49">
        <w:rPr>
          <w:color w:val="000000"/>
          <w:szCs w:val="23"/>
          <w:lang w:val="en-US"/>
        </w:rPr>
        <w:t xml:space="preserve"> electric power and energy industry as well as mining industry. Coal in </w:t>
      </w:r>
      <w:r w:rsidR="00B1135E" w:rsidRPr="00ED4D49">
        <w:rPr>
          <w:color w:val="000000"/>
          <w:szCs w:val="23"/>
          <w:lang w:val="en-US"/>
        </w:rPr>
        <w:t>RS</w:t>
      </w:r>
      <w:r w:rsidRPr="00ED4D49">
        <w:rPr>
          <w:color w:val="000000"/>
          <w:szCs w:val="23"/>
          <w:lang w:val="en-US"/>
        </w:rPr>
        <w:t xml:space="preserve"> is being exploited at three locations: Gacko (lignite), Ugljevik (brown) and </w:t>
      </w:r>
      <w:proofErr w:type="spellStart"/>
      <w:r w:rsidRPr="00ED4D49">
        <w:rPr>
          <w:color w:val="000000"/>
          <w:szCs w:val="23"/>
          <w:lang w:val="en-US"/>
        </w:rPr>
        <w:t>Stanari</w:t>
      </w:r>
      <w:proofErr w:type="spellEnd"/>
      <w:r w:rsidRPr="00ED4D49">
        <w:rPr>
          <w:color w:val="000000"/>
          <w:szCs w:val="23"/>
          <w:lang w:val="en-US"/>
        </w:rPr>
        <w:t xml:space="preserve"> (lignite). All these locations are within </w:t>
      </w:r>
      <w:r w:rsidR="00B1135E" w:rsidRPr="00ED4D49">
        <w:rPr>
          <w:color w:val="000000"/>
          <w:szCs w:val="23"/>
          <w:lang w:val="en-US"/>
        </w:rPr>
        <w:t>SRB</w:t>
      </w:r>
      <w:r w:rsidRPr="00ED4D49">
        <w:rPr>
          <w:color w:val="000000"/>
          <w:szCs w:val="23"/>
          <w:lang w:val="en-US"/>
        </w:rPr>
        <w:t xml:space="preserve"> area.</w:t>
      </w:r>
      <w:r w:rsidRPr="00ED4D49">
        <w:rPr>
          <w:lang w:val="en-US"/>
        </w:rPr>
        <w:t xml:space="preserve"> </w:t>
      </w:r>
      <w:r w:rsidRPr="00ED4D49">
        <w:rPr>
          <w:color w:val="000000"/>
          <w:szCs w:val="23"/>
          <w:lang w:val="en-US"/>
        </w:rPr>
        <w:t xml:space="preserve">Gacko and Ugljevik produce coal for the needs of thermal power plants </w:t>
      </w:r>
      <w:r w:rsidR="00B1135E" w:rsidRPr="00ED4D49">
        <w:rPr>
          <w:color w:val="000000"/>
          <w:szCs w:val="23"/>
          <w:lang w:val="en-US"/>
        </w:rPr>
        <w:t xml:space="preserve">(TPP) </w:t>
      </w:r>
      <w:r w:rsidRPr="00ED4D49">
        <w:rPr>
          <w:color w:val="000000"/>
          <w:szCs w:val="23"/>
          <w:lang w:val="en-US"/>
        </w:rPr>
        <w:t>in RS (98% of placements) and consumer goods.</w:t>
      </w:r>
      <w:r w:rsidRPr="00ED4D49">
        <w:rPr>
          <w:lang w:val="en-US"/>
        </w:rPr>
        <w:t xml:space="preserve"> </w:t>
      </w:r>
      <w:r w:rsidRPr="00ED4D49">
        <w:rPr>
          <w:color w:val="000000"/>
          <w:szCs w:val="23"/>
          <w:lang w:val="en-US"/>
        </w:rPr>
        <w:t xml:space="preserve">Near the </w:t>
      </w:r>
      <w:proofErr w:type="spellStart"/>
      <w:r w:rsidRPr="00ED4D49">
        <w:rPr>
          <w:color w:val="000000"/>
          <w:szCs w:val="23"/>
          <w:lang w:val="en-US"/>
        </w:rPr>
        <w:t>Stanari</w:t>
      </w:r>
      <w:proofErr w:type="spellEnd"/>
      <w:r w:rsidRPr="00ED4D49">
        <w:rPr>
          <w:color w:val="000000"/>
          <w:szCs w:val="23"/>
          <w:lang w:val="en-US"/>
        </w:rPr>
        <w:t xml:space="preserve"> site, where coal is produced for </w:t>
      </w:r>
      <w:r w:rsidR="00B1135E" w:rsidRPr="00ED4D49">
        <w:rPr>
          <w:color w:val="000000"/>
          <w:szCs w:val="23"/>
          <w:lang w:val="en-US"/>
        </w:rPr>
        <w:t>TPP</w:t>
      </w:r>
      <w:r w:rsidRPr="00ED4D49">
        <w:rPr>
          <w:color w:val="000000"/>
          <w:szCs w:val="23"/>
          <w:lang w:val="en-US"/>
        </w:rPr>
        <w:t xml:space="preserve"> (sale in FBiH, 45% of placements) and for general consumption, the </w:t>
      </w:r>
      <w:proofErr w:type="spellStart"/>
      <w:r w:rsidRPr="00ED4D49">
        <w:rPr>
          <w:color w:val="000000"/>
          <w:szCs w:val="23"/>
          <w:lang w:val="en-US"/>
        </w:rPr>
        <w:t>Stanari</w:t>
      </w:r>
      <w:proofErr w:type="spellEnd"/>
      <w:r w:rsidRPr="00ED4D49">
        <w:rPr>
          <w:color w:val="000000"/>
          <w:szCs w:val="23"/>
          <w:lang w:val="en-US"/>
        </w:rPr>
        <w:t xml:space="preserve"> </w:t>
      </w:r>
      <w:r w:rsidR="00B1135E" w:rsidRPr="00ED4D49">
        <w:rPr>
          <w:color w:val="000000"/>
          <w:szCs w:val="23"/>
          <w:lang w:val="en-US"/>
        </w:rPr>
        <w:t xml:space="preserve">TPP </w:t>
      </w:r>
      <w:r w:rsidRPr="00ED4D49">
        <w:rPr>
          <w:color w:val="000000"/>
          <w:szCs w:val="23"/>
          <w:lang w:val="en-US"/>
        </w:rPr>
        <w:t xml:space="preserve">was built with an installed capacity of 300 MW. In addition to TPP </w:t>
      </w:r>
      <w:proofErr w:type="spellStart"/>
      <w:r w:rsidRPr="00ED4D49">
        <w:rPr>
          <w:color w:val="000000"/>
          <w:szCs w:val="23"/>
          <w:lang w:val="en-US"/>
        </w:rPr>
        <w:t>Stanari</w:t>
      </w:r>
      <w:proofErr w:type="spellEnd"/>
      <w:r w:rsidRPr="00ED4D49">
        <w:rPr>
          <w:color w:val="000000"/>
          <w:szCs w:val="23"/>
          <w:lang w:val="en-US"/>
        </w:rPr>
        <w:t xml:space="preserve">, </w:t>
      </w:r>
      <w:r w:rsidR="00B1135E" w:rsidRPr="00ED4D49">
        <w:rPr>
          <w:color w:val="000000"/>
          <w:szCs w:val="23"/>
          <w:lang w:val="en-US"/>
        </w:rPr>
        <w:t xml:space="preserve">TPPs </w:t>
      </w:r>
      <w:r w:rsidRPr="00ED4D49">
        <w:rPr>
          <w:color w:val="000000"/>
          <w:szCs w:val="23"/>
          <w:lang w:val="en-US"/>
        </w:rPr>
        <w:t xml:space="preserve">are </w:t>
      </w:r>
      <w:r w:rsidR="00B1135E" w:rsidRPr="00ED4D49">
        <w:rPr>
          <w:color w:val="000000"/>
          <w:szCs w:val="23"/>
          <w:lang w:val="en-US"/>
        </w:rPr>
        <w:t xml:space="preserve">also </w:t>
      </w:r>
      <w:r w:rsidRPr="00ED4D49">
        <w:rPr>
          <w:color w:val="000000"/>
          <w:szCs w:val="23"/>
          <w:lang w:val="en-US"/>
        </w:rPr>
        <w:t xml:space="preserve">located in Tuzla and Ugljevik. These TPPs together with the chemical industry located in </w:t>
      </w:r>
      <w:proofErr w:type="spellStart"/>
      <w:r w:rsidRPr="00ED4D49">
        <w:rPr>
          <w:color w:val="000000"/>
          <w:szCs w:val="23"/>
          <w:lang w:val="en-US"/>
        </w:rPr>
        <w:t>Lukavac</w:t>
      </w:r>
      <w:proofErr w:type="spellEnd"/>
      <w:r w:rsidRPr="00ED4D49">
        <w:rPr>
          <w:color w:val="000000"/>
          <w:szCs w:val="23"/>
          <w:lang w:val="en-US"/>
        </w:rPr>
        <w:t xml:space="preserve"> represent the main polluters in </w:t>
      </w:r>
      <w:r w:rsidR="00B1135E" w:rsidRPr="00ED4D49">
        <w:rPr>
          <w:color w:val="000000"/>
          <w:szCs w:val="23"/>
          <w:lang w:val="en-US"/>
        </w:rPr>
        <w:t>SRB</w:t>
      </w:r>
      <w:r w:rsidRPr="00ED4D49">
        <w:rPr>
          <w:color w:val="000000"/>
          <w:szCs w:val="23"/>
          <w:lang w:val="en-US"/>
        </w:rPr>
        <w:t xml:space="preserve"> area. </w:t>
      </w:r>
    </w:p>
    <w:p w14:paraId="0C96238D" w14:textId="77777777" w:rsidR="00B1135E" w:rsidRPr="00ED4D49" w:rsidRDefault="00A67FEE" w:rsidP="00A67FEE">
      <w:pPr>
        <w:spacing w:before="0"/>
        <w:jc w:val="both"/>
        <w:rPr>
          <w:color w:val="000000"/>
          <w:szCs w:val="23"/>
          <w:lang w:val="en-US"/>
        </w:rPr>
      </w:pPr>
      <w:r w:rsidRPr="00ED4D49">
        <w:rPr>
          <w:color w:val="000000"/>
          <w:szCs w:val="23"/>
          <w:lang w:val="en-US"/>
        </w:rPr>
        <w:t>The Port of Br</w:t>
      </w:r>
      <w:r w:rsidR="00A7018E" w:rsidRPr="00ED4D49">
        <w:rPr>
          <w:color w:val="000000"/>
          <w:szCs w:val="23"/>
          <w:lang w:val="en-US"/>
        </w:rPr>
        <w:t>c</w:t>
      </w:r>
      <w:r w:rsidRPr="00ED4D49">
        <w:rPr>
          <w:color w:val="000000"/>
          <w:szCs w:val="23"/>
          <w:lang w:val="en-US"/>
        </w:rPr>
        <w:t xml:space="preserve">ko, the Port of </w:t>
      </w:r>
      <w:proofErr w:type="spellStart"/>
      <w:r w:rsidR="00A7018E" w:rsidRPr="00ED4D49">
        <w:rPr>
          <w:color w:val="000000"/>
          <w:szCs w:val="23"/>
          <w:lang w:val="en-US"/>
        </w:rPr>
        <w:t>S</w:t>
      </w:r>
      <w:r w:rsidRPr="00ED4D49">
        <w:rPr>
          <w:color w:val="000000"/>
          <w:szCs w:val="23"/>
          <w:lang w:val="en-US"/>
        </w:rPr>
        <w:t>amac</w:t>
      </w:r>
      <w:proofErr w:type="spellEnd"/>
      <w:r w:rsidRPr="00ED4D49">
        <w:rPr>
          <w:color w:val="000000"/>
          <w:szCs w:val="23"/>
          <w:lang w:val="en-US"/>
        </w:rPr>
        <w:t xml:space="preserve"> and the dock of Oil Refinery in Brod represent</w:t>
      </w:r>
      <w:r w:rsidR="00B1135E" w:rsidRPr="00ED4D49">
        <w:rPr>
          <w:color w:val="000000"/>
          <w:szCs w:val="23"/>
          <w:lang w:val="en-US"/>
        </w:rPr>
        <w:t xml:space="preserve"> the</w:t>
      </w:r>
      <w:r w:rsidRPr="00ED4D49">
        <w:rPr>
          <w:color w:val="000000"/>
          <w:szCs w:val="23"/>
          <w:lang w:val="en-US"/>
        </w:rPr>
        <w:t xml:space="preserve"> key infrastructure on the Sava River corridor in BiH. Another refinery for motor oil is located in </w:t>
      </w:r>
      <w:proofErr w:type="spellStart"/>
      <w:r w:rsidRPr="00ED4D49">
        <w:rPr>
          <w:color w:val="000000"/>
          <w:szCs w:val="23"/>
          <w:lang w:val="en-US"/>
        </w:rPr>
        <w:t>Modri</w:t>
      </w:r>
      <w:r w:rsidR="00A7018E" w:rsidRPr="00ED4D49">
        <w:rPr>
          <w:color w:val="000000"/>
          <w:szCs w:val="23"/>
          <w:lang w:val="en-US"/>
        </w:rPr>
        <w:t>c</w:t>
      </w:r>
      <w:r w:rsidRPr="00ED4D49">
        <w:rPr>
          <w:color w:val="000000"/>
          <w:szCs w:val="23"/>
          <w:lang w:val="en-US"/>
        </w:rPr>
        <w:t>a</w:t>
      </w:r>
      <w:proofErr w:type="spellEnd"/>
      <w:r w:rsidRPr="00ED4D49">
        <w:rPr>
          <w:color w:val="000000"/>
          <w:szCs w:val="23"/>
          <w:lang w:val="en-US"/>
        </w:rPr>
        <w:t xml:space="preserve">. </w:t>
      </w:r>
    </w:p>
    <w:p w14:paraId="15F54EE8" w14:textId="43B617FC" w:rsidR="00A67FEE" w:rsidRPr="00ED4D49" w:rsidRDefault="00B1135E" w:rsidP="00A67FEE">
      <w:pPr>
        <w:spacing w:before="0"/>
        <w:jc w:val="both"/>
        <w:rPr>
          <w:rStyle w:val="tlid-translation"/>
          <w:rFonts w:cs="Calibri"/>
          <w:lang w:val="en-US"/>
        </w:rPr>
      </w:pPr>
      <w:r w:rsidRPr="00ED4D49">
        <w:rPr>
          <w:color w:val="000000"/>
          <w:szCs w:val="23"/>
          <w:lang w:val="en-US"/>
        </w:rPr>
        <w:t>BD</w:t>
      </w:r>
      <w:r w:rsidR="00A67FEE" w:rsidRPr="00ED4D49">
        <w:rPr>
          <w:color w:val="000000"/>
          <w:szCs w:val="23"/>
          <w:lang w:val="en-US"/>
        </w:rPr>
        <w:t xml:space="preserve"> is not only </w:t>
      </w:r>
      <w:r w:rsidRPr="00ED4D49">
        <w:rPr>
          <w:color w:val="000000"/>
          <w:szCs w:val="23"/>
          <w:lang w:val="en-US"/>
        </w:rPr>
        <w:t>characterized</w:t>
      </w:r>
      <w:r w:rsidR="00A67FEE" w:rsidRPr="00ED4D49">
        <w:rPr>
          <w:color w:val="000000"/>
          <w:szCs w:val="23"/>
          <w:lang w:val="en-US"/>
        </w:rPr>
        <w:t xml:space="preserve"> by its port which has an important role in the local economy, but also </w:t>
      </w:r>
      <w:r w:rsidRPr="00ED4D49">
        <w:rPr>
          <w:color w:val="000000"/>
          <w:szCs w:val="23"/>
          <w:lang w:val="en-US"/>
        </w:rPr>
        <w:t xml:space="preserve">by its </w:t>
      </w:r>
      <w:r w:rsidR="00A67FEE" w:rsidRPr="00ED4D49">
        <w:rPr>
          <w:rStyle w:val="tlid-translation"/>
          <w:rFonts w:cs="Calibri"/>
          <w:lang w:val="en-US"/>
        </w:rPr>
        <w:t>favorable geographical position and good natural conditions for the development of agricultural production, both livestock and fruit and arable crops, which influenced the development of the food industry.</w:t>
      </w:r>
      <w:r w:rsidR="00A67FEE" w:rsidRPr="00ED4D49">
        <w:rPr>
          <w:lang w:val="en-US"/>
        </w:rPr>
        <w:t xml:space="preserve"> </w:t>
      </w:r>
      <w:r w:rsidR="00A67FEE" w:rsidRPr="00ED4D49">
        <w:rPr>
          <w:rStyle w:val="tlid-translation"/>
          <w:rFonts w:cs="Calibri"/>
          <w:lang w:val="en-US"/>
        </w:rPr>
        <w:t xml:space="preserve">Agricultural land accounts for 35,282 ha, or 71.52% of total BD area. More than half of the total agricultural area is land of higher rating, located mostly along the banks of the Sava River and in the southwestern part of </w:t>
      </w:r>
      <w:r w:rsidRPr="00ED4D49">
        <w:rPr>
          <w:rStyle w:val="tlid-translation"/>
          <w:rFonts w:cs="Calibri"/>
          <w:lang w:val="en-US"/>
        </w:rPr>
        <w:t>BD</w:t>
      </w:r>
      <w:r w:rsidR="00A67FEE" w:rsidRPr="00ED4D49">
        <w:rPr>
          <w:rStyle w:val="tlid-translation"/>
          <w:rFonts w:cs="Calibri"/>
          <w:lang w:val="en-US"/>
        </w:rPr>
        <w:t>.</w:t>
      </w:r>
      <w:r w:rsidR="00A67FEE" w:rsidRPr="00ED4D49">
        <w:rPr>
          <w:lang w:val="en-US"/>
        </w:rPr>
        <w:t xml:space="preserve"> </w:t>
      </w:r>
      <w:r w:rsidR="00A67FEE" w:rsidRPr="00ED4D49">
        <w:rPr>
          <w:rStyle w:val="tlid-translation"/>
          <w:rFonts w:cs="Calibri"/>
          <w:lang w:val="en-US"/>
        </w:rPr>
        <w:t>The most important food processing plant is “Bimal”, the only producer of edible oil in BiH. In addition, there are several successful businesses that handle the processing and storage of cereals</w:t>
      </w:r>
      <w:r w:rsidR="00B219E1" w:rsidRPr="00ED4D49">
        <w:rPr>
          <w:rStyle w:val="tlid-translation"/>
          <w:rFonts w:cs="Calibri"/>
          <w:lang w:val="en-US"/>
        </w:rPr>
        <w:t>, fruits and vegetables</w:t>
      </w:r>
      <w:r w:rsidR="00A67FEE" w:rsidRPr="00ED4D49">
        <w:rPr>
          <w:rStyle w:val="tlid-translation"/>
          <w:rFonts w:cs="Calibri"/>
          <w:lang w:val="en-US"/>
        </w:rPr>
        <w:t xml:space="preserve">. </w:t>
      </w:r>
    </w:p>
    <w:p w14:paraId="7EE0D88B" w14:textId="77777777" w:rsidR="00A67FEE" w:rsidRPr="00ED4D49" w:rsidRDefault="00A67FEE" w:rsidP="0063606C">
      <w:pPr>
        <w:pStyle w:val="Heading2"/>
      </w:pPr>
      <w:bookmarkStart w:id="128" w:name="_Toc20858929"/>
      <w:bookmarkStart w:id="129" w:name="_Toc21102404"/>
      <w:bookmarkStart w:id="130" w:name="_Ref22478780"/>
      <w:bookmarkStart w:id="131" w:name="_Toc31811077"/>
      <w:r w:rsidRPr="00ED4D49">
        <w:t>Impacts of Climate Change and Water Pollution on Local Economy</w:t>
      </w:r>
      <w:bookmarkEnd w:id="128"/>
      <w:bookmarkEnd w:id="129"/>
      <w:bookmarkEnd w:id="130"/>
      <w:bookmarkEnd w:id="131"/>
    </w:p>
    <w:p w14:paraId="56A3D2A0" w14:textId="7AA626DB" w:rsidR="00395B84" w:rsidRPr="00ED4D49" w:rsidRDefault="00A67FEE" w:rsidP="00A67FEE">
      <w:pPr>
        <w:jc w:val="both"/>
        <w:rPr>
          <w:rFonts w:cs="Calibri"/>
          <w:lang w:val="en-US"/>
        </w:rPr>
      </w:pPr>
      <w:r w:rsidRPr="00ED4D49">
        <w:rPr>
          <w:rFonts w:cs="Calibri"/>
          <w:lang w:val="en-US"/>
        </w:rPr>
        <w:t xml:space="preserve">The floods negatively affected a large part of the population and land mass, especially in BiH. </w:t>
      </w:r>
      <w:r w:rsidR="00CF4B9D" w:rsidRPr="00ED4D49">
        <w:rPr>
          <w:rFonts w:cs="Calibri"/>
          <w:lang w:val="en-US"/>
        </w:rPr>
        <w:t>The two main flood events occurred in 2010 and 2014.</w:t>
      </w:r>
    </w:p>
    <w:p w14:paraId="7034B78A" w14:textId="0A08AA71" w:rsidR="00CF4B9D" w:rsidRPr="00ED4D49" w:rsidRDefault="00CF4B9D" w:rsidP="000C2D7D">
      <w:pPr>
        <w:jc w:val="both"/>
        <w:rPr>
          <w:rFonts w:cs="Calibri"/>
          <w:lang w:val="en-US"/>
        </w:rPr>
      </w:pPr>
      <w:r w:rsidRPr="00ED4D49">
        <w:rPr>
          <w:rFonts w:cs="Calibri"/>
          <w:lang w:val="en-US"/>
        </w:rPr>
        <w:t>A</w:t>
      </w:r>
      <w:r w:rsidR="00395B84" w:rsidRPr="00ED4D49">
        <w:rPr>
          <w:rFonts w:cs="Calibri"/>
          <w:lang w:val="en-US"/>
        </w:rPr>
        <w:t>t the beginning of January 2010</w:t>
      </w:r>
      <w:r w:rsidR="00B1135E" w:rsidRPr="00ED4D49">
        <w:rPr>
          <w:rFonts w:cs="Calibri"/>
          <w:lang w:val="en-US"/>
        </w:rPr>
        <w:t>,</w:t>
      </w:r>
      <w:r w:rsidRPr="00ED4D49">
        <w:rPr>
          <w:rFonts w:cs="Calibri"/>
          <w:lang w:val="en-US"/>
        </w:rPr>
        <w:t xml:space="preserve"> floods were recorded </w:t>
      </w:r>
      <w:r w:rsidR="00395B84" w:rsidRPr="00ED4D49">
        <w:rPr>
          <w:rFonts w:cs="Calibri"/>
          <w:lang w:val="en-US"/>
        </w:rPr>
        <w:t xml:space="preserve">on </w:t>
      </w:r>
      <w:r w:rsidR="00B1135E" w:rsidRPr="00ED4D49">
        <w:rPr>
          <w:rFonts w:cs="Calibri"/>
          <w:lang w:val="en-US"/>
        </w:rPr>
        <w:t xml:space="preserve">the </w:t>
      </w:r>
      <w:r w:rsidR="00395B84" w:rsidRPr="00ED4D49">
        <w:rPr>
          <w:rFonts w:cs="Calibri"/>
          <w:lang w:val="en-US"/>
        </w:rPr>
        <w:t xml:space="preserve">Una, Sana, Vrbas and </w:t>
      </w:r>
      <w:proofErr w:type="gramStart"/>
      <w:r w:rsidR="00395B84" w:rsidRPr="00ED4D49">
        <w:rPr>
          <w:rFonts w:cs="Calibri"/>
          <w:lang w:val="en-US"/>
        </w:rPr>
        <w:t>Bosna river</w:t>
      </w:r>
      <w:proofErr w:type="gramEnd"/>
      <w:r w:rsidR="00395B84" w:rsidRPr="00ED4D49">
        <w:rPr>
          <w:rFonts w:cs="Calibri"/>
          <w:lang w:val="en-US"/>
        </w:rPr>
        <w:t xml:space="preserve"> with the recurrence period ranging from 5 to 100 years. </w:t>
      </w:r>
      <w:r w:rsidR="000C2D7D" w:rsidRPr="00ED4D49">
        <w:rPr>
          <w:rFonts w:cs="Calibri"/>
          <w:lang w:val="en-US"/>
        </w:rPr>
        <w:t>2,514 households with 6,317 inhabitants were endangered</w:t>
      </w:r>
      <w:r w:rsidRPr="00ED4D49">
        <w:rPr>
          <w:rFonts w:cs="Calibri"/>
          <w:lang w:val="en-US"/>
        </w:rPr>
        <w:t xml:space="preserve"> in FBiH, while e</w:t>
      </w:r>
      <w:r w:rsidR="000C2D7D" w:rsidRPr="00ED4D49">
        <w:rPr>
          <w:rFonts w:cs="Calibri"/>
          <w:lang w:val="en-US"/>
        </w:rPr>
        <w:t xml:space="preserve">vacuation of 836 persons was carried out. </w:t>
      </w:r>
      <w:r w:rsidRPr="00ED4D49">
        <w:rPr>
          <w:rFonts w:cs="Calibri"/>
          <w:lang w:val="en-US"/>
        </w:rPr>
        <w:t>Over 140,100 hectares of land were flooded out of which approx. 91,360 hectares were agricultural land/surfaces. In RS 3,473 households were endangered and 956 families evacuated. About 100,649 hectares of land were flooded, 48 houses destroyed</w:t>
      </w:r>
      <w:r w:rsidR="00B1135E" w:rsidRPr="00ED4D49">
        <w:rPr>
          <w:rFonts w:cs="Calibri"/>
          <w:lang w:val="en-US"/>
        </w:rPr>
        <w:t xml:space="preserve"> and</w:t>
      </w:r>
      <w:r w:rsidRPr="00ED4D49">
        <w:rPr>
          <w:rFonts w:cs="Calibri"/>
          <w:lang w:val="en-US"/>
        </w:rPr>
        <w:t xml:space="preserve"> 1,513 </w:t>
      </w:r>
      <w:r w:rsidR="00B1135E" w:rsidRPr="00ED4D49">
        <w:rPr>
          <w:rFonts w:cs="Calibri"/>
          <w:lang w:val="en-US"/>
        </w:rPr>
        <w:t>structures</w:t>
      </w:r>
      <w:r w:rsidRPr="00ED4D49">
        <w:rPr>
          <w:rFonts w:cs="Calibri"/>
          <w:lang w:val="en-US"/>
        </w:rPr>
        <w:t xml:space="preserve"> </w:t>
      </w:r>
      <w:r w:rsidRPr="00ED4D49">
        <w:rPr>
          <w:rFonts w:cs="Calibri"/>
          <w:lang w:val="en-US"/>
        </w:rPr>
        <w:lastRenderedPageBreak/>
        <w:t xml:space="preserve">damaged. Moreover, 15 bridges were destroyed, and 40 bridges damaged in the country. Excessive saturation by water caused 1261 landslides in FBiH, and 156 landslides in RS. The damage </w:t>
      </w:r>
      <w:r w:rsidR="00B1135E" w:rsidRPr="00ED4D49">
        <w:rPr>
          <w:rFonts w:cs="Calibri"/>
          <w:lang w:val="en-US"/>
        </w:rPr>
        <w:t>to</w:t>
      </w:r>
      <w:r w:rsidRPr="00ED4D49">
        <w:rPr>
          <w:rFonts w:cs="Calibri"/>
          <w:lang w:val="en-US"/>
        </w:rPr>
        <w:t xml:space="preserve"> land, structures, equipment, cultural goods and other properties exceed</w:t>
      </w:r>
      <w:r w:rsidR="00B1135E" w:rsidRPr="00ED4D49">
        <w:rPr>
          <w:rFonts w:cs="Calibri"/>
          <w:lang w:val="en-US"/>
        </w:rPr>
        <w:t>ed</w:t>
      </w:r>
      <w:r w:rsidRPr="00ED4D49">
        <w:rPr>
          <w:rFonts w:cs="Calibri"/>
          <w:lang w:val="en-US"/>
        </w:rPr>
        <w:t xml:space="preserve"> USD 56 million in FBiH, and USD 29 million in RS</w:t>
      </w:r>
      <w:r w:rsidRPr="00ED4D49">
        <w:rPr>
          <w:rStyle w:val="FootnoteReference"/>
          <w:rFonts w:cs="Calibri"/>
          <w:lang w:val="en-US"/>
        </w:rPr>
        <w:footnoteReference w:id="25"/>
      </w:r>
      <w:r w:rsidRPr="00ED4D49">
        <w:rPr>
          <w:rFonts w:cs="Calibri"/>
          <w:lang w:val="en-US"/>
        </w:rPr>
        <w:t>.</w:t>
      </w:r>
    </w:p>
    <w:p w14:paraId="5F7A328B" w14:textId="65B87D47" w:rsidR="004E06FD" w:rsidRPr="00ED4D49" w:rsidRDefault="00A67FEE" w:rsidP="004E06FD">
      <w:pPr>
        <w:jc w:val="both"/>
        <w:rPr>
          <w:lang w:val="en-US"/>
        </w:rPr>
      </w:pPr>
      <w:r w:rsidRPr="00ED4D49">
        <w:rPr>
          <w:rFonts w:cs="Calibri"/>
          <w:lang w:val="en-US"/>
        </w:rPr>
        <w:t xml:space="preserve">At the end of May 2014, 25 people died, about 90,000 people were evacuated and around 1 million people (or one quarter of the total population) were directly affected by the floods. </w:t>
      </w:r>
      <w:r w:rsidR="00395B84" w:rsidRPr="00ED4D49">
        <w:rPr>
          <w:rFonts w:cs="Calibri"/>
          <w:lang w:val="en-US"/>
        </w:rPr>
        <w:t>In the flooded areas and areas affected by landslides</w:t>
      </w:r>
      <w:r w:rsidR="00B1135E" w:rsidRPr="00ED4D49">
        <w:rPr>
          <w:rFonts w:cs="Calibri"/>
          <w:lang w:val="en-US"/>
        </w:rPr>
        <w:t xml:space="preserve">, </w:t>
      </w:r>
      <w:r w:rsidR="00395B84" w:rsidRPr="00ED4D49">
        <w:rPr>
          <w:rFonts w:cs="Calibri"/>
          <w:lang w:val="en-US"/>
        </w:rPr>
        <w:t>14,415 residential buildings were damaged, while 1,030 residential buildings were demolished. In addition, the total flooded surface was 30,478 ha of agricultural land</w:t>
      </w:r>
      <w:r w:rsidR="000C2D7D" w:rsidRPr="00ED4D49">
        <w:rPr>
          <w:rStyle w:val="FootnoteReference"/>
          <w:rFonts w:cs="Calibri"/>
          <w:lang w:val="en-US"/>
        </w:rPr>
        <w:footnoteReference w:id="26"/>
      </w:r>
      <w:r w:rsidR="00395B84" w:rsidRPr="00ED4D49">
        <w:rPr>
          <w:rFonts w:cs="Calibri"/>
          <w:lang w:val="en-US"/>
        </w:rPr>
        <w:t xml:space="preserve">. </w:t>
      </w:r>
      <w:r w:rsidRPr="00ED4D49">
        <w:rPr>
          <w:rFonts w:cs="Calibri"/>
          <w:lang w:val="en-US"/>
        </w:rPr>
        <w:t>Significant damage was inflicted on the transport infrastructure (roads, bridges and railways). The assessment of flood damage in BiH in 2014 amounted to about 15% of GDP – damages (9.3%) and losses (5.6%). The hardest hit economic sectors were agriculture, transport and productive activities</w:t>
      </w:r>
      <w:r w:rsidRPr="00ED4D49">
        <w:rPr>
          <w:rStyle w:val="FootnoteReference"/>
          <w:rFonts w:cs="Calibri"/>
          <w:lang w:val="en-US"/>
        </w:rPr>
        <w:footnoteReference w:id="27"/>
      </w:r>
      <w:r w:rsidRPr="00ED4D49">
        <w:rPr>
          <w:rFonts w:cs="Calibri"/>
          <w:lang w:val="en-US"/>
        </w:rPr>
        <w:t>.</w:t>
      </w:r>
      <w:r w:rsidR="004E06FD" w:rsidRPr="00ED4D49">
        <w:rPr>
          <w:rFonts w:cs="Calibri"/>
          <w:lang w:val="en-US"/>
        </w:rPr>
        <w:t xml:space="preserve"> </w:t>
      </w:r>
      <w:r w:rsidR="004E06FD" w:rsidRPr="00ED4D49">
        <w:rPr>
          <w:lang w:val="en-US"/>
        </w:rPr>
        <w:t xml:space="preserve">The Sava River waterway corridor infrastructure was also damaged. Heavy </w:t>
      </w:r>
      <w:r w:rsidR="004E06FD" w:rsidRPr="00ED4D49">
        <w:rPr>
          <w:rFonts w:cs="Calibri"/>
          <w:lang w:val="en-US"/>
        </w:rPr>
        <w:t>sedimentation</w:t>
      </w:r>
      <w:r w:rsidR="004E06FD" w:rsidRPr="00ED4D49">
        <w:rPr>
          <w:lang w:val="en-US"/>
        </w:rPr>
        <w:t xml:space="preserve"> in certain areas together with a lack of maintenance of the river bed has led to a reduction in the width and depth of the fairway (navigable channel)</w:t>
      </w:r>
      <w:r w:rsidR="004E06FD" w:rsidRPr="00ED4D49">
        <w:rPr>
          <w:rStyle w:val="FootnoteReference"/>
          <w:lang w:val="en-US"/>
        </w:rPr>
        <w:footnoteReference w:id="28"/>
      </w:r>
      <w:r w:rsidR="004E06FD" w:rsidRPr="00ED4D49">
        <w:rPr>
          <w:lang w:val="en-US"/>
        </w:rPr>
        <w:t>.</w:t>
      </w:r>
    </w:p>
    <w:p w14:paraId="468F2C9D" w14:textId="25E89816" w:rsidR="00A67FEE" w:rsidRPr="00ED4D49" w:rsidRDefault="00A67FEE" w:rsidP="00C27BB5">
      <w:pPr>
        <w:jc w:val="both"/>
        <w:rPr>
          <w:szCs w:val="23"/>
          <w:lang w:val="en-US"/>
        </w:rPr>
      </w:pPr>
      <w:r w:rsidRPr="00ED4D49">
        <w:rPr>
          <w:rFonts w:cs="Calibri"/>
          <w:lang w:val="en-US"/>
        </w:rPr>
        <w:t xml:space="preserve">In the </w:t>
      </w:r>
      <w:r w:rsidR="005C4333" w:rsidRPr="00ED4D49">
        <w:rPr>
          <w:rFonts w:cs="Calibri"/>
          <w:lang w:val="en-US"/>
        </w:rPr>
        <w:t>DRB</w:t>
      </w:r>
      <w:r w:rsidRPr="00ED4D49">
        <w:rPr>
          <w:rFonts w:cs="Calibri"/>
          <w:lang w:val="en-US"/>
        </w:rPr>
        <w:t>, there are problems related to the protection of water resources from pollution due to the discharge of wastewater and solid waste. It has been observed that there is a lack of facilities for treating wastewater before it is released into surface water. This applies to urban and rural areas, as well as more isolated industrial plants.</w:t>
      </w:r>
      <w:r w:rsidR="005C4333" w:rsidRPr="00ED4D49">
        <w:rPr>
          <w:rFonts w:cs="Calibri"/>
          <w:lang w:val="en-US"/>
        </w:rPr>
        <w:t xml:space="preserve"> </w:t>
      </w:r>
      <w:r w:rsidRPr="00ED4D49">
        <w:rPr>
          <w:rFonts w:cs="Calibri"/>
          <w:lang w:val="en-US"/>
        </w:rPr>
        <w:t>The use of water for water supply, irrigation, etc. is not very significant in view of the considerable Drina water resources, except in the lower flow. The main impacts due to climate change (floods) and pollution can have negative impact</w:t>
      </w:r>
      <w:r w:rsidR="005C4333" w:rsidRPr="00ED4D49">
        <w:rPr>
          <w:rFonts w:cs="Calibri"/>
          <w:lang w:val="en-US"/>
        </w:rPr>
        <w:t>s</w:t>
      </w:r>
      <w:r w:rsidRPr="00ED4D49">
        <w:rPr>
          <w:rFonts w:cs="Calibri"/>
          <w:lang w:val="en-US"/>
        </w:rPr>
        <w:t xml:space="preserve"> on </w:t>
      </w:r>
      <w:r w:rsidRPr="00ED4D49">
        <w:rPr>
          <w:color w:val="000000"/>
          <w:szCs w:val="23"/>
          <w:lang w:val="en-US"/>
        </w:rPr>
        <w:t xml:space="preserve">agricultural production and </w:t>
      </w:r>
      <w:r w:rsidR="005C4333" w:rsidRPr="00ED4D49">
        <w:rPr>
          <w:color w:val="000000"/>
          <w:szCs w:val="23"/>
          <w:lang w:val="en-US"/>
        </w:rPr>
        <w:t>cause</w:t>
      </w:r>
      <w:r w:rsidRPr="00ED4D49">
        <w:rPr>
          <w:color w:val="000000"/>
          <w:szCs w:val="23"/>
          <w:lang w:val="en-US"/>
        </w:rPr>
        <w:t xml:space="preserve"> damages to local farmers, as well as to fish farmers. Impacts from flooding can </w:t>
      </w:r>
      <w:r w:rsidR="005C4333" w:rsidRPr="00ED4D49">
        <w:rPr>
          <w:color w:val="000000"/>
          <w:szCs w:val="23"/>
          <w:lang w:val="en-US"/>
        </w:rPr>
        <w:t xml:space="preserve">negatively </w:t>
      </w:r>
      <w:r w:rsidRPr="00ED4D49">
        <w:rPr>
          <w:color w:val="000000"/>
          <w:szCs w:val="23"/>
          <w:lang w:val="en-US"/>
        </w:rPr>
        <w:t xml:space="preserve">affect the gravel extraction industry located at the riverbed of the Drina River which represent a significant source of income for small private </w:t>
      </w:r>
      <w:r w:rsidRPr="00ED4D49">
        <w:rPr>
          <w:szCs w:val="23"/>
          <w:lang w:val="en-US"/>
        </w:rPr>
        <w:t>companies.</w:t>
      </w:r>
    </w:p>
    <w:p w14:paraId="2E34686D" w14:textId="7DCDAED5" w:rsidR="004E06FD" w:rsidRPr="00ED4D49" w:rsidRDefault="00A67FEE" w:rsidP="00A67FEE">
      <w:pPr>
        <w:jc w:val="both"/>
        <w:rPr>
          <w:lang w:val="en-US"/>
        </w:rPr>
      </w:pPr>
      <w:r w:rsidRPr="00ED4D49">
        <w:rPr>
          <w:lang w:val="en-US"/>
        </w:rPr>
        <w:t>In</w:t>
      </w:r>
      <w:r w:rsidR="004E06FD" w:rsidRPr="00ED4D49">
        <w:rPr>
          <w:lang w:val="en-US"/>
        </w:rPr>
        <w:t xml:space="preserve"> the </w:t>
      </w:r>
      <w:r w:rsidR="005C4333" w:rsidRPr="00ED4D49">
        <w:rPr>
          <w:lang w:val="en-US"/>
        </w:rPr>
        <w:t>SRB</w:t>
      </w:r>
      <w:r w:rsidRPr="00ED4D49">
        <w:rPr>
          <w:lang w:val="en-US"/>
        </w:rPr>
        <w:t xml:space="preserve"> area</w:t>
      </w:r>
      <w:r w:rsidR="005C4333" w:rsidRPr="00ED4D49">
        <w:rPr>
          <w:lang w:val="en-US"/>
        </w:rPr>
        <w:t>,</w:t>
      </w:r>
      <w:r w:rsidRPr="00ED4D49">
        <w:rPr>
          <w:lang w:val="en-US"/>
        </w:rPr>
        <w:t xml:space="preserve"> water resources are used for agricultural activities. Agricultural activities in this area can be negatively affected by the climate change </w:t>
      </w:r>
      <w:proofErr w:type="gramStart"/>
      <w:r w:rsidRPr="00ED4D49">
        <w:rPr>
          <w:lang w:val="en-US"/>
        </w:rPr>
        <w:t>effects</w:t>
      </w:r>
      <w:proofErr w:type="gramEnd"/>
      <w:r w:rsidRPr="00ED4D49">
        <w:rPr>
          <w:lang w:val="en-US"/>
        </w:rPr>
        <w:t xml:space="preserve"> </w:t>
      </w:r>
      <w:r w:rsidR="005C4333" w:rsidRPr="00ED4D49">
        <w:rPr>
          <w:lang w:val="en-US"/>
        </w:rPr>
        <w:t>such as</w:t>
      </w:r>
      <w:r w:rsidRPr="00ED4D49">
        <w:rPr>
          <w:lang w:val="en-US"/>
        </w:rPr>
        <w:t xml:space="preserve"> floods and landslides and </w:t>
      </w:r>
      <w:r w:rsidR="005C4333" w:rsidRPr="00ED4D49">
        <w:rPr>
          <w:lang w:val="en-US"/>
        </w:rPr>
        <w:t xml:space="preserve">also </w:t>
      </w:r>
      <w:r w:rsidRPr="00ED4D49">
        <w:rPr>
          <w:lang w:val="en-US"/>
        </w:rPr>
        <w:t>negative</w:t>
      </w:r>
      <w:r w:rsidR="005C4333" w:rsidRPr="00ED4D49">
        <w:rPr>
          <w:lang w:val="en-US"/>
        </w:rPr>
        <w:t>ly</w:t>
      </w:r>
      <w:r w:rsidRPr="00ED4D49">
        <w:rPr>
          <w:lang w:val="en-US"/>
        </w:rPr>
        <w:t xml:space="preserve"> impact </w:t>
      </w:r>
      <w:r w:rsidR="005C4333" w:rsidRPr="00ED4D49">
        <w:rPr>
          <w:lang w:val="en-US"/>
        </w:rPr>
        <w:t>the</w:t>
      </w:r>
      <w:r w:rsidRPr="00ED4D49">
        <w:rPr>
          <w:lang w:val="en-US"/>
        </w:rPr>
        <w:t xml:space="preserve"> food industry which is based on agricultural activities. </w:t>
      </w:r>
      <w:r w:rsidR="005C4333" w:rsidRPr="00ED4D49">
        <w:rPr>
          <w:lang w:val="en-US"/>
        </w:rPr>
        <w:t>The SRB</w:t>
      </w:r>
      <w:r w:rsidRPr="00ED4D49">
        <w:rPr>
          <w:lang w:val="en-US"/>
        </w:rPr>
        <w:t xml:space="preserve"> area is characterized by </w:t>
      </w:r>
      <w:r w:rsidR="005C4333" w:rsidRPr="00ED4D49">
        <w:rPr>
          <w:lang w:val="en-US"/>
        </w:rPr>
        <w:t xml:space="preserve">the </w:t>
      </w:r>
      <w:r w:rsidRPr="00ED4D49">
        <w:rPr>
          <w:lang w:val="en-US"/>
        </w:rPr>
        <w:t xml:space="preserve">energy and chemical industry which </w:t>
      </w:r>
      <w:r w:rsidR="005C4333" w:rsidRPr="00ED4D49">
        <w:rPr>
          <w:lang w:val="en-US"/>
        </w:rPr>
        <w:t>are</w:t>
      </w:r>
      <w:r w:rsidRPr="00ED4D49">
        <w:rPr>
          <w:lang w:val="en-US"/>
        </w:rPr>
        <w:t xml:space="preserve"> a source of additional pollution.</w:t>
      </w:r>
      <w:r w:rsidR="004E06FD" w:rsidRPr="00ED4D49">
        <w:rPr>
          <w:lang w:val="en-US"/>
        </w:rPr>
        <w:t xml:space="preserve"> </w:t>
      </w:r>
      <w:r w:rsidR="005C4333" w:rsidRPr="00ED4D49">
        <w:rPr>
          <w:lang w:val="en-US"/>
        </w:rPr>
        <w:t>The p</w:t>
      </w:r>
      <w:r w:rsidRPr="00ED4D49">
        <w:rPr>
          <w:lang w:val="en-US"/>
        </w:rPr>
        <w:t xml:space="preserve">ower generation industry, which is one of the economic sectors present on the </w:t>
      </w:r>
      <w:r w:rsidR="004810A4" w:rsidRPr="00ED4D49">
        <w:rPr>
          <w:lang w:val="en-US"/>
        </w:rPr>
        <w:t>SRB</w:t>
      </w:r>
      <w:r w:rsidRPr="00ED4D49">
        <w:rPr>
          <w:lang w:val="en-US"/>
        </w:rPr>
        <w:t xml:space="preserve"> area</w:t>
      </w:r>
      <w:r w:rsidR="004810A4" w:rsidRPr="00ED4D49">
        <w:rPr>
          <w:lang w:val="en-US"/>
        </w:rPr>
        <w:t>,</w:t>
      </w:r>
      <w:r w:rsidRPr="00ED4D49">
        <w:rPr>
          <w:lang w:val="en-US"/>
        </w:rPr>
        <w:t xml:space="preserve"> is not at high risk from floods. </w:t>
      </w:r>
      <w:r w:rsidR="004810A4" w:rsidRPr="00ED4D49">
        <w:rPr>
          <w:lang w:val="en-US"/>
        </w:rPr>
        <w:t>D</w:t>
      </w:r>
      <w:r w:rsidRPr="00ED4D49">
        <w:rPr>
          <w:lang w:val="en-US"/>
        </w:rPr>
        <w:t>uring the</w:t>
      </w:r>
      <w:r w:rsidR="004810A4" w:rsidRPr="00ED4D49">
        <w:rPr>
          <w:lang w:val="en-US"/>
        </w:rPr>
        <w:t xml:space="preserve"> 2014 </w:t>
      </w:r>
      <w:r w:rsidRPr="00ED4D49">
        <w:rPr>
          <w:lang w:val="en-US"/>
        </w:rPr>
        <w:t>flooding</w:t>
      </w:r>
      <w:r w:rsidR="004810A4" w:rsidRPr="00ED4D49">
        <w:rPr>
          <w:lang w:val="en-US"/>
        </w:rPr>
        <w:t>,</w:t>
      </w:r>
      <w:r w:rsidRPr="00ED4D49">
        <w:rPr>
          <w:lang w:val="en-US"/>
        </w:rPr>
        <w:t xml:space="preserve"> there were several issues due to the problems in electricity transmission, however there were no </w:t>
      </w:r>
      <w:r w:rsidR="004810A4" w:rsidRPr="00ED4D49">
        <w:rPr>
          <w:lang w:val="en-US"/>
        </w:rPr>
        <w:t>issues related to</w:t>
      </w:r>
      <w:r w:rsidRPr="00ED4D49">
        <w:rPr>
          <w:lang w:val="en-US"/>
        </w:rPr>
        <w:t xml:space="preserve"> electricity generation in </w:t>
      </w:r>
      <w:r w:rsidR="004810A4" w:rsidRPr="00ED4D49">
        <w:rPr>
          <w:lang w:val="en-US"/>
        </w:rPr>
        <w:t xml:space="preserve">the </w:t>
      </w:r>
      <w:r w:rsidRPr="00ED4D49">
        <w:rPr>
          <w:lang w:val="en-US"/>
        </w:rPr>
        <w:t xml:space="preserve">SRB area. None of the </w:t>
      </w:r>
      <w:r w:rsidR="004810A4" w:rsidRPr="00ED4D49">
        <w:rPr>
          <w:lang w:val="en-US"/>
        </w:rPr>
        <w:t>TPPs</w:t>
      </w:r>
      <w:r w:rsidRPr="00ED4D49">
        <w:rPr>
          <w:lang w:val="en-US"/>
        </w:rPr>
        <w:t xml:space="preserve"> suffered direct damage during the flooding, but coal supply to TPP Tuzla was halved as a consequence of flooding at the „</w:t>
      </w:r>
      <w:proofErr w:type="spellStart"/>
      <w:r w:rsidRPr="00ED4D49">
        <w:rPr>
          <w:lang w:val="en-US"/>
        </w:rPr>
        <w:t>Sikulje</w:t>
      </w:r>
      <w:proofErr w:type="spellEnd"/>
      <w:r w:rsidRPr="00ED4D49">
        <w:rPr>
          <w:lang w:val="en-US"/>
        </w:rPr>
        <w:t xml:space="preserve">‟ mine. Other mines in the country provided </w:t>
      </w:r>
      <w:r w:rsidR="004810A4" w:rsidRPr="00ED4D49">
        <w:rPr>
          <w:lang w:val="en-US"/>
        </w:rPr>
        <w:t xml:space="preserve">an </w:t>
      </w:r>
      <w:r w:rsidRPr="00ED4D49">
        <w:rPr>
          <w:lang w:val="en-US"/>
        </w:rPr>
        <w:t>alternative supply to TPP Tuzla</w:t>
      </w:r>
      <w:r w:rsidRPr="00ED4D49">
        <w:rPr>
          <w:rStyle w:val="FootnoteReference"/>
          <w:lang w:val="en-US"/>
        </w:rPr>
        <w:footnoteReference w:id="29"/>
      </w:r>
      <w:r w:rsidRPr="00ED4D49">
        <w:rPr>
          <w:lang w:val="en-US"/>
        </w:rPr>
        <w:t>. Economic activities which are based on fluvial transport can be negatively affected in case of flooding, and this is relevant for the Port of Br</w:t>
      </w:r>
      <w:r w:rsidR="00A7018E" w:rsidRPr="00ED4D49">
        <w:rPr>
          <w:lang w:val="en-US"/>
        </w:rPr>
        <w:t>c</w:t>
      </w:r>
      <w:r w:rsidRPr="00ED4D49">
        <w:rPr>
          <w:lang w:val="en-US"/>
        </w:rPr>
        <w:t xml:space="preserve">ko and the Port of </w:t>
      </w:r>
      <w:proofErr w:type="spellStart"/>
      <w:r w:rsidR="00A7018E" w:rsidRPr="00ED4D49">
        <w:rPr>
          <w:lang w:val="en-US"/>
        </w:rPr>
        <w:t>S</w:t>
      </w:r>
      <w:r w:rsidRPr="00ED4D49">
        <w:rPr>
          <w:lang w:val="en-US"/>
        </w:rPr>
        <w:t>amac</w:t>
      </w:r>
      <w:proofErr w:type="spellEnd"/>
      <w:r w:rsidRPr="00ED4D49">
        <w:rPr>
          <w:lang w:val="en-US"/>
        </w:rPr>
        <w:t xml:space="preserve">. </w:t>
      </w:r>
    </w:p>
    <w:p w14:paraId="179F5EB0" w14:textId="77777777" w:rsidR="00A67FEE" w:rsidRPr="00ED4D49" w:rsidRDefault="00A67FEE" w:rsidP="0063606C">
      <w:pPr>
        <w:pStyle w:val="Heading2"/>
        <w:rPr>
          <w:rStyle w:val="tlid-translation"/>
          <w:rFonts w:cs="Calibri"/>
        </w:rPr>
      </w:pPr>
      <w:bookmarkStart w:id="132" w:name="_Toc20858932"/>
      <w:bookmarkStart w:id="133" w:name="_Toc21102407"/>
      <w:bookmarkStart w:id="134" w:name="_Toc31811078"/>
      <w:r w:rsidRPr="00ED4D49">
        <w:t>Employment</w:t>
      </w:r>
      <w:bookmarkEnd w:id="132"/>
      <w:bookmarkEnd w:id="133"/>
      <w:bookmarkEnd w:id="134"/>
    </w:p>
    <w:p w14:paraId="58003D62" w14:textId="566CDDC8" w:rsidR="00A67FEE" w:rsidRPr="00ED4D49" w:rsidRDefault="00A67FEE" w:rsidP="00A67FEE">
      <w:pPr>
        <w:autoSpaceDE w:val="0"/>
        <w:autoSpaceDN w:val="0"/>
        <w:adjustRightInd w:val="0"/>
        <w:spacing w:before="0" w:after="0"/>
        <w:jc w:val="both"/>
        <w:rPr>
          <w:rFonts w:cs="Calibri"/>
          <w:szCs w:val="20"/>
          <w:lang w:val="en-US" w:eastAsia="hr-HR"/>
        </w:rPr>
      </w:pPr>
      <w:r w:rsidRPr="00ED4D49">
        <w:rPr>
          <w:rFonts w:cs="Calibri"/>
          <w:szCs w:val="20"/>
          <w:lang w:val="en-US" w:eastAsia="hr-HR"/>
        </w:rPr>
        <w:t>According to the 2017 Social Inclusion Report</w:t>
      </w:r>
      <w:r w:rsidRPr="00ED4D49">
        <w:rPr>
          <w:rStyle w:val="FootnoteReference"/>
          <w:rFonts w:cs="Calibri"/>
          <w:szCs w:val="20"/>
          <w:lang w:val="en-US" w:eastAsia="hr-HR"/>
        </w:rPr>
        <w:footnoteReference w:id="30"/>
      </w:r>
      <w:r w:rsidRPr="00ED4D49">
        <w:rPr>
          <w:rFonts w:cs="Calibri"/>
          <w:szCs w:val="20"/>
          <w:lang w:val="en-US" w:eastAsia="hr-HR"/>
        </w:rPr>
        <w:t xml:space="preserve">, the main characteristic of </w:t>
      </w:r>
      <w:r w:rsidR="004810A4" w:rsidRPr="00ED4D49">
        <w:rPr>
          <w:rFonts w:cs="Calibri"/>
          <w:szCs w:val="20"/>
          <w:lang w:val="en-US" w:eastAsia="hr-HR"/>
        </w:rPr>
        <w:t xml:space="preserve">the </w:t>
      </w:r>
      <w:r w:rsidRPr="00ED4D49">
        <w:rPr>
          <w:rFonts w:cs="Calibri"/>
          <w:szCs w:val="20"/>
          <w:lang w:val="en-US" w:eastAsia="hr-HR"/>
        </w:rPr>
        <w:t xml:space="preserve">labor force in BiH </w:t>
      </w:r>
      <w:r w:rsidR="004810A4" w:rsidRPr="00ED4D49">
        <w:rPr>
          <w:rFonts w:cs="Calibri"/>
          <w:szCs w:val="20"/>
          <w:lang w:val="en-US" w:eastAsia="hr-HR"/>
        </w:rPr>
        <w:t xml:space="preserve">in the last decade has been </w:t>
      </w:r>
      <w:r w:rsidRPr="00ED4D49">
        <w:rPr>
          <w:rFonts w:cs="Calibri"/>
          <w:szCs w:val="20"/>
          <w:lang w:val="en-US" w:eastAsia="hr-HR"/>
        </w:rPr>
        <w:t>a high rate of inactivity and unemployment, particularly long-term unemployment.</w:t>
      </w:r>
    </w:p>
    <w:p w14:paraId="298513DB" w14:textId="77777777" w:rsidR="004810A4" w:rsidRPr="00ED4D49" w:rsidRDefault="004810A4" w:rsidP="00A67FEE">
      <w:pPr>
        <w:autoSpaceDE w:val="0"/>
        <w:autoSpaceDN w:val="0"/>
        <w:adjustRightInd w:val="0"/>
        <w:spacing w:before="0" w:after="0"/>
        <w:jc w:val="both"/>
        <w:rPr>
          <w:rFonts w:cs="Calibri"/>
          <w:szCs w:val="20"/>
          <w:lang w:val="en-US" w:eastAsia="hr-HR"/>
        </w:rPr>
      </w:pPr>
    </w:p>
    <w:p w14:paraId="1C3FC254" w14:textId="4FB1E42A" w:rsidR="00A67FEE" w:rsidRPr="00ED4D49" w:rsidRDefault="00A67FEE" w:rsidP="00A67FEE">
      <w:pPr>
        <w:autoSpaceDE w:val="0"/>
        <w:autoSpaceDN w:val="0"/>
        <w:adjustRightInd w:val="0"/>
        <w:spacing w:before="0" w:after="0"/>
        <w:jc w:val="both"/>
        <w:rPr>
          <w:rFonts w:cs="Calibri"/>
          <w:szCs w:val="20"/>
          <w:lang w:val="en-US" w:eastAsia="hr-HR"/>
        </w:rPr>
      </w:pPr>
      <w:r w:rsidRPr="00ED4D49">
        <w:rPr>
          <w:rFonts w:cs="Calibri"/>
          <w:szCs w:val="20"/>
          <w:lang w:val="en-US" w:eastAsia="hr-HR"/>
        </w:rPr>
        <w:t>According to the 2017 Labor Force Survey</w:t>
      </w:r>
      <w:r w:rsidR="004810A4" w:rsidRPr="00ED4D49">
        <w:rPr>
          <w:rFonts w:cs="Calibri"/>
          <w:szCs w:val="20"/>
          <w:lang w:val="en-US" w:eastAsia="hr-HR"/>
        </w:rPr>
        <w:t xml:space="preserve"> conducted </w:t>
      </w:r>
      <w:r w:rsidRPr="00ED4D49">
        <w:rPr>
          <w:rFonts w:cs="Calibri"/>
          <w:szCs w:val="20"/>
          <w:lang w:val="en-US" w:eastAsia="hr-HR"/>
        </w:rPr>
        <w:t>by the BiH Statistics Agency, the number of employed persons in BiH grew compared to the previous year (</w:t>
      </w:r>
      <w:r w:rsidRPr="00ED4D49">
        <w:rPr>
          <w:lang w:val="en-US"/>
        </w:rPr>
        <w:fldChar w:fldCharType="begin"/>
      </w:r>
      <w:r w:rsidRPr="00ED4D49">
        <w:rPr>
          <w:lang w:val="en-US"/>
        </w:rPr>
        <w:instrText xml:space="preserve"> REF _Ref9253930 \h  \* MERGEFORMAT </w:instrText>
      </w:r>
      <w:r w:rsidRPr="00ED4D49">
        <w:rPr>
          <w:lang w:val="en-US"/>
        </w:rPr>
      </w:r>
      <w:r w:rsidRPr="00ED4D49">
        <w:rPr>
          <w:lang w:val="en-US"/>
        </w:rPr>
        <w:fldChar w:fldCharType="separate"/>
      </w:r>
      <w:r w:rsidR="00F60130" w:rsidRPr="00ED4D49">
        <w:rPr>
          <w:color w:val="1F3864"/>
          <w:szCs w:val="20"/>
          <w:lang w:val="en-US"/>
        </w:rPr>
        <w:t>Table 11</w:t>
      </w:r>
      <w:r w:rsidRPr="00ED4D49">
        <w:rPr>
          <w:lang w:val="en-US"/>
        </w:rPr>
        <w:fldChar w:fldCharType="end"/>
      </w:r>
      <w:r w:rsidRPr="00ED4D49">
        <w:rPr>
          <w:rFonts w:cs="Calibri"/>
          <w:szCs w:val="20"/>
          <w:lang w:val="en-US" w:eastAsia="hr-HR"/>
        </w:rPr>
        <w:t xml:space="preserve">). The youth (age 15-24) employment rate is still very low. </w:t>
      </w:r>
    </w:p>
    <w:p w14:paraId="2674E3BA" w14:textId="77777777" w:rsidR="004810A4" w:rsidRPr="00ED4D49" w:rsidRDefault="004810A4" w:rsidP="00A67FEE">
      <w:pPr>
        <w:autoSpaceDE w:val="0"/>
        <w:autoSpaceDN w:val="0"/>
        <w:adjustRightInd w:val="0"/>
        <w:spacing w:before="0" w:after="0"/>
        <w:jc w:val="both"/>
        <w:rPr>
          <w:rFonts w:cs="Calibri"/>
          <w:szCs w:val="20"/>
          <w:lang w:val="en-US" w:eastAsia="hr-HR"/>
        </w:rPr>
      </w:pPr>
    </w:p>
    <w:p w14:paraId="550ECF4E" w14:textId="5E007CBE" w:rsidR="00A67FEE" w:rsidRPr="00ED4D49" w:rsidRDefault="00A67FEE" w:rsidP="00A67FEE">
      <w:pPr>
        <w:pStyle w:val="Caption"/>
        <w:keepNext/>
      </w:pPr>
      <w:bookmarkStart w:id="135" w:name="_Ref9253930"/>
      <w:bookmarkStart w:id="136" w:name="_Toc21102444"/>
      <w:bookmarkStart w:id="137" w:name="_Toc28188036"/>
      <w:r w:rsidRPr="00ED4D49">
        <w:rPr>
          <w:b w:val="0"/>
          <w:bCs w:val="0"/>
          <w:i/>
          <w:iCs/>
          <w:color w:val="1F3864"/>
          <w:sz w:val="16"/>
          <w:szCs w:val="16"/>
        </w:rPr>
        <w:lastRenderedPageBreak/>
        <w:t xml:space="preserve">Table </w:t>
      </w:r>
      <w:r w:rsidRPr="00ED4D49">
        <w:rPr>
          <w:b w:val="0"/>
          <w:bCs w:val="0"/>
          <w:i/>
          <w:iCs/>
          <w:color w:val="1F3864"/>
          <w:sz w:val="16"/>
          <w:szCs w:val="16"/>
        </w:rPr>
        <w:fldChar w:fldCharType="begin"/>
      </w:r>
      <w:r w:rsidRPr="00ED4D49">
        <w:rPr>
          <w:b w:val="0"/>
          <w:bCs w:val="0"/>
          <w:i/>
          <w:iCs/>
          <w:color w:val="1F3864"/>
          <w:sz w:val="16"/>
          <w:szCs w:val="16"/>
        </w:rPr>
        <w:instrText xml:space="preserve"> SEQ Table \* ARABIC </w:instrText>
      </w:r>
      <w:r w:rsidRPr="00ED4D49">
        <w:rPr>
          <w:b w:val="0"/>
          <w:bCs w:val="0"/>
          <w:i/>
          <w:iCs/>
          <w:color w:val="1F3864"/>
          <w:sz w:val="16"/>
          <w:szCs w:val="16"/>
        </w:rPr>
        <w:fldChar w:fldCharType="separate"/>
      </w:r>
      <w:r w:rsidR="00F60130" w:rsidRPr="00ED4D49">
        <w:rPr>
          <w:b w:val="0"/>
          <w:bCs w:val="0"/>
          <w:i/>
          <w:iCs/>
          <w:noProof/>
          <w:color w:val="1F3864"/>
          <w:sz w:val="16"/>
          <w:szCs w:val="16"/>
        </w:rPr>
        <w:t>11</w:t>
      </w:r>
      <w:r w:rsidRPr="00ED4D49">
        <w:rPr>
          <w:b w:val="0"/>
          <w:bCs w:val="0"/>
          <w:i/>
          <w:iCs/>
          <w:color w:val="1F3864"/>
          <w:sz w:val="16"/>
          <w:szCs w:val="16"/>
        </w:rPr>
        <w:fldChar w:fldCharType="end"/>
      </w:r>
      <w:bookmarkEnd w:id="135"/>
      <w:r w:rsidRPr="00ED4D49">
        <w:rPr>
          <w:b w:val="0"/>
          <w:bCs w:val="0"/>
          <w:i/>
          <w:iCs/>
          <w:color w:val="1F3864"/>
          <w:sz w:val="16"/>
          <w:szCs w:val="16"/>
        </w:rPr>
        <w:t xml:space="preserve">: </w:t>
      </w:r>
      <w:r w:rsidRPr="00ED4D49">
        <w:rPr>
          <w:rFonts w:cs="Calibri"/>
          <w:b w:val="0"/>
          <w:i/>
          <w:color w:val="auto"/>
          <w:sz w:val="16"/>
        </w:rPr>
        <w:t>Number of employed persons, by gender, and employment rate by age groups in BIH in 2016 and 2017</w:t>
      </w:r>
      <w:bookmarkEnd w:id="136"/>
      <w:bookmarkEnd w:id="137"/>
    </w:p>
    <w:tbl>
      <w:tblPr>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5616"/>
        <w:gridCol w:w="1624"/>
        <w:gridCol w:w="1770"/>
      </w:tblGrid>
      <w:tr w:rsidR="00A67FEE" w:rsidRPr="00ED4D49" w14:paraId="39DC8BC9" w14:textId="77777777" w:rsidTr="00A67FEE">
        <w:tc>
          <w:tcPr>
            <w:tcW w:w="3117" w:type="pct"/>
            <w:shd w:val="clear" w:color="auto" w:fill="auto"/>
          </w:tcPr>
          <w:p w14:paraId="3433C56B" w14:textId="77777777" w:rsidR="00A67FEE" w:rsidRPr="00ED4D49" w:rsidRDefault="00A67FEE" w:rsidP="00A67FEE">
            <w:pPr>
              <w:spacing w:before="0" w:after="0"/>
              <w:ind w:left="144" w:right="144"/>
              <w:jc w:val="both"/>
              <w:rPr>
                <w:rFonts w:cs="Calibri"/>
                <w:color w:val="1F497D"/>
                <w:sz w:val="16"/>
                <w:szCs w:val="16"/>
                <w:lang w:val="en-US"/>
              </w:rPr>
            </w:pPr>
          </w:p>
        </w:tc>
        <w:tc>
          <w:tcPr>
            <w:tcW w:w="901" w:type="pct"/>
            <w:shd w:val="clear" w:color="auto" w:fill="auto"/>
          </w:tcPr>
          <w:p w14:paraId="41296ACB" w14:textId="77777777" w:rsidR="00A67FEE" w:rsidRPr="00ED4D49" w:rsidRDefault="00A67FEE" w:rsidP="00A67FEE">
            <w:pPr>
              <w:spacing w:before="0" w:after="0"/>
              <w:ind w:left="144" w:right="144"/>
              <w:jc w:val="right"/>
              <w:rPr>
                <w:rFonts w:cs="Calibri"/>
                <w:color w:val="1F497D"/>
                <w:sz w:val="16"/>
                <w:szCs w:val="16"/>
                <w:lang w:val="en-US"/>
              </w:rPr>
            </w:pPr>
            <w:r w:rsidRPr="00ED4D49">
              <w:rPr>
                <w:rFonts w:cs="Calibri"/>
                <w:color w:val="1F497D"/>
                <w:sz w:val="16"/>
                <w:szCs w:val="16"/>
                <w:lang w:val="en-US"/>
              </w:rPr>
              <w:t>2016</w:t>
            </w:r>
          </w:p>
        </w:tc>
        <w:tc>
          <w:tcPr>
            <w:tcW w:w="982" w:type="pct"/>
            <w:shd w:val="clear" w:color="auto" w:fill="auto"/>
          </w:tcPr>
          <w:p w14:paraId="6CF2CE2D" w14:textId="77777777" w:rsidR="00A67FEE" w:rsidRPr="00ED4D49" w:rsidRDefault="00A67FEE" w:rsidP="00A67FEE">
            <w:pPr>
              <w:spacing w:before="0" w:after="0"/>
              <w:ind w:left="144" w:right="144"/>
              <w:jc w:val="right"/>
              <w:rPr>
                <w:rFonts w:cs="Calibri"/>
                <w:color w:val="1F497D"/>
                <w:sz w:val="16"/>
                <w:szCs w:val="16"/>
                <w:lang w:val="en-US"/>
              </w:rPr>
            </w:pPr>
            <w:r w:rsidRPr="00ED4D49">
              <w:rPr>
                <w:rFonts w:cs="Calibri"/>
                <w:color w:val="1F497D"/>
                <w:sz w:val="16"/>
                <w:szCs w:val="16"/>
                <w:lang w:val="en-US"/>
              </w:rPr>
              <w:t>2017</w:t>
            </w:r>
          </w:p>
        </w:tc>
      </w:tr>
      <w:tr w:rsidR="00A67FEE" w:rsidRPr="00ED4D49" w14:paraId="2C64830C" w14:textId="77777777" w:rsidTr="00A67FEE">
        <w:tc>
          <w:tcPr>
            <w:tcW w:w="3117" w:type="pct"/>
            <w:shd w:val="clear" w:color="auto" w:fill="auto"/>
          </w:tcPr>
          <w:p w14:paraId="5CEB662D" w14:textId="77777777" w:rsidR="00A67FEE" w:rsidRPr="00ED4D49" w:rsidRDefault="00A67FEE" w:rsidP="00A67FEE">
            <w:pPr>
              <w:spacing w:before="0" w:after="0"/>
              <w:ind w:left="144" w:right="144"/>
              <w:jc w:val="right"/>
              <w:rPr>
                <w:rFonts w:cs="Calibri"/>
                <w:color w:val="1F497D"/>
                <w:sz w:val="16"/>
                <w:szCs w:val="16"/>
                <w:lang w:val="en-US"/>
              </w:rPr>
            </w:pPr>
            <w:r w:rsidRPr="00ED4D49">
              <w:rPr>
                <w:rFonts w:cs="Calibri"/>
                <w:color w:val="1F497D"/>
                <w:sz w:val="16"/>
                <w:szCs w:val="16"/>
                <w:lang w:val="en-US"/>
              </w:rPr>
              <w:t>Number of employed persons</w:t>
            </w:r>
          </w:p>
        </w:tc>
        <w:tc>
          <w:tcPr>
            <w:tcW w:w="901" w:type="pct"/>
            <w:shd w:val="clear" w:color="auto" w:fill="auto"/>
          </w:tcPr>
          <w:p w14:paraId="4DBBA31D" w14:textId="77777777" w:rsidR="00A67FEE" w:rsidRPr="00ED4D49" w:rsidRDefault="00A67FEE" w:rsidP="00A67FEE">
            <w:pPr>
              <w:spacing w:before="0" w:after="0"/>
              <w:ind w:left="144" w:right="144"/>
              <w:jc w:val="right"/>
              <w:rPr>
                <w:rFonts w:cs="Calibri"/>
                <w:sz w:val="16"/>
                <w:szCs w:val="20"/>
                <w:lang w:val="en-US" w:eastAsia="hr-HR"/>
              </w:rPr>
            </w:pPr>
            <w:r w:rsidRPr="00ED4D49">
              <w:rPr>
                <w:rFonts w:cs="Calibri"/>
                <w:sz w:val="16"/>
                <w:szCs w:val="20"/>
                <w:lang w:val="en-US" w:eastAsia="hr-HR"/>
              </w:rPr>
              <w:t>801,000</w:t>
            </w:r>
          </w:p>
        </w:tc>
        <w:tc>
          <w:tcPr>
            <w:tcW w:w="982" w:type="pct"/>
            <w:shd w:val="clear" w:color="auto" w:fill="auto"/>
          </w:tcPr>
          <w:p w14:paraId="326D766A" w14:textId="77777777" w:rsidR="00A67FEE" w:rsidRPr="00ED4D49" w:rsidRDefault="00A67FEE" w:rsidP="00A67FEE">
            <w:pPr>
              <w:spacing w:before="0" w:after="0"/>
              <w:ind w:left="144" w:right="144"/>
              <w:jc w:val="right"/>
              <w:rPr>
                <w:rFonts w:cs="Calibri"/>
                <w:sz w:val="16"/>
                <w:szCs w:val="20"/>
                <w:lang w:val="en-US" w:eastAsia="hr-HR"/>
              </w:rPr>
            </w:pPr>
            <w:r w:rsidRPr="00ED4D49">
              <w:rPr>
                <w:rFonts w:cs="Calibri"/>
                <w:sz w:val="16"/>
                <w:szCs w:val="20"/>
                <w:lang w:val="en-US" w:eastAsia="hr-HR"/>
              </w:rPr>
              <w:t>816,000</w:t>
            </w:r>
          </w:p>
        </w:tc>
      </w:tr>
      <w:tr w:rsidR="00A67FEE" w:rsidRPr="00ED4D49" w14:paraId="1ACA7C9A" w14:textId="77777777" w:rsidTr="00A67FEE">
        <w:tc>
          <w:tcPr>
            <w:tcW w:w="3117" w:type="pct"/>
            <w:shd w:val="clear" w:color="auto" w:fill="auto"/>
          </w:tcPr>
          <w:p w14:paraId="2704223A" w14:textId="77777777" w:rsidR="00A67FEE" w:rsidRPr="00ED4D49" w:rsidRDefault="00A67FEE" w:rsidP="00A67FEE">
            <w:pPr>
              <w:spacing w:before="0" w:after="0"/>
              <w:ind w:left="144" w:right="144"/>
              <w:jc w:val="right"/>
              <w:rPr>
                <w:rFonts w:cs="Calibri"/>
                <w:color w:val="1F497D"/>
                <w:sz w:val="16"/>
                <w:szCs w:val="16"/>
                <w:lang w:val="en-US"/>
              </w:rPr>
            </w:pPr>
            <w:r w:rsidRPr="00ED4D49">
              <w:rPr>
                <w:rFonts w:cs="Calibri"/>
                <w:color w:val="1F497D"/>
                <w:sz w:val="16"/>
                <w:szCs w:val="16"/>
                <w:lang w:val="en-US"/>
              </w:rPr>
              <w:t>Share of male/female</w:t>
            </w:r>
          </w:p>
        </w:tc>
        <w:tc>
          <w:tcPr>
            <w:tcW w:w="901" w:type="pct"/>
            <w:shd w:val="clear" w:color="auto" w:fill="auto"/>
          </w:tcPr>
          <w:p w14:paraId="64A1CDC1" w14:textId="77777777" w:rsidR="00A67FEE" w:rsidRPr="00ED4D49" w:rsidRDefault="00A67FEE" w:rsidP="00A67FEE">
            <w:pPr>
              <w:spacing w:before="0" w:after="0"/>
              <w:ind w:left="144" w:right="144"/>
              <w:jc w:val="right"/>
              <w:rPr>
                <w:rFonts w:cs="Calibri"/>
                <w:sz w:val="16"/>
                <w:szCs w:val="20"/>
                <w:lang w:val="en-US" w:eastAsia="hr-HR"/>
              </w:rPr>
            </w:pPr>
            <w:r w:rsidRPr="00ED4D49">
              <w:rPr>
                <w:rFonts w:cs="Calibri"/>
                <w:sz w:val="16"/>
                <w:szCs w:val="20"/>
                <w:lang w:val="en-US" w:eastAsia="hr-HR"/>
              </w:rPr>
              <w:t>513,000/228,000</w:t>
            </w:r>
          </w:p>
        </w:tc>
        <w:tc>
          <w:tcPr>
            <w:tcW w:w="982" w:type="pct"/>
            <w:shd w:val="clear" w:color="auto" w:fill="auto"/>
          </w:tcPr>
          <w:p w14:paraId="2E5F5848" w14:textId="77777777" w:rsidR="00A67FEE" w:rsidRPr="00ED4D49" w:rsidRDefault="00A67FEE" w:rsidP="00A67FEE">
            <w:pPr>
              <w:spacing w:before="0" w:after="0"/>
              <w:ind w:left="144" w:right="144"/>
              <w:jc w:val="right"/>
              <w:rPr>
                <w:rFonts w:cs="Calibri"/>
                <w:sz w:val="16"/>
                <w:szCs w:val="20"/>
                <w:lang w:val="en-US" w:eastAsia="hr-HR"/>
              </w:rPr>
            </w:pPr>
            <w:r w:rsidRPr="00ED4D49">
              <w:rPr>
                <w:rFonts w:cs="Calibri"/>
                <w:sz w:val="16"/>
                <w:szCs w:val="20"/>
                <w:lang w:val="en-US" w:eastAsia="hr-HR"/>
              </w:rPr>
              <w:t>509,000/307,000</w:t>
            </w:r>
          </w:p>
        </w:tc>
      </w:tr>
      <w:tr w:rsidR="00A67FEE" w:rsidRPr="00ED4D49" w14:paraId="12A0C346" w14:textId="77777777" w:rsidTr="00A67FEE">
        <w:tc>
          <w:tcPr>
            <w:tcW w:w="3117" w:type="pct"/>
            <w:shd w:val="clear" w:color="auto" w:fill="auto"/>
          </w:tcPr>
          <w:p w14:paraId="651AED7F" w14:textId="77777777" w:rsidR="00A67FEE" w:rsidRPr="00ED4D49" w:rsidRDefault="00A67FEE" w:rsidP="00A67FEE">
            <w:pPr>
              <w:spacing w:before="0" w:after="0"/>
              <w:ind w:left="144" w:right="144"/>
              <w:jc w:val="right"/>
              <w:rPr>
                <w:rFonts w:cs="Calibri"/>
                <w:color w:val="1F497D"/>
                <w:sz w:val="16"/>
                <w:szCs w:val="16"/>
                <w:lang w:val="en-US"/>
              </w:rPr>
            </w:pPr>
            <w:r w:rsidRPr="00ED4D49">
              <w:rPr>
                <w:rFonts w:cs="Calibri"/>
                <w:color w:val="1F497D"/>
                <w:sz w:val="16"/>
                <w:szCs w:val="16"/>
                <w:lang w:val="en-US"/>
              </w:rPr>
              <w:t xml:space="preserve">Employment rate of age group 15-24 </w:t>
            </w:r>
          </w:p>
        </w:tc>
        <w:tc>
          <w:tcPr>
            <w:tcW w:w="901" w:type="pct"/>
            <w:shd w:val="clear" w:color="auto" w:fill="auto"/>
          </w:tcPr>
          <w:p w14:paraId="5515FAE6" w14:textId="77777777" w:rsidR="00A67FEE" w:rsidRPr="00ED4D49" w:rsidRDefault="00A67FEE" w:rsidP="00A67FEE">
            <w:pPr>
              <w:spacing w:before="0" w:after="0"/>
              <w:ind w:left="144" w:right="144"/>
              <w:jc w:val="right"/>
              <w:rPr>
                <w:rFonts w:cs="Calibri"/>
                <w:sz w:val="16"/>
                <w:szCs w:val="20"/>
                <w:lang w:val="en-US" w:eastAsia="hr-HR"/>
              </w:rPr>
            </w:pPr>
            <w:r w:rsidRPr="00ED4D49">
              <w:rPr>
                <w:rFonts w:cs="Calibri"/>
                <w:sz w:val="16"/>
                <w:szCs w:val="20"/>
                <w:lang w:val="en-US" w:eastAsia="hr-HR"/>
              </w:rPr>
              <w:t>13.8%</w:t>
            </w:r>
          </w:p>
        </w:tc>
        <w:tc>
          <w:tcPr>
            <w:tcW w:w="982" w:type="pct"/>
            <w:shd w:val="clear" w:color="auto" w:fill="auto"/>
          </w:tcPr>
          <w:p w14:paraId="47473A9F" w14:textId="77777777" w:rsidR="00A67FEE" w:rsidRPr="00ED4D49" w:rsidRDefault="00A67FEE" w:rsidP="00A67FEE">
            <w:pPr>
              <w:spacing w:before="0" w:after="0"/>
              <w:ind w:left="144" w:right="144"/>
              <w:jc w:val="right"/>
              <w:rPr>
                <w:rFonts w:cs="Calibri"/>
                <w:sz w:val="16"/>
                <w:szCs w:val="20"/>
                <w:lang w:val="en-US" w:eastAsia="hr-HR"/>
              </w:rPr>
            </w:pPr>
            <w:r w:rsidRPr="00ED4D49">
              <w:rPr>
                <w:rFonts w:cs="Calibri"/>
                <w:sz w:val="16"/>
                <w:szCs w:val="20"/>
                <w:lang w:val="en-US" w:eastAsia="hr-HR"/>
              </w:rPr>
              <w:t>17.6%</w:t>
            </w:r>
          </w:p>
        </w:tc>
      </w:tr>
      <w:tr w:rsidR="00A67FEE" w:rsidRPr="00ED4D49" w14:paraId="77B0EA81" w14:textId="77777777" w:rsidTr="00A67FEE">
        <w:tc>
          <w:tcPr>
            <w:tcW w:w="3117" w:type="pct"/>
            <w:shd w:val="clear" w:color="auto" w:fill="auto"/>
          </w:tcPr>
          <w:p w14:paraId="3C702248" w14:textId="77777777" w:rsidR="00A67FEE" w:rsidRPr="00ED4D49" w:rsidRDefault="00A67FEE" w:rsidP="00A67FEE">
            <w:pPr>
              <w:spacing w:before="0" w:after="0"/>
              <w:ind w:left="144" w:right="144"/>
              <w:jc w:val="right"/>
              <w:rPr>
                <w:rFonts w:cs="Calibri"/>
                <w:color w:val="1F497D"/>
                <w:sz w:val="16"/>
                <w:szCs w:val="16"/>
                <w:lang w:val="en-US"/>
              </w:rPr>
            </w:pPr>
            <w:r w:rsidRPr="00ED4D49">
              <w:rPr>
                <w:rFonts w:cs="Calibri"/>
                <w:color w:val="1F497D"/>
                <w:sz w:val="16"/>
                <w:szCs w:val="16"/>
                <w:lang w:val="en-US"/>
              </w:rPr>
              <w:t>Share of male/female</w:t>
            </w:r>
          </w:p>
        </w:tc>
        <w:tc>
          <w:tcPr>
            <w:tcW w:w="901" w:type="pct"/>
            <w:shd w:val="clear" w:color="auto" w:fill="auto"/>
          </w:tcPr>
          <w:p w14:paraId="34DFF36E" w14:textId="77777777" w:rsidR="00A67FEE" w:rsidRPr="00ED4D49" w:rsidRDefault="00A67FEE" w:rsidP="00A67FEE">
            <w:pPr>
              <w:spacing w:before="0" w:after="0"/>
              <w:ind w:left="144" w:right="144"/>
              <w:jc w:val="right"/>
              <w:rPr>
                <w:rFonts w:cs="Calibri"/>
                <w:sz w:val="16"/>
                <w:szCs w:val="20"/>
                <w:lang w:val="en-US" w:eastAsia="hr-HR"/>
              </w:rPr>
            </w:pPr>
            <w:r w:rsidRPr="00ED4D49">
              <w:rPr>
                <w:rFonts w:cs="Calibri"/>
                <w:sz w:val="16"/>
                <w:szCs w:val="20"/>
                <w:lang w:val="en-US" w:eastAsia="hr-HR"/>
              </w:rPr>
              <w:t>36,000/15,000</w:t>
            </w:r>
          </w:p>
        </w:tc>
        <w:tc>
          <w:tcPr>
            <w:tcW w:w="982" w:type="pct"/>
            <w:shd w:val="clear" w:color="auto" w:fill="auto"/>
          </w:tcPr>
          <w:p w14:paraId="0E8AA38C" w14:textId="77777777" w:rsidR="00A67FEE" w:rsidRPr="00ED4D49" w:rsidRDefault="00A67FEE" w:rsidP="00A67FEE">
            <w:pPr>
              <w:spacing w:before="0" w:after="0"/>
              <w:ind w:left="144" w:right="144"/>
              <w:jc w:val="right"/>
              <w:rPr>
                <w:rFonts w:cs="Calibri"/>
                <w:sz w:val="16"/>
                <w:szCs w:val="20"/>
                <w:lang w:val="en-US" w:eastAsia="hr-HR"/>
              </w:rPr>
            </w:pPr>
            <w:r w:rsidRPr="00ED4D49">
              <w:rPr>
                <w:rFonts w:cs="Calibri"/>
                <w:sz w:val="16"/>
                <w:szCs w:val="20"/>
                <w:lang w:val="en-US" w:eastAsia="hr-HR"/>
              </w:rPr>
              <w:t>42,000/18,000</w:t>
            </w:r>
          </w:p>
        </w:tc>
      </w:tr>
      <w:tr w:rsidR="00A67FEE" w:rsidRPr="00ED4D49" w14:paraId="21659A6A" w14:textId="77777777" w:rsidTr="00A67FEE">
        <w:tc>
          <w:tcPr>
            <w:tcW w:w="3117" w:type="pct"/>
            <w:shd w:val="clear" w:color="auto" w:fill="auto"/>
          </w:tcPr>
          <w:p w14:paraId="59213CFD" w14:textId="77777777" w:rsidR="00A67FEE" w:rsidRPr="00ED4D49" w:rsidRDefault="00A67FEE" w:rsidP="00A67FEE">
            <w:pPr>
              <w:spacing w:before="0" w:after="0"/>
              <w:ind w:left="144" w:right="144"/>
              <w:jc w:val="right"/>
              <w:rPr>
                <w:rFonts w:cs="Calibri"/>
                <w:color w:val="1F497D"/>
                <w:sz w:val="16"/>
                <w:szCs w:val="16"/>
                <w:lang w:val="en-US"/>
              </w:rPr>
            </w:pPr>
            <w:r w:rsidRPr="00ED4D49">
              <w:rPr>
                <w:rFonts w:cs="Calibri"/>
                <w:color w:val="1F497D"/>
                <w:sz w:val="16"/>
                <w:szCs w:val="16"/>
                <w:lang w:val="en-US"/>
              </w:rPr>
              <w:t xml:space="preserve">Employment rate of age group 25-49 </w:t>
            </w:r>
          </w:p>
        </w:tc>
        <w:tc>
          <w:tcPr>
            <w:tcW w:w="901" w:type="pct"/>
            <w:shd w:val="clear" w:color="auto" w:fill="auto"/>
          </w:tcPr>
          <w:p w14:paraId="6B2DA5ED" w14:textId="77777777" w:rsidR="00A67FEE" w:rsidRPr="00ED4D49" w:rsidRDefault="00A67FEE" w:rsidP="00A67FEE">
            <w:pPr>
              <w:spacing w:before="0" w:after="0"/>
              <w:ind w:left="144" w:right="144"/>
              <w:jc w:val="right"/>
              <w:rPr>
                <w:rFonts w:cs="Calibri"/>
                <w:sz w:val="16"/>
                <w:szCs w:val="20"/>
                <w:lang w:val="en-US" w:eastAsia="hr-HR"/>
              </w:rPr>
            </w:pPr>
            <w:r w:rsidRPr="00ED4D49">
              <w:rPr>
                <w:rFonts w:cs="Calibri"/>
                <w:sz w:val="16"/>
                <w:szCs w:val="20"/>
                <w:lang w:val="en-US" w:eastAsia="hr-HR"/>
              </w:rPr>
              <w:t>54.1%</w:t>
            </w:r>
          </w:p>
        </w:tc>
        <w:tc>
          <w:tcPr>
            <w:tcW w:w="982" w:type="pct"/>
            <w:shd w:val="clear" w:color="auto" w:fill="auto"/>
          </w:tcPr>
          <w:p w14:paraId="51436424" w14:textId="77777777" w:rsidR="00A67FEE" w:rsidRPr="00ED4D49" w:rsidRDefault="00A67FEE" w:rsidP="00A67FEE">
            <w:pPr>
              <w:spacing w:before="0" w:after="0"/>
              <w:ind w:left="144" w:right="144"/>
              <w:jc w:val="right"/>
              <w:rPr>
                <w:rFonts w:cs="Calibri"/>
                <w:sz w:val="16"/>
                <w:szCs w:val="20"/>
                <w:lang w:val="en-US" w:eastAsia="hr-HR"/>
              </w:rPr>
            </w:pPr>
            <w:r w:rsidRPr="00ED4D49">
              <w:rPr>
                <w:rFonts w:cs="Calibri"/>
                <w:sz w:val="16"/>
                <w:szCs w:val="20"/>
                <w:lang w:val="en-US" w:eastAsia="hr-HR"/>
              </w:rPr>
              <w:t>58.1%</w:t>
            </w:r>
          </w:p>
        </w:tc>
      </w:tr>
      <w:tr w:rsidR="00A67FEE" w:rsidRPr="00ED4D49" w14:paraId="3411EE74" w14:textId="77777777" w:rsidTr="00A67FEE">
        <w:tc>
          <w:tcPr>
            <w:tcW w:w="3117" w:type="pct"/>
            <w:shd w:val="clear" w:color="auto" w:fill="auto"/>
          </w:tcPr>
          <w:p w14:paraId="51E1861C" w14:textId="77777777" w:rsidR="00A67FEE" w:rsidRPr="00ED4D49" w:rsidRDefault="00A67FEE" w:rsidP="00A67FEE">
            <w:pPr>
              <w:spacing w:before="0" w:after="0"/>
              <w:ind w:left="144" w:right="144"/>
              <w:jc w:val="right"/>
              <w:rPr>
                <w:rFonts w:cs="Calibri"/>
                <w:color w:val="1F497D"/>
                <w:sz w:val="16"/>
                <w:szCs w:val="16"/>
                <w:lang w:val="en-US"/>
              </w:rPr>
            </w:pPr>
            <w:r w:rsidRPr="00ED4D49">
              <w:rPr>
                <w:rFonts w:cs="Calibri"/>
                <w:color w:val="1F497D"/>
                <w:sz w:val="16"/>
                <w:szCs w:val="16"/>
                <w:lang w:val="en-US"/>
              </w:rPr>
              <w:t>Share of male/female</w:t>
            </w:r>
          </w:p>
        </w:tc>
        <w:tc>
          <w:tcPr>
            <w:tcW w:w="901" w:type="pct"/>
            <w:shd w:val="clear" w:color="auto" w:fill="auto"/>
          </w:tcPr>
          <w:p w14:paraId="53E2C373" w14:textId="77777777" w:rsidR="00A67FEE" w:rsidRPr="00ED4D49" w:rsidRDefault="00A67FEE" w:rsidP="00A67FEE">
            <w:pPr>
              <w:spacing w:before="0" w:after="0"/>
              <w:ind w:left="144" w:right="144"/>
              <w:jc w:val="right"/>
              <w:rPr>
                <w:rFonts w:cs="Calibri"/>
                <w:sz w:val="16"/>
                <w:szCs w:val="20"/>
                <w:lang w:val="en-US" w:eastAsia="hr-HR"/>
              </w:rPr>
            </w:pPr>
            <w:r w:rsidRPr="00ED4D49">
              <w:rPr>
                <w:rFonts w:cs="Calibri"/>
                <w:sz w:val="16"/>
                <w:szCs w:val="20"/>
                <w:lang w:val="en-US" w:eastAsia="hr-HR"/>
              </w:rPr>
              <w:t>295,00/173,000</w:t>
            </w:r>
          </w:p>
        </w:tc>
        <w:tc>
          <w:tcPr>
            <w:tcW w:w="982" w:type="pct"/>
            <w:shd w:val="clear" w:color="auto" w:fill="auto"/>
          </w:tcPr>
          <w:p w14:paraId="3D710678" w14:textId="77777777" w:rsidR="00A67FEE" w:rsidRPr="00ED4D49" w:rsidRDefault="00A67FEE" w:rsidP="00A67FEE">
            <w:pPr>
              <w:spacing w:before="0" w:after="0"/>
              <w:ind w:left="144" w:right="144"/>
              <w:jc w:val="right"/>
              <w:rPr>
                <w:rFonts w:cs="Calibri"/>
                <w:sz w:val="16"/>
                <w:szCs w:val="20"/>
                <w:lang w:val="en-US" w:eastAsia="hr-HR"/>
              </w:rPr>
            </w:pPr>
            <w:r w:rsidRPr="00ED4D49">
              <w:rPr>
                <w:rFonts w:cs="Calibri"/>
                <w:sz w:val="16"/>
                <w:szCs w:val="20"/>
                <w:lang w:val="en-US" w:eastAsia="hr-HR"/>
              </w:rPr>
              <w:t>281,000/180,000</w:t>
            </w:r>
          </w:p>
        </w:tc>
      </w:tr>
    </w:tbl>
    <w:p w14:paraId="2EF5AF35" w14:textId="77777777" w:rsidR="00A67FEE" w:rsidRPr="00ED4D49" w:rsidRDefault="00A67FEE" w:rsidP="00A67FEE">
      <w:pPr>
        <w:autoSpaceDE w:val="0"/>
        <w:autoSpaceDN w:val="0"/>
        <w:adjustRightInd w:val="0"/>
        <w:spacing w:before="0" w:after="0"/>
        <w:rPr>
          <w:rFonts w:cs="Calibri"/>
          <w:i/>
          <w:sz w:val="16"/>
          <w:lang w:val="en-US"/>
        </w:rPr>
      </w:pPr>
      <w:r w:rsidRPr="00ED4D49">
        <w:rPr>
          <w:rFonts w:cs="Calibri"/>
          <w:i/>
          <w:sz w:val="16"/>
          <w:szCs w:val="20"/>
          <w:lang w:val="en-US" w:eastAsia="hr-HR"/>
        </w:rPr>
        <w:t xml:space="preserve">Source: BiH Statistics Agency </w:t>
      </w:r>
    </w:p>
    <w:p w14:paraId="224F60A5" w14:textId="77777777" w:rsidR="00A67FEE" w:rsidRPr="00ED4D49" w:rsidRDefault="00A67FEE" w:rsidP="00A67FEE">
      <w:pPr>
        <w:autoSpaceDE w:val="0"/>
        <w:autoSpaceDN w:val="0"/>
        <w:adjustRightInd w:val="0"/>
        <w:spacing w:before="0" w:after="0"/>
        <w:jc w:val="both"/>
        <w:rPr>
          <w:rFonts w:cs="Calibri"/>
          <w:szCs w:val="20"/>
          <w:lang w:val="en-US" w:eastAsia="hr-HR"/>
        </w:rPr>
      </w:pPr>
    </w:p>
    <w:p w14:paraId="5A3B4BFE" w14:textId="09CB8B46" w:rsidR="00A67FEE" w:rsidRPr="00ED4D49" w:rsidRDefault="00A67FEE" w:rsidP="00A67FEE">
      <w:pPr>
        <w:autoSpaceDE w:val="0"/>
        <w:autoSpaceDN w:val="0"/>
        <w:adjustRightInd w:val="0"/>
        <w:spacing w:before="0" w:after="0"/>
        <w:jc w:val="both"/>
        <w:rPr>
          <w:rFonts w:cs="Calibri"/>
          <w:szCs w:val="20"/>
          <w:lang w:val="en-US" w:eastAsia="hr-HR"/>
        </w:rPr>
      </w:pPr>
      <w:r w:rsidRPr="00ED4D49">
        <w:rPr>
          <w:rFonts w:cs="Calibri"/>
          <w:szCs w:val="20"/>
          <w:lang w:val="en-US" w:eastAsia="hr-HR"/>
        </w:rPr>
        <w:t>The majority of employed people work in the service sector (</w:t>
      </w:r>
      <w:r w:rsidRPr="00ED4D49">
        <w:rPr>
          <w:lang w:val="en-US"/>
        </w:rPr>
        <w:fldChar w:fldCharType="begin"/>
      </w:r>
      <w:r w:rsidRPr="00ED4D49">
        <w:rPr>
          <w:lang w:val="en-US"/>
        </w:rPr>
        <w:instrText xml:space="preserve"> REF _Ref19217824 \h  \* MERGEFORMAT </w:instrText>
      </w:r>
      <w:r w:rsidRPr="00ED4D49">
        <w:rPr>
          <w:lang w:val="en-US"/>
        </w:rPr>
      </w:r>
      <w:r w:rsidRPr="00ED4D49">
        <w:rPr>
          <w:lang w:val="en-US"/>
        </w:rPr>
        <w:fldChar w:fldCharType="separate"/>
      </w:r>
      <w:r w:rsidR="00F60130" w:rsidRPr="00ED4D49">
        <w:rPr>
          <w:color w:val="1F3864"/>
          <w:szCs w:val="20"/>
          <w:lang w:val="en-US"/>
        </w:rPr>
        <w:t>Table 12</w:t>
      </w:r>
      <w:r w:rsidRPr="00ED4D49">
        <w:rPr>
          <w:lang w:val="en-US"/>
        </w:rPr>
        <w:fldChar w:fldCharType="end"/>
      </w:r>
      <w:r w:rsidRPr="00ED4D49">
        <w:rPr>
          <w:rFonts w:cs="Calibri"/>
          <w:szCs w:val="20"/>
          <w:lang w:val="en-US" w:eastAsia="hr-HR"/>
        </w:rPr>
        <w:t>).</w:t>
      </w:r>
    </w:p>
    <w:p w14:paraId="2FDF3600" w14:textId="19213E54" w:rsidR="00A67FEE" w:rsidRPr="00ED4D49" w:rsidRDefault="00A67FEE" w:rsidP="00A67FEE">
      <w:pPr>
        <w:pStyle w:val="Caption"/>
        <w:rPr>
          <w:rFonts w:cs="Calibri"/>
          <w:b w:val="0"/>
          <w:i/>
          <w:color w:val="auto"/>
          <w:sz w:val="16"/>
        </w:rPr>
      </w:pPr>
      <w:bookmarkStart w:id="138" w:name="_Ref19217824"/>
      <w:bookmarkStart w:id="139" w:name="_Toc21102445"/>
      <w:bookmarkStart w:id="140" w:name="_Toc28188037"/>
      <w:r w:rsidRPr="00ED4D49">
        <w:rPr>
          <w:b w:val="0"/>
          <w:bCs w:val="0"/>
          <w:i/>
          <w:iCs/>
          <w:color w:val="1F3864"/>
          <w:sz w:val="16"/>
          <w:szCs w:val="16"/>
        </w:rPr>
        <w:t xml:space="preserve">Table </w:t>
      </w:r>
      <w:r w:rsidRPr="00ED4D49">
        <w:rPr>
          <w:b w:val="0"/>
          <w:bCs w:val="0"/>
          <w:i/>
          <w:iCs/>
          <w:color w:val="1F3864"/>
          <w:sz w:val="16"/>
          <w:szCs w:val="16"/>
        </w:rPr>
        <w:fldChar w:fldCharType="begin"/>
      </w:r>
      <w:r w:rsidRPr="00ED4D49">
        <w:rPr>
          <w:b w:val="0"/>
          <w:bCs w:val="0"/>
          <w:i/>
          <w:iCs/>
          <w:color w:val="1F3864"/>
          <w:sz w:val="16"/>
          <w:szCs w:val="16"/>
        </w:rPr>
        <w:instrText xml:space="preserve"> SEQ Table \* ARABIC </w:instrText>
      </w:r>
      <w:r w:rsidRPr="00ED4D49">
        <w:rPr>
          <w:b w:val="0"/>
          <w:bCs w:val="0"/>
          <w:i/>
          <w:iCs/>
          <w:color w:val="1F3864"/>
          <w:sz w:val="16"/>
          <w:szCs w:val="16"/>
        </w:rPr>
        <w:fldChar w:fldCharType="separate"/>
      </w:r>
      <w:r w:rsidR="00F60130" w:rsidRPr="00ED4D49">
        <w:rPr>
          <w:b w:val="0"/>
          <w:bCs w:val="0"/>
          <w:i/>
          <w:iCs/>
          <w:noProof/>
          <w:color w:val="1F3864"/>
          <w:sz w:val="16"/>
          <w:szCs w:val="16"/>
        </w:rPr>
        <w:t>12</w:t>
      </w:r>
      <w:r w:rsidRPr="00ED4D49">
        <w:rPr>
          <w:b w:val="0"/>
          <w:bCs w:val="0"/>
          <w:i/>
          <w:iCs/>
          <w:color w:val="1F3864"/>
          <w:sz w:val="16"/>
          <w:szCs w:val="16"/>
        </w:rPr>
        <w:fldChar w:fldCharType="end"/>
      </w:r>
      <w:bookmarkEnd w:id="138"/>
      <w:r w:rsidRPr="00ED4D49">
        <w:rPr>
          <w:b w:val="0"/>
          <w:bCs w:val="0"/>
          <w:i/>
          <w:iCs/>
          <w:color w:val="1F3864"/>
          <w:sz w:val="16"/>
          <w:szCs w:val="16"/>
        </w:rPr>
        <w:t xml:space="preserve">: </w:t>
      </w:r>
      <w:r w:rsidRPr="00ED4D49">
        <w:rPr>
          <w:rFonts w:cs="Calibri"/>
          <w:b w:val="0"/>
          <w:i/>
          <w:color w:val="auto"/>
          <w:sz w:val="16"/>
        </w:rPr>
        <w:t>Employment by Sectors in BiH in 2017</w:t>
      </w:r>
      <w:bookmarkEnd w:id="139"/>
      <w:bookmarkEnd w:id="140"/>
    </w:p>
    <w:tbl>
      <w:tblPr>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4755"/>
        <w:gridCol w:w="4255"/>
      </w:tblGrid>
      <w:tr w:rsidR="00A67FEE" w:rsidRPr="00ED4D49" w14:paraId="13D4940C" w14:textId="77777777" w:rsidTr="00A67FEE">
        <w:tc>
          <w:tcPr>
            <w:tcW w:w="2639" w:type="pct"/>
            <w:shd w:val="clear" w:color="auto" w:fill="auto"/>
          </w:tcPr>
          <w:p w14:paraId="212778F7" w14:textId="77777777" w:rsidR="00A67FEE" w:rsidRPr="00ED4D49" w:rsidRDefault="00A67FEE" w:rsidP="00A67FEE">
            <w:pPr>
              <w:spacing w:before="0" w:after="0"/>
              <w:ind w:left="144" w:right="144"/>
              <w:jc w:val="right"/>
              <w:rPr>
                <w:rFonts w:cs="Calibri"/>
                <w:color w:val="1F497D"/>
                <w:sz w:val="16"/>
                <w:szCs w:val="16"/>
                <w:lang w:val="en-US"/>
              </w:rPr>
            </w:pPr>
            <w:r w:rsidRPr="00ED4D49">
              <w:rPr>
                <w:rFonts w:cs="Calibri"/>
                <w:color w:val="1F497D"/>
                <w:sz w:val="16"/>
                <w:szCs w:val="16"/>
                <w:lang w:val="en-US"/>
              </w:rPr>
              <w:t>Employment sector</w:t>
            </w:r>
          </w:p>
        </w:tc>
        <w:tc>
          <w:tcPr>
            <w:tcW w:w="2361" w:type="pct"/>
            <w:shd w:val="clear" w:color="auto" w:fill="auto"/>
          </w:tcPr>
          <w:p w14:paraId="025862D7" w14:textId="77777777" w:rsidR="00A67FEE" w:rsidRPr="00ED4D49" w:rsidRDefault="00A67FEE" w:rsidP="00A67FEE">
            <w:pPr>
              <w:spacing w:before="0" w:after="0"/>
              <w:ind w:left="144" w:right="144"/>
              <w:jc w:val="right"/>
              <w:rPr>
                <w:rFonts w:cs="Calibri"/>
                <w:color w:val="1F497D"/>
                <w:sz w:val="16"/>
                <w:szCs w:val="16"/>
                <w:lang w:val="en-US"/>
              </w:rPr>
            </w:pPr>
            <w:r w:rsidRPr="00ED4D49">
              <w:rPr>
                <w:rFonts w:cs="Calibri"/>
                <w:color w:val="1F497D"/>
                <w:sz w:val="16"/>
                <w:szCs w:val="16"/>
                <w:lang w:val="en-US"/>
              </w:rPr>
              <w:t>Employment rate</w:t>
            </w:r>
          </w:p>
        </w:tc>
      </w:tr>
      <w:tr w:rsidR="00A67FEE" w:rsidRPr="00ED4D49" w14:paraId="577A2EF1" w14:textId="77777777" w:rsidTr="00A67FEE">
        <w:tc>
          <w:tcPr>
            <w:tcW w:w="2639" w:type="pct"/>
            <w:shd w:val="clear" w:color="auto" w:fill="auto"/>
          </w:tcPr>
          <w:p w14:paraId="5D403DD7" w14:textId="77777777" w:rsidR="00A67FEE" w:rsidRPr="00ED4D49" w:rsidRDefault="00A67FEE" w:rsidP="00A67FEE">
            <w:pPr>
              <w:spacing w:before="0" w:after="0"/>
              <w:ind w:left="144" w:right="144"/>
              <w:jc w:val="right"/>
              <w:rPr>
                <w:rFonts w:cs="Calibri"/>
                <w:color w:val="1F497D"/>
                <w:sz w:val="16"/>
                <w:szCs w:val="16"/>
                <w:lang w:val="en-US"/>
              </w:rPr>
            </w:pPr>
            <w:r w:rsidRPr="00ED4D49">
              <w:rPr>
                <w:rFonts w:cs="Calibri"/>
                <w:sz w:val="16"/>
                <w:szCs w:val="16"/>
                <w:lang w:val="en-US" w:eastAsia="hr-HR"/>
              </w:rPr>
              <w:t xml:space="preserve">Agriculture </w:t>
            </w:r>
          </w:p>
        </w:tc>
        <w:tc>
          <w:tcPr>
            <w:tcW w:w="2361" w:type="pct"/>
            <w:shd w:val="clear" w:color="auto" w:fill="auto"/>
          </w:tcPr>
          <w:p w14:paraId="04915BC4" w14:textId="77777777" w:rsidR="00A67FEE" w:rsidRPr="00ED4D49" w:rsidRDefault="00A67FEE" w:rsidP="00A67FEE">
            <w:pPr>
              <w:spacing w:before="0" w:after="0"/>
              <w:ind w:left="144" w:right="144"/>
              <w:jc w:val="right"/>
              <w:rPr>
                <w:rFonts w:cs="Calibri"/>
                <w:sz w:val="16"/>
                <w:szCs w:val="16"/>
                <w:lang w:val="en-US" w:eastAsia="hr-HR"/>
              </w:rPr>
            </w:pPr>
            <w:r w:rsidRPr="00ED4D49">
              <w:rPr>
                <w:rFonts w:cs="Calibri"/>
                <w:sz w:val="16"/>
                <w:szCs w:val="16"/>
                <w:lang w:val="en-US" w:eastAsia="hr-HR"/>
              </w:rPr>
              <w:t>18.9%</w:t>
            </w:r>
          </w:p>
        </w:tc>
      </w:tr>
      <w:tr w:rsidR="00A67FEE" w:rsidRPr="00ED4D49" w14:paraId="280D47E4" w14:textId="77777777" w:rsidTr="00A67FEE">
        <w:tc>
          <w:tcPr>
            <w:tcW w:w="2639" w:type="pct"/>
            <w:shd w:val="clear" w:color="auto" w:fill="auto"/>
          </w:tcPr>
          <w:p w14:paraId="0567AAFF" w14:textId="77777777" w:rsidR="00A67FEE" w:rsidRPr="00ED4D49" w:rsidRDefault="00A67FEE" w:rsidP="00A67FEE">
            <w:pPr>
              <w:spacing w:before="0" w:after="0"/>
              <w:ind w:left="144" w:right="144"/>
              <w:jc w:val="right"/>
              <w:rPr>
                <w:rFonts w:cs="Calibri"/>
                <w:color w:val="1F497D"/>
                <w:sz w:val="16"/>
                <w:szCs w:val="16"/>
                <w:lang w:val="en-US"/>
              </w:rPr>
            </w:pPr>
            <w:r w:rsidRPr="00ED4D49">
              <w:rPr>
                <w:rFonts w:cs="Calibri"/>
                <w:sz w:val="16"/>
                <w:szCs w:val="16"/>
                <w:lang w:val="en-US" w:eastAsia="hr-HR"/>
              </w:rPr>
              <w:t xml:space="preserve">Industry </w:t>
            </w:r>
          </w:p>
        </w:tc>
        <w:tc>
          <w:tcPr>
            <w:tcW w:w="2361" w:type="pct"/>
            <w:shd w:val="clear" w:color="auto" w:fill="auto"/>
          </w:tcPr>
          <w:p w14:paraId="7517AB23" w14:textId="77777777" w:rsidR="00A67FEE" w:rsidRPr="00ED4D49" w:rsidRDefault="00A67FEE" w:rsidP="00A67FEE">
            <w:pPr>
              <w:spacing w:before="0" w:after="0"/>
              <w:ind w:left="144" w:right="144"/>
              <w:jc w:val="right"/>
              <w:rPr>
                <w:rFonts w:cs="Calibri"/>
                <w:sz w:val="16"/>
                <w:szCs w:val="16"/>
                <w:lang w:val="en-US" w:eastAsia="hr-HR"/>
              </w:rPr>
            </w:pPr>
            <w:r w:rsidRPr="00ED4D49">
              <w:rPr>
                <w:rFonts w:cs="Calibri"/>
                <w:sz w:val="16"/>
                <w:szCs w:val="16"/>
                <w:lang w:val="en-US" w:eastAsia="hr-HR"/>
              </w:rPr>
              <w:t>29.5%</w:t>
            </w:r>
          </w:p>
        </w:tc>
      </w:tr>
      <w:tr w:rsidR="00A67FEE" w:rsidRPr="00ED4D49" w14:paraId="2122F778" w14:textId="77777777" w:rsidTr="00A67FEE">
        <w:tc>
          <w:tcPr>
            <w:tcW w:w="2639" w:type="pct"/>
            <w:shd w:val="clear" w:color="auto" w:fill="auto"/>
          </w:tcPr>
          <w:p w14:paraId="208BB824" w14:textId="77777777" w:rsidR="00A67FEE" w:rsidRPr="00ED4D49" w:rsidRDefault="00A67FEE" w:rsidP="00A67FEE">
            <w:pPr>
              <w:spacing w:before="0" w:after="0"/>
              <w:ind w:left="144" w:right="144"/>
              <w:jc w:val="right"/>
              <w:rPr>
                <w:rFonts w:cs="Calibri"/>
                <w:sz w:val="16"/>
                <w:szCs w:val="16"/>
                <w:lang w:val="en-US" w:eastAsia="hr-HR"/>
              </w:rPr>
            </w:pPr>
            <w:r w:rsidRPr="00ED4D49">
              <w:rPr>
                <w:rFonts w:cs="Calibri"/>
                <w:sz w:val="16"/>
                <w:szCs w:val="16"/>
                <w:lang w:val="en-US" w:eastAsia="hr-HR"/>
              </w:rPr>
              <w:t xml:space="preserve">Services </w:t>
            </w:r>
          </w:p>
        </w:tc>
        <w:tc>
          <w:tcPr>
            <w:tcW w:w="2361" w:type="pct"/>
            <w:shd w:val="clear" w:color="auto" w:fill="auto"/>
          </w:tcPr>
          <w:p w14:paraId="2B240D67" w14:textId="77777777" w:rsidR="00A67FEE" w:rsidRPr="00ED4D49" w:rsidRDefault="00A67FEE" w:rsidP="00A67FEE">
            <w:pPr>
              <w:spacing w:before="0" w:after="0"/>
              <w:ind w:left="144" w:right="144"/>
              <w:jc w:val="right"/>
              <w:rPr>
                <w:rFonts w:cs="Calibri"/>
                <w:sz w:val="16"/>
                <w:szCs w:val="16"/>
                <w:lang w:val="en-US" w:eastAsia="hr-HR"/>
              </w:rPr>
            </w:pPr>
            <w:r w:rsidRPr="00ED4D49">
              <w:rPr>
                <w:rFonts w:cs="Calibri"/>
                <w:sz w:val="16"/>
                <w:szCs w:val="16"/>
                <w:lang w:val="en-US" w:eastAsia="hr-HR"/>
              </w:rPr>
              <w:t>51.6%</w:t>
            </w:r>
          </w:p>
        </w:tc>
      </w:tr>
    </w:tbl>
    <w:p w14:paraId="557C8245" w14:textId="77777777" w:rsidR="00A67FEE" w:rsidRPr="00ED4D49" w:rsidRDefault="00A67FEE" w:rsidP="00A67FEE">
      <w:pPr>
        <w:autoSpaceDE w:val="0"/>
        <w:autoSpaceDN w:val="0"/>
        <w:adjustRightInd w:val="0"/>
        <w:spacing w:before="0" w:after="0"/>
        <w:rPr>
          <w:rFonts w:cs="Calibri"/>
          <w:i/>
          <w:sz w:val="16"/>
          <w:lang w:val="en-US"/>
        </w:rPr>
      </w:pPr>
      <w:r w:rsidRPr="00ED4D49">
        <w:rPr>
          <w:rFonts w:cs="Calibri"/>
          <w:i/>
          <w:sz w:val="16"/>
          <w:szCs w:val="20"/>
          <w:lang w:val="en-US" w:eastAsia="hr-HR"/>
        </w:rPr>
        <w:t xml:space="preserve">Source: BiH Statistics Agency </w:t>
      </w:r>
    </w:p>
    <w:p w14:paraId="249E7C71" w14:textId="77777777" w:rsidR="00A67FEE" w:rsidRPr="00ED4D49" w:rsidRDefault="00A67FEE" w:rsidP="00A67FEE">
      <w:pPr>
        <w:autoSpaceDE w:val="0"/>
        <w:autoSpaceDN w:val="0"/>
        <w:adjustRightInd w:val="0"/>
        <w:spacing w:before="0" w:after="0"/>
        <w:jc w:val="both"/>
        <w:rPr>
          <w:rFonts w:cs="Calibri"/>
          <w:szCs w:val="20"/>
          <w:lang w:val="en-US" w:eastAsia="hr-HR"/>
        </w:rPr>
      </w:pPr>
    </w:p>
    <w:p w14:paraId="6F18B9B0" w14:textId="64545983" w:rsidR="00A67FEE" w:rsidRPr="00ED4D49" w:rsidRDefault="00A67FEE" w:rsidP="00A67FEE">
      <w:pPr>
        <w:autoSpaceDE w:val="0"/>
        <w:autoSpaceDN w:val="0"/>
        <w:adjustRightInd w:val="0"/>
        <w:spacing w:before="0" w:after="0"/>
        <w:jc w:val="both"/>
        <w:rPr>
          <w:rFonts w:cs="Calibri"/>
          <w:szCs w:val="20"/>
          <w:lang w:val="en-US"/>
        </w:rPr>
      </w:pPr>
      <w:r w:rsidRPr="00ED4D49">
        <w:rPr>
          <w:rFonts w:cs="Calibri"/>
          <w:szCs w:val="20"/>
          <w:lang w:val="en-US"/>
        </w:rPr>
        <w:t>In 2017, there were 211,000 unemployed persons with a decreasing trend compared to the previous year. The number of persons registered with the Employment Bureau has also been decreasing (</w:t>
      </w:r>
      <w:r w:rsidRPr="00ED4D49">
        <w:rPr>
          <w:lang w:val="en-US"/>
        </w:rPr>
        <w:fldChar w:fldCharType="begin"/>
      </w:r>
      <w:r w:rsidRPr="00ED4D49">
        <w:rPr>
          <w:lang w:val="en-US"/>
        </w:rPr>
        <w:instrText xml:space="preserve"> REF _Ref9252194 \h  \* MERGEFORMAT </w:instrText>
      </w:r>
      <w:r w:rsidRPr="00ED4D49">
        <w:rPr>
          <w:lang w:val="en-US"/>
        </w:rPr>
      </w:r>
      <w:r w:rsidRPr="00ED4D49">
        <w:rPr>
          <w:lang w:val="en-US"/>
        </w:rPr>
        <w:fldChar w:fldCharType="separate"/>
      </w:r>
      <w:r w:rsidR="00F60130" w:rsidRPr="00ED4D49">
        <w:rPr>
          <w:color w:val="1F3864"/>
          <w:szCs w:val="20"/>
          <w:lang w:val="en-US"/>
        </w:rPr>
        <w:t>Table 13</w:t>
      </w:r>
      <w:r w:rsidRPr="00ED4D49">
        <w:rPr>
          <w:lang w:val="en-US"/>
        </w:rPr>
        <w:fldChar w:fldCharType="end"/>
      </w:r>
      <w:r w:rsidRPr="00ED4D49">
        <w:rPr>
          <w:rFonts w:cs="Calibri"/>
          <w:szCs w:val="20"/>
          <w:lang w:val="en-US"/>
        </w:rPr>
        <w:t>). In terms of gender, there are more unemployed women. The highest share of unemployed persons are people unemployed longer than one year. People with completed secondary school account for the highest share of unemployed persons, i.e. 73.4%.</w:t>
      </w:r>
    </w:p>
    <w:p w14:paraId="22988F73" w14:textId="2A858EC8" w:rsidR="00A67FEE" w:rsidRPr="00ED4D49" w:rsidRDefault="00A67FEE" w:rsidP="00A67FEE">
      <w:pPr>
        <w:pStyle w:val="Caption"/>
        <w:keepNext/>
      </w:pPr>
      <w:bookmarkStart w:id="141" w:name="_Ref9252194"/>
      <w:bookmarkStart w:id="142" w:name="_Toc21102446"/>
      <w:bookmarkStart w:id="143" w:name="_Toc28188038"/>
      <w:r w:rsidRPr="00ED4D49">
        <w:rPr>
          <w:b w:val="0"/>
          <w:bCs w:val="0"/>
          <w:i/>
          <w:iCs/>
          <w:color w:val="1F3864"/>
          <w:sz w:val="16"/>
          <w:szCs w:val="16"/>
        </w:rPr>
        <w:t xml:space="preserve">Table </w:t>
      </w:r>
      <w:r w:rsidRPr="00ED4D49">
        <w:rPr>
          <w:b w:val="0"/>
          <w:bCs w:val="0"/>
          <w:i/>
          <w:iCs/>
          <w:color w:val="1F3864"/>
          <w:sz w:val="16"/>
          <w:szCs w:val="16"/>
        </w:rPr>
        <w:fldChar w:fldCharType="begin"/>
      </w:r>
      <w:r w:rsidRPr="00ED4D49">
        <w:rPr>
          <w:b w:val="0"/>
          <w:bCs w:val="0"/>
          <w:i/>
          <w:iCs/>
          <w:color w:val="1F3864"/>
          <w:sz w:val="16"/>
          <w:szCs w:val="16"/>
        </w:rPr>
        <w:instrText xml:space="preserve"> SEQ Table \* ARABIC </w:instrText>
      </w:r>
      <w:r w:rsidRPr="00ED4D49">
        <w:rPr>
          <w:b w:val="0"/>
          <w:bCs w:val="0"/>
          <w:i/>
          <w:iCs/>
          <w:color w:val="1F3864"/>
          <w:sz w:val="16"/>
          <w:szCs w:val="16"/>
        </w:rPr>
        <w:fldChar w:fldCharType="separate"/>
      </w:r>
      <w:r w:rsidR="00F60130" w:rsidRPr="00ED4D49">
        <w:rPr>
          <w:b w:val="0"/>
          <w:bCs w:val="0"/>
          <w:i/>
          <w:iCs/>
          <w:noProof/>
          <w:color w:val="1F3864"/>
          <w:sz w:val="16"/>
          <w:szCs w:val="16"/>
        </w:rPr>
        <w:t>13</w:t>
      </w:r>
      <w:r w:rsidRPr="00ED4D49">
        <w:rPr>
          <w:b w:val="0"/>
          <w:bCs w:val="0"/>
          <w:i/>
          <w:iCs/>
          <w:color w:val="1F3864"/>
          <w:sz w:val="16"/>
          <w:szCs w:val="16"/>
        </w:rPr>
        <w:fldChar w:fldCharType="end"/>
      </w:r>
      <w:bookmarkEnd w:id="141"/>
      <w:r w:rsidRPr="00ED4D49">
        <w:rPr>
          <w:b w:val="0"/>
          <w:bCs w:val="0"/>
          <w:i/>
          <w:iCs/>
          <w:color w:val="1F3864"/>
          <w:sz w:val="16"/>
          <w:szCs w:val="16"/>
        </w:rPr>
        <w:t xml:space="preserve">: </w:t>
      </w:r>
      <w:r w:rsidRPr="00ED4D49">
        <w:rPr>
          <w:rFonts w:cs="Calibri"/>
          <w:b w:val="0"/>
          <w:i/>
          <w:color w:val="auto"/>
          <w:sz w:val="16"/>
        </w:rPr>
        <w:t>Unemployment Rate in BiH in 2016 and 2017</w:t>
      </w:r>
      <w:bookmarkEnd w:id="142"/>
      <w:bookmarkEnd w:id="143"/>
    </w:p>
    <w:tbl>
      <w:tblPr>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4770"/>
        <w:gridCol w:w="2119"/>
        <w:gridCol w:w="2121"/>
      </w:tblGrid>
      <w:tr w:rsidR="00A67FEE" w:rsidRPr="00ED4D49" w14:paraId="64F3ED3F" w14:textId="77777777" w:rsidTr="00A67FEE">
        <w:tc>
          <w:tcPr>
            <w:tcW w:w="2647" w:type="pct"/>
            <w:shd w:val="clear" w:color="auto" w:fill="auto"/>
          </w:tcPr>
          <w:p w14:paraId="51C3E1A7" w14:textId="77777777" w:rsidR="00A67FEE" w:rsidRPr="00ED4D49" w:rsidRDefault="00A67FEE" w:rsidP="00A67FEE">
            <w:pPr>
              <w:spacing w:before="0" w:after="0"/>
              <w:ind w:left="144" w:right="144"/>
              <w:jc w:val="right"/>
              <w:rPr>
                <w:rFonts w:cs="Calibri"/>
                <w:color w:val="1F497D"/>
                <w:sz w:val="16"/>
                <w:szCs w:val="16"/>
                <w:lang w:val="en-US"/>
              </w:rPr>
            </w:pPr>
          </w:p>
        </w:tc>
        <w:tc>
          <w:tcPr>
            <w:tcW w:w="1176" w:type="pct"/>
            <w:shd w:val="clear" w:color="auto" w:fill="auto"/>
          </w:tcPr>
          <w:p w14:paraId="62B4AA51" w14:textId="77777777" w:rsidR="00A67FEE" w:rsidRPr="00ED4D49" w:rsidRDefault="00A67FEE" w:rsidP="00A67FEE">
            <w:pPr>
              <w:spacing w:before="0" w:after="0"/>
              <w:ind w:left="144" w:right="144"/>
              <w:jc w:val="right"/>
              <w:rPr>
                <w:rFonts w:cs="Calibri"/>
                <w:color w:val="1F497D"/>
                <w:sz w:val="16"/>
                <w:szCs w:val="16"/>
                <w:lang w:val="en-US"/>
              </w:rPr>
            </w:pPr>
            <w:r w:rsidRPr="00ED4D49">
              <w:rPr>
                <w:rFonts w:cs="Calibri"/>
                <w:color w:val="1F497D"/>
                <w:sz w:val="16"/>
                <w:szCs w:val="16"/>
                <w:lang w:val="en-US"/>
              </w:rPr>
              <w:t>2016</w:t>
            </w:r>
          </w:p>
        </w:tc>
        <w:tc>
          <w:tcPr>
            <w:tcW w:w="1177" w:type="pct"/>
            <w:shd w:val="clear" w:color="auto" w:fill="auto"/>
          </w:tcPr>
          <w:p w14:paraId="47F6DFC9" w14:textId="77777777" w:rsidR="00A67FEE" w:rsidRPr="00ED4D49" w:rsidRDefault="00A67FEE" w:rsidP="00A67FEE">
            <w:pPr>
              <w:spacing w:before="0" w:after="0"/>
              <w:ind w:left="144" w:right="144"/>
              <w:jc w:val="right"/>
              <w:rPr>
                <w:rFonts w:cs="Calibri"/>
                <w:color w:val="1F497D"/>
                <w:sz w:val="16"/>
                <w:szCs w:val="16"/>
                <w:lang w:val="en-US"/>
              </w:rPr>
            </w:pPr>
            <w:r w:rsidRPr="00ED4D49">
              <w:rPr>
                <w:rFonts w:cs="Calibri"/>
                <w:color w:val="1F497D"/>
                <w:sz w:val="16"/>
                <w:szCs w:val="16"/>
                <w:lang w:val="en-US"/>
              </w:rPr>
              <w:t>2017</w:t>
            </w:r>
          </w:p>
        </w:tc>
      </w:tr>
      <w:tr w:rsidR="00A67FEE" w:rsidRPr="00ED4D49" w14:paraId="32DC242C" w14:textId="77777777" w:rsidTr="00A67FEE">
        <w:tc>
          <w:tcPr>
            <w:tcW w:w="2647" w:type="pct"/>
            <w:shd w:val="clear" w:color="auto" w:fill="auto"/>
          </w:tcPr>
          <w:p w14:paraId="7CE171CF" w14:textId="77777777" w:rsidR="00A67FEE" w:rsidRPr="00ED4D49" w:rsidRDefault="00A67FEE" w:rsidP="00A67FEE">
            <w:pPr>
              <w:spacing w:before="0" w:after="0"/>
              <w:ind w:left="144" w:right="144"/>
              <w:jc w:val="right"/>
              <w:rPr>
                <w:rFonts w:cs="Calibri"/>
                <w:color w:val="1F497D"/>
                <w:sz w:val="16"/>
                <w:szCs w:val="16"/>
                <w:lang w:val="en-US"/>
              </w:rPr>
            </w:pPr>
            <w:r w:rsidRPr="00ED4D49">
              <w:rPr>
                <w:rFonts w:cs="Calibri"/>
                <w:color w:val="1F497D"/>
                <w:sz w:val="16"/>
                <w:szCs w:val="16"/>
                <w:lang w:val="en-US"/>
              </w:rPr>
              <w:t xml:space="preserve">General unemployment rate </w:t>
            </w:r>
          </w:p>
        </w:tc>
        <w:tc>
          <w:tcPr>
            <w:tcW w:w="1176" w:type="pct"/>
            <w:shd w:val="clear" w:color="auto" w:fill="auto"/>
          </w:tcPr>
          <w:p w14:paraId="6FD80FED" w14:textId="77777777" w:rsidR="00A67FEE" w:rsidRPr="00ED4D49" w:rsidRDefault="00A67FEE" w:rsidP="00A67FEE">
            <w:pPr>
              <w:spacing w:before="0" w:after="0"/>
              <w:ind w:left="144" w:right="144"/>
              <w:jc w:val="right"/>
              <w:rPr>
                <w:rFonts w:cs="Calibri"/>
                <w:sz w:val="16"/>
                <w:szCs w:val="16"/>
                <w:lang w:val="en-US" w:eastAsia="hr-HR"/>
              </w:rPr>
            </w:pPr>
            <w:r w:rsidRPr="00ED4D49">
              <w:rPr>
                <w:rFonts w:cs="Calibri"/>
                <w:sz w:val="16"/>
                <w:szCs w:val="16"/>
                <w:lang w:val="en-US" w:eastAsia="hr-HR"/>
              </w:rPr>
              <w:t>25.4%</w:t>
            </w:r>
          </w:p>
        </w:tc>
        <w:tc>
          <w:tcPr>
            <w:tcW w:w="1177" w:type="pct"/>
            <w:shd w:val="clear" w:color="auto" w:fill="auto"/>
          </w:tcPr>
          <w:p w14:paraId="4EE7EF82" w14:textId="77777777" w:rsidR="00A67FEE" w:rsidRPr="00ED4D49" w:rsidRDefault="00A67FEE" w:rsidP="00A67FEE">
            <w:pPr>
              <w:spacing w:before="0" w:after="0"/>
              <w:ind w:left="144" w:right="144"/>
              <w:jc w:val="right"/>
              <w:rPr>
                <w:rFonts w:cs="Calibri"/>
                <w:sz w:val="16"/>
                <w:szCs w:val="16"/>
                <w:lang w:val="en-US" w:eastAsia="hr-HR"/>
              </w:rPr>
            </w:pPr>
            <w:r w:rsidRPr="00ED4D49">
              <w:rPr>
                <w:rFonts w:cs="Calibri"/>
                <w:sz w:val="16"/>
                <w:szCs w:val="16"/>
                <w:lang w:val="en-US" w:eastAsia="hr-HR"/>
              </w:rPr>
              <w:t>20.5%</w:t>
            </w:r>
          </w:p>
        </w:tc>
      </w:tr>
      <w:tr w:rsidR="00A67FEE" w:rsidRPr="00ED4D49" w14:paraId="04241C65" w14:textId="77777777" w:rsidTr="00A67FEE">
        <w:tc>
          <w:tcPr>
            <w:tcW w:w="2647" w:type="pct"/>
            <w:shd w:val="clear" w:color="auto" w:fill="auto"/>
          </w:tcPr>
          <w:p w14:paraId="42646C93" w14:textId="77777777" w:rsidR="00A67FEE" w:rsidRPr="00ED4D49" w:rsidRDefault="00A67FEE" w:rsidP="00A67FEE">
            <w:pPr>
              <w:spacing w:before="0" w:after="0"/>
              <w:ind w:left="144" w:right="144"/>
              <w:jc w:val="right"/>
              <w:rPr>
                <w:rFonts w:cs="Calibri"/>
                <w:color w:val="1F497D"/>
                <w:sz w:val="16"/>
                <w:szCs w:val="16"/>
                <w:lang w:val="en-US"/>
              </w:rPr>
            </w:pPr>
            <w:r w:rsidRPr="00ED4D49">
              <w:rPr>
                <w:rFonts w:cs="Calibri"/>
                <w:color w:val="1F497D"/>
                <w:sz w:val="16"/>
                <w:szCs w:val="16"/>
                <w:lang w:val="en-US"/>
              </w:rPr>
              <w:t xml:space="preserve">Female unemployment rate </w:t>
            </w:r>
          </w:p>
        </w:tc>
        <w:tc>
          <w:tcPr>
            <w:tcW w:w="1176" w:type="pct"/>
            <w:shd w:val="clear" w:color="auto" w:fill="auto"/>
          </w:tcPr>
          <w:p w14:paraId="21A60CE9" w14:textId="77777777" w:rsidR="00A67FEE" w:rsidRPr="00ED4D49" w:rsidRDefault="00A67FEE" w:rsidP="00A67FEE">
            <w:pPr>
              <w:spacing w:before="0" w:after="0"/>
              <w:ind w:left="144" w:right="144"/>
              <w:jc w:val="right"/>
              <w:rPr>
                <w:rFonts w:cs="Calibri"/>
                <w:sz w:val="16"/>
                <w:szCs w:val="16"/>
                <w:lang w:val="en-US" w:eastAsia="hr-HR"/>
              </w:rPr>
            </w:pPr>
            <w:r w:rsidRPr="00ED4D49">
              <w:rPr>
                <w:rFonts w:cs="Calibri"/>
                <w:sz w:val="16"/>
                <w:szCs w:val="16"/>
                <w:lang w:val="en-US" w:eastAsia="hr-HR"/>
              </w:rPr>
              <w:t>30%</w:t>
            </w:r>
          </w:p>
        </w:tc>
        <w:tc>
          <w:tcPr>
            <w:tcW w:w="1177" w:type="pct"/>
            <w:shd w:val="clear" w:color="auto" w:fill="auto"/>
          </w:tcPr>
          <w:p w14:paraId="7A4A0163" w14:textId="77777777" w:rsidR="00A67FEE" w:rsidRPr="00ED4D49" w:rsidRDefault="00A67FEE" w:rsidP="00A67FEE">
            <w:pPr>
              <w:spacing w:before="0" w:after="0"/>
              <w:ind w:left="144" w:right="144"/>
              <w:jc w:val="right"/>
              <w:rPr>
                <w:rFonts w:cs="Calibri"/>
                <w:sz w:val="16"/>
                <w:szCs w:val="16"/>
                <w:lang w:val="en-US" w:eastAsia="hr-HR"/>
              </w:rPr>
            </w:pPr>
            <w:r w:rsidRPr="00ED4D49">
              <w:rPr>
                <w:rFonts w:cs="Calibri"/>
                <w:sz w:val="16"/>
                <w:szCs w:val="16"/>
                <w:lang w:val="en-US" w:eastAsia="hr-HR"/>
              </w:rPr>
              <w:t>23.1%</w:t>
            </w:r>
          </w:p>
        </w:tc>
      </w:tr>
      <w:tr w:rsidR="00A67FEE" w:rsidRPr="00ED4D49" w14:paraId="39AAB193" w14:textId="77777777" w:rsidTr="00A67FEE">
        <w:tc>
          <w:tcPr>
            <w:tcW w:w="2647" w:type="pct"/>
            <w:shd w:val="clear" w:color="auto" w:fill="auto"/>
          </w:tcPr>
          <w:p w14:paraId="7861F1AE" w14:textId="77777777" w:rsidR="00A67FEE" w:rsidRPr="00ED4D49" w:rsidRDefault="00A67FEE" w:rsidP="00A67FEE">
            <w:pPr>
              <w:spacing w:before="0" w:after="0"/>
              <w:ind w:left="144" w:right="144"/>
              <w:jc w:val="right"/>
              <w:rPr>
                <w:rFonts w:cs="Calibri"/>
                <w:color w:val="1F497D"/>
                <w:sz w:val="16"/>
                <w:szCs w:val="16"/>
                <w:lang w:val="en-US"/>
              </w:rPr>
            </w:pPr>
            <w:r w:rsidRPr="00ED4D49">
              <w:rPr>
                <w:rFonts w:cs="Calibri"/>
                <w:color w:val="1F497D"/>
                <w:sz w:val="16"/>
                <w:szCs w:val="16"/>
                <w:lang w:val="en-US"/>
              </w:rPr>
              <w:t xml:space="preserve">Male unemployment rate </w:t>
            </w:r>
          </w:p>
        </w:tc>
        <w:tc>
          <w:tcPr>
            <w:tcW w:w="1176" w:type="pct"/>
            <w:shd w:val="clear" w:color="auto" w:fill="auto"/>
          </w:tcPr>
          <w:p w14:paraId="608199BE" w14:textId="77777777" w:rsidR="00A67FEE" w:rsidRPr="00ED4D49" w:rsidRDefault="00A67FEE" w:rsidP="00A67FEE">
            <w:pPr>
              <w:spacing w:before="0" w:after="0"/>
              <w:ind w:left="144" w:right="144"/>
              <w:jc w:val="right"/>
              <w:rPr>
                <w:rFonts w:cs="Calibri"/>
                <w:sz w:val="16"/>
                <w:szCs w:val="16"/>
                <w:lang w:val="en-US" w:eastAsia="hr-HR"/>
              </w:rPr>
            </w:pPr>
            <w:r w:rsidRPr="00ED4D49">
              <w:rPr>
                <w:rFonts w:cs="Calibri"/>
                <w:sz w:val="16"/>
                <w:szCs w:val="16"/>
                <w:lang w:val="en-US" w:eastAsia="hr-HR"/>
              </w:rPr>
              <w:t>22.5%</w:t>
            </w:r>
          </w:p>
        </w:tc>
        <w:tc>
          <w:tcPr>
            <w:tcW w:w="1177" w:type="pct"/>
            <w:shd w:val="clear" w:color="auto" w:fill="auto"/>
          </w:tcPr>
          <w:p w14:paraId="66F3FFD6" w14:textId="77777777" w:rsidR="00A67FEE" w:rsidRPr="00ED4D49" w:rsidRDefault="00A67FEE" w:rsidP="00A67FEE">
            <w:pPr>
              <w:spacing w:before="0" w:after="0"/>
              <w:ind w:left="144" w:right="144"/>
              <w:jc w:val="right"/>
              <w:rPr>
                <w:rFonts w:cs="Calibri"/>
                <w:sz w:val="16"/>
                <w:szCs w:val="16"/>
                <w:lang w:val="en-US" w:eastAsia="hr-HR"/>
              </w:rPr>
            </w:pPr>
            <w:r w:rsidRPr="00ED4D49">
              <w:rPr>
                <w:rFonts w:cs="Calibri"/>
                <w:sz w:val="16"/>
                <w:szCs w:val="16"/>
                <w:lang w:val="en-US" w:eastAsia="hr-HR"/>
              </w:rPr>
              <w:t>18.9%</w:t>
            </w:r>
          </w:p>
        </w:tc>
      </w:tr>
      <w:tr w:rsidR="00A67FEE" w:rsidRPr="00ED4D49" w14:paraId="00798ABE" w14:textId="77777777" w:rsidTr="00A67FEE">
        <w:tc>
          <w:tcPr>
            <w:tcW w:w="2647" w:type="pct"/>
            <w:shd w:val="clear" w:color="auto" w:fill="auto"/>
          </w:tcPr>
          <w:p w14:paraId="646B1F67" w14:textId="77777777" w:rsidR="00A67FEE" w:rsidRPr="00ED4D49" w:rsidRDefault="00A67FEE" w:rsidP="00A67FEE">
            <w:pPr>
              <w:spacing w:before="0" w:after="0"/>
              <w:ind w:left="144" w:right="144"/>
              <w:jc w:val="right"/>
              <w:rPr>
                <w:rFonts w:cs="Calibri"/>
                <w:color w:val="1F497D"/>
                <w:sz w:val="16"/>
                <w:szCs w:val="16"/>
                <w:lang w:val="en-US"/>
              </w:rPr>
            </w:pPr>
            <w:r w:rsidRPr="00ED4D49">
              <w:rPr>
                <w:rFonts w:cs="Calibri"/>
                <w:color w:val="1F497D"/>
                <w:sz w:val="16"/>
                <w:szCs w:val="16"/>
                <w:lang w:val="en-US"/>
              </w:rPr>
              <w:t xml:space="preserve">Number of </w:t>
            </w:r>
            <w:proofErr w:type="gramStart"/>
            <w:r w:rsidRPr="00ED4D49">
              <w:rPr>
                <w:rFonts w:cs="Calibri"/>
                <w:color w:val="1F497D"/>
                <w:sz w:val="16"/>
                <w:szCs w:val="16"/>
                <w:lang w:val="en-US"/>
              </w:rPr>
              <w:t>person</w:t>
            </w:r>
            <w:proofErr w:type="gramEnd"/>
            <w:r w:rsidRPr="00ED4D49">
              <w:rPr>
                <w:rFonts w:cs="Calibri"/>
                <w:color w:val="1F497D"/>
                <w:sz w:val="16"/>
                <w:szCs w:val="16"/>
                <w:lang w:val="en-US"/>
              </w:rPr>
              <w:t xml:space="preserve"> registered with the Employment Bureau </w:t>
            </w:r>
          </w:p>
        </w:tc>
        <w:tc>
          <w:tcPr>
            <w:tcW w:w="1176" w:type="pct"/>
            <w:shd w:val="clear" w:color="auto" w:fill="auto"/>
          </w:tcPr>
          <w:p w14:paraId="7CA0ABCC" w14:textId="77777777" w:rsidR="00A67FEE" w:rsidRPr="00ED4D49" w:rsidRDefault="00A67FEE" w:rsidP="00A67FEE">
            <w:pPr>
              <w:spacing w:before="0" w:after="0"/>
              <w:ind w:left="144" w:right="144"/>
              <w:jc w:val="right"/>
              <w:rPr>
                <w:rFonts w:cs="Calibri"/>
                <w:sz w:val="16"/>
                <w:szCs w:val="16"/>
                <w:lang w:val="en-US" w:eastAsia="hr-HR"/>
              </w:rPr>
            </w:pPr>
            <w:r w:rsidRPr="00ED4D49">
              <w:rPr>
                <w:rFonts w:cs="Calibri"/>
                <w:sz w:val="16"/>
                <w:szCs w:val="20"/>
                <w:lang w:val="en-US"/>
              </w:rPr>
              <w:t>537,568</w:t>
            </w:r>
          </w:p>
        </w:tc>
        <w:tc>
          <w:tcPr>
            <w:tcW w:w="1177" w:type="pct"/>
            <w:shd w:val="clear" w:color="auto" w:fill="auto"/>
          </w:tcPr>
          <w:p w14:paraId="3AEBBB34" w14:textId="77777777" w:rsidR="00A67FEE" w:rsidRPr="00ED4D49" w:rsidRDefault="00A67FEE" w:rsidP="00A67FEE">
            <w:pPr>
              <w:spacing w:before="0" w:after="0"/>
              <w:ind w:left="144" w:right="144"/>
              <w:jc w:val="right"/>
              <w:rPr>
                <w:rFonts w:cs="Calibri"/>
                <w:sz w:val="16"/>
                <w:szCs w:val="16"/>
                <w:lang w:val="en-US" w:eastAsia="hr-HR"/>
              </w:rPr>
            </w:pPr>
            <w:r w:rsidRPr="00ED4D49">
              <w:rPr>
                <w:rFonts w:cs="Calibri"/>
                <w:sz w:val="16"/>
                <w:szCs w:val="20"/>
                <w:lang w:val="en-US"/>
              </w:rPr>
              <w:t>510,022</w:t>
            </w:r>
          </w:p>
        </w:tc>
      </w:tr>
    </w:tbl>
    <w:p w14:paraId="51CC4E20" w14:textId="77777777" w:rsidR="00A67FEE" w:rsidRPr="00ED4D49" w:rsidRDefault="00A67FEE" w:rsidP="00A67FEE">
      <w:pPr>
        <w:autoSpaceDE w:val="0"/>
        <w:autoSpaceDN w:val="0"/>
        <w:adjustRightInd w:val="0"/>
        <w:spacing w:before="0" w:after="0"/>
        <w:rPr>
          <w:rFonts w:cs="Calibri"/>
          <w:i/>
          <w:sz w:val="16"/>
          <w:lang w:val="en-US"/>
        </w:rPr>
      </w:pPr>
      <w:r w:rsidRPr="00ED4D49">
        <w:rPr>
          <w:rFonts w:cs="Calibri"/>
          <w:i/>
          <w:sz w:val="16"/>
          <w:szCs w:val="20"/>
          <w:lang w:val="en-US" w:eastAsia="hr-HR"/>
        </w:rPr>
        <w:t xml:space="preserve">Source: BIH Statistics Agency </w:t>
      </w:r>
    </w:p>
    <w:p w14:paraId="25DDF6D2" w14:textId="6D51295D" w:rsidR="00A67FEE" w:rsidRPr="00ED4D49" w:rsidRDefault="00A67FEE" w:rsidP="00A67FEE">
      <w:pPr>
        <w:jc w:val="both"/>
        <w:rPr>
          <w:rFonts w:cs="Calibri"/>
          <w:lang w:val="en-US"/>
        </w:rPr>
      </w:pPr>
      <w:r w:rsidRPr="00ED4D49">
        <w:rPr>
          <w:rFonts w:cs="Calibri"/>
          <w:lang w:val="en-US"/>
        </w:rPr>
        <w:t>The large difference between surveyed unemployment and unemployment registered by Employment Bureaus indicates</w:t>
      </w:r>
      <w:r w:rsidR="004810A4" w:rsidRPr="00ED4D49">
        <w:rPr>
          <w:rFonts w:cs="Calibri"/>
          <w:lang w:val="en-US"/>
        </w:rPr>
        <w:t xml:space="preserve"> </w:t>
      </w:r>
      <w:r w:rsidRPr="00ED4D49">
        <w:rPr>
          <w:rFonts w:cs="Calibri"/>
          <w:szCs w:val="20"/>
          <w:lang w:val="en-US"/>
        </w:rPr>
        <w:t>the</w:t>
      </w:r>
      <w:r w:rsidRPr="00ED4D49">
        <w:rPr>
          <w:rFonts w:cs="Calibri"/>
          <w:lang w:val="en-US"/>
        </w:rPr>
        <w:t xml:space="preserve"> presence of grey economy.</w:t>
      </w:r>
    </w:p>
    <w:p w14:paraId="4F52A962" w14:textId="0139C3A3" w:rsidR="00A67FEE" w:rsidRPr="00ED4D49" w:rsidRDefault="00A67FEE" w:rsidP="00A67FEE">
      <w:pPr>
        <w:jc w:val="both"/>
        <w:rPr>
          <w:rFonts w:cs="Calibri"/>
          <w:szCs w:val="20"/>
          <w:lang w:val="en-US" w:eastAsia="hr-HR"/>
        </w:rPr>
      </w:pPr>
      <w:r w:rsidRPr="00ED4D49">
        <w:rPr>
          <w:rFonts w:cs="Calibri"/>
          <w:lang w:val="en-US"/>
        </w:rPr>
        <w:t>BIH is also still characterized by high</w:t>
      </w:r>
      <w:r w:rsidRPr="00ED4D49">
        <w:rPr>
          <w:rFonts w:cs="Calibri"/>
          <w:szCs w:val="20"/>
          <w:lang w:val="en-US" w:eastAsia="hr-HR"/>
        </w:rPr>
        <w:t xml:space="preserve"> share of inactive population (</w:t>
      </w:r>
      <w:r w:rsidRPr="00ED4D49">
        <w:rPr>
          <w:lang w:val="en-US"/>
        </w:rPr>
        <w:fldChar w:fldCharType="begin"/>
      </w:r>
      <w:r w:rsidRPr="00ED4D49">
        <w:rPr>
          <w:lang w:val="en-US"/>
        </w:rPr>
        <w:instrText xml:space="preserve"> REF _Ref19218463 \h  \* MERGEFORMAT </w:instrText>
      </w:r>
      <w:r w:rsidRPr="00ED4D49">
        <w:rPr>
          <w:lang w:val="en-US"/>
        </w:rPr>
      </w:r>
      <w:r w:rsidRPr="00ED4D49">
        <w:rPr>
          <w:lang w:val="en-US"/>
        </w:rPr>
        <w:fldChar w:fldCharType="separate"/>
      </w:r>
      <w:r w:rsidR="00F60130" w:rsidRPr="00ED4D49">
        <w:rPr>
          <w:color w:val="1F3864"/>
          <w:szCs w:val="20"/>
          <w:lang w:val="en-US"/>
        </w:rPr>
        <w:t>Table 14</w:t>
      </w:r>
      <w:r w:rsidRPr="00ED4D49">
        <w:rPr>
          <w:lang w:val="en-US"/>
        </w:rPr>
        <w:fldChar w:fldCharType="end"/>
      </w:r>
      <w:r w:rsidRPr="00ED4D49">
        <w:rPr>
          <w:rFonts w:cs="Calibri"/>
          <w:szCs w:val="20"/>
          <w:lang w:val="en-US" w:eastAsia="hr-HR"/>
        </w:rPr>
        <w:t xml:space="preserve">). </w:t>
      </w:r>
    </w:p>
    <w:p w14:paraId="3138FF4D" w14:textId="30B2C5EF" w:rsidR="00A67FEE" w:rsidRPr="00ED4D49" w:rsidRDefault="00A67FEE" w:rsidP="00A67FEE">
      <w:pPr>
        <w:pStyle w:val="Caption"/>
        <w:rPr>
          <w:rFonts w:cs="Calibri"/>
          <w:b w:val="0"/>
          <w:i/>
          <w:color w:val="auto"/>
          <w:sz w:val="16"/>
        </w:rPr>
      </w:pPr>
      <w:bookmarkStart w:id="144" w:name="_Ref19218463"/>
      <w:bookmarkStart w:id="145" w:name="_Toc21102447"/>
      <w:bookmarkStart w:id="146" w:name="_Toc28188039"/>
      <w:r w:rsidRPr="00ED4D49">
        <w:rPr>
          <w:b w:val="0"/>
          <w:bCs w:val="0"/>
          <w:i/>
          <w:iCs/>
          <w:color w:val="1F3864"/>
          <w:sz w:val="16"/>
          <w:szCs w:val="16"/>
        </w:rPr>
        <w:t xml:space="preserve">Table </w:t>
      </w:r>
      <w:r w:rsidRPr="00ED4D49">
        <w:rPr>
          <w:b w:val="0"/>
          <w:bCs w:val="0"/>
          <w:i/>
          <w:iCs/>
          <w:color w:val="1F3864"/>
          <w:sz w:val="16"/>
          <w:szCs w:val="16"/>
        </w:rPr>
        <w:fldChar w:fldCharType="begin"/>
      </w:r>
      <w:r w:rsidRPr="00ED4D49">
        <w:rPr>
          <w:b w:val="0"/>
          <w:bCs w:val="0"/>
          <w:i/>
          <w:iCs/>
          <w:color w:val="1F3864"/>
          <w:sz w:val="16"/>
          <w:szCs w:val="16"/>
        </w:rPr>
        <w:instrText xml:space="preserve"> SEQ Table \* ARABIC </w:instrText>
      </w:r>
      <w:r w:rsidRPr="00ED4D49">
        <w:rPr>
          <w:b w:val="0"/>
          <w:bCs w:val="0"/>
          <w:i/>
          <w:iCs/>
          <w:color w:val="1F3864"/>
          <w:sz w:val="16"/>
          <w:szCs w:val="16"/>
        </w:rPr>
        <w:fldChar w:fldCharType="separate"/>
      </w:r>
      <w:r w:rsidR="00F60130" w:rsidRPr="00ED4D49">
        <w:rPr>
          <w:b w:val="0"/>
          <w:bCs w:val="0"/>
          <w:i/>
          <w:iCs/>
          <w:noProof/>
          <w:color w:val="1F3864"/>
          <w:sz w:val="16"/>
          <w:szCs w:val="16"/>
        </w:rPr>
        <w:t>14</w:t>
      </w:r>
      <w:r w:rsidRPr="00ED4D49">
        <w:rPr>
          <w:b w:val="0"/>
          <w:bCs w:val="0"/>
          <w:i/>
          <w:iCs/>
          <w:color w:val="1F3864"/>
          <w:sz w:val="16"/>
          <w:szCs w:val="16"/>
        </w:rPr>
        <w:fldChar w:fldCharType="end"/>
      </w:r>
      <w:bookmarkEnd w:id="144"/>
      <w:r w:rsidRPr="00ED4D49">
        <w:rPr>
          <w:b w:val="0"/>
          <w:bCs w:val="0"/>
          <w:i/>
          <w:iCs/>
          <w:color w:val="1F3864"/>
          <w:sz w:val="16"/>
          <w:szCs w:val="16"/>
        </w:rPr>
        <w:t xml:space="preserve">: </w:t>
      </w:r>
      <w:r w:rsidRPr="00ED4D49">
        <w:rPr>
          <w:rFonts w:cs="Calibri"/>
          <w:b w:val="0"/>
          <w:i/>
          <w:color w:val="auto"/>
          <w:sz w:val="16"/>
        </w:rPr>
        <w:t>Share of Inactive Population in BIH in 2016 and 2017</w:t>
      </w:r>
      <w:bookmarkEnd w:id="145"/>
      <w:bookmarkEnd w:id="146"/>
    </w:p>
    <w:tbl>
      <w:tblPr>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2730"/>
        <w:gridCol w:w="2092"/>
        <w:gridCol w:w="2094"/>
        <w:gridCol w:w="2094"/>
      </w:tblGrid>
      <w:tr w:rsidR="00A67FEE" w:rsidRPr="00ED4D49" w14:paraId="7E67517F" w14:textId="77777777" w:rsidTr="00A67FEE">
        <w:tc>
          <w:tcPr>
            <w:tcW w:w="1515" w:type="pct"/>
            <w:shd w:val="clear" w:color="auto" w:fill="auto"/>
          </w:tcPr>
          <w:p w14:paraId="72A6F99F" w14:textId="77777777" w:rsidR="00A67FEE" w:rsidRPr="00ED4D49" w:rsidRDefault="00A67FEE" w:rsidP="00A67FEE">
            <w:pPr>
              <w:spacing w:before="0" w:after="0"/>
              <w:ind w:left="144" w:right="144"/>
              <w:jc w:val="both"/>
              <w:rPr>
                <w:rFonts w:cs="Calibri"/>
                <w:color w:val="1F497D"/>
                <w:sz w:val="16"/>
                <w:szCs w:val="16"/>
                <w:lang w:val="en-US"/>
              </w:rPr>
            </w:pPr>
          </w:p>
        </w:tc>
        <w:tc>
          <w:tcPr>
            <w:tcW w:w="1161" w:type="pct"/>
            <w:shd w:val="clear" w:color="auto" w:fill="auto"/>
          </w:tcPr>
          <w:p w14:paraId="0AC34200" w14:textId="77777777" w:rsidR="00A67FEE" w:rsidRPr="00ED4D49" w:rsidRDefault="00A67FEE" w:rsidP="00A67FEE">
            <w:pPr>
              <w:spacing w:before="0" w:after="0"/>
              <w:ind w:left="144" w:right="144"/>
              <w:jc w:val="right"/>
              <w:rPr>
                <w:rFonts w:cs="Calibri"/>
                <w:color w:val="1F497D"/>
                <w:sz w:val="16"/>
                <w:szCs w:val="16"/>
                <w:lang w:val="en-US"/>
              </w:rPr>
            </w:pPr>
            <w:r w:rsidRPr="00ED4D49">
              <w:rPr>
                <w:rFonts w:cs="Calibri"/>
                <w:color w:val="1F497D"/>
                <w:sz w:val="16"/>
                <w:szCs w:val="16"/>
                <w:lang w:val="en-US"/>
              </w:rPr>
              <w:t>2015</w:t>
            </w:r>
          </w:p>
        </w:tc>
        <w:tc>
          <w:tcPr>
            <w:tcW w:w="1162" w:type="pct"/>
            <w:shd w:val="clear" w:color="auto" w:fill="auto"/>
          </w:tcPr>
          <w:p w14:paraId="7FC7A993" w14:textId="77777777" w:rsidR="00A67FEE" w:rsidRPr="00ED4D49" w:rsidRDefault="00A67FEE" w:rsidP="00A67FEE">
            <w:pPr>
              <w:spacing w:before="0" w:after="0"/>
              <w:ind w:left="144" w:right="144"/>
              <w:jc w:val="right"/>
              <w:rPr>
                <w:rFonts w:cs="Calibri"/>
                <w:color w:val="1F497D"/>
                <w:sz w:val="16"/>
                <w:szCs w:val="16"/>
                <w:lang w:val="en-US"/>
              </w:rPr>
            </w:pPr>
            <w:r w:rsidRPr="00ED4D49">
              <w:rPr>
                <w:rFonts w:cs="Calibri"/>
                <w:color w:val="1F497D"/>
                <w:sz w:val="16"/>
                <w:szCs w:val="16"/>
                <w:lang w:val="en-US"/>
              </w:rPr>
              <w:t>2016</w:t>
            </w:r>
          </w:p>
        </w:tc>
        <w:tc>
          <w:tcPr>
            <w:tcW w:w="1162" w:type="pct"/>
            <w:shd w:val="clear" w:color="auto" w:fill="auto"/>
          </w:tcPr>
          <w:p w14:paraId="29C179B8" w14:textId="77777777" w:rsidR="00A67FEE" w:rsidRPr="00ED4D49" w:rsidRDefault="00A67FEE" w:rsidP="00A67FEE">
            <w:pPr>
              <w:spacing w:before="0" w:after="0"/>
              <w:ind w:left="144" w:right="144"/>
              <w:jc w:val="right"/>
              <w:rPr>
                <w:rFonts w:cs="Calibri"/>
                <w:color w:val="1F497D"/>
                <w:sz w:val="16"/>
                <w:szCs w:val="16"/>
                <w:lang w:val="en-US"/>
              </w:rPr>
            </w:pPr>
            <w:r w:rsidRPr="00ED4D49">
              <w:rPr>
                <w:rFonts w:cs="Calibri"/>
                <w:color w:val="1F497D"/>
                <w:sz w:val="16"/>
                <w:szCs w:val="16"/>
                <w:lang w:val="en-US"/>
              </w:rPr>
              <w:t>2017</w:t>
            </w:r>
          </w:p>
        </w:tc>
      </w:tr>
      <w:tr w:rsidR="00A67FEE" w:rsidRPr="00ED4D49" w14:paraId="131014A3" w14:textId="77777777" w:rsidTr="00A67FEE">
        <w:tc>
          <w:tcPr>
            <w:tcW w:w="1515" w:type="pct"/>
            <w:shd w:val="clear" w:color="auto" w:fill="auto"/>
          </w:tcPr>
          <w:p w14:paraId="5CAE642E" w14:textId="77777777" w:rsidR="00A67FEE" w:rsidRPr="00ED4D49" w:rsidRDefault="00A67FEE" w:rsidP="00A67FEE">
            <w:pPr>
              <w:spacing w:before="0" w:after="0"/>
              <w:ind w:left="144" w:right="144"/>
              <w:jc w:val="right"/>
              <w:rPr>
                <w:rFonts w:cs="Calibri"/>
                <w:color w:val="1F497D"/>
                <w:sz w:val="16"/>
                <w:szCs w:val="16"/>
                <w:lang w:val="en-US"/>
              </w:rPr>
            </w:pPr>
            <w:r w:rsidRPr="00ED4D49">
              <w:rPr>
                <w:rFonts w:cs="Calibri"/>
                <w:color w:val="1F497D"/>
                <w:sz w:val="16"/>
                <w:szCs w:val="16"/>
                <w:lang w:val="en-US"/>
              </w:rPr>
              <w:t>Inactive population</w:t>
            </w:r>
          </w:p>
        </w:tc>
        <w:tc>
          <w:tcPr>
            <w:tcW w:w="1161" w:type="pct"/>
            <w:shd w:val="clear" w:color="auto" w:fill="auto"/>
          </w:tcPr>
          <w:p w14:paraId="29461A0B" w14:textId="77777777" w:rsidR="00A67FEE" w:rsidRPr="00ED4D49" w:rsidRDefault="00A67FEE" w:rsidP="00A67FEE">
            <w:pPr>
              <w:spacing w:before="0" w:after="0"/>
              <w:ind w:left="144" w:right="144"/>
              <w:jc w:val="right"/>
              <w:rPr>
                <w:rFonts w:cs="Calibri"/>
                <w:iCs/>
                <w:sz w:val="16"/>
                <w:szCs w:val="16"/>
                <w:lang w:val="en-US"/>
              </w:rPr>
            </w:pPr>
            <w:r w:rsidRPr="00ED4D49">
              <w:rPr>
                <w:rFonts w:cs="Calibri"/>
                <w:sz w:val="16"/>
                <w:szCs w:val="20"/>
                <w:lang w:val="en-US" w:eastAsia="hr-HR"/>
              </w:rPr>
              <w:t>1,443,000</w:t>
            </w:r>
          </w:p>
        </w:tc>
        <w:tc>
          <w:tcPr>
            <w:tcW w:w="1162" w:type="pct"/>
            <w:shd w:val="clear" w:color="auto" w:fill="auto"/>
          </w:tcPr>
          <w:p w14:paraId="0161EFF7" w14:textId="77777777" w:rsidR="00A67FEE" w:rsidRPr="00ED4D49" w:rsidRDefault="00A67FEE" w:rsidP="00A67FEE">
            <w:pPr>
              <w:spacing w:before="0" w:after="0"/>
              <w:ind w:left="144" w:right="144"/>
              <w:jc w:val="right"/>
              <w:rPr>
                <w:rFonts w:cs="Calibri"/>
                <w:iCs/>
                <w:sz w:val="16"/>
                <w:szCs w:val="16"/>
                <w:lang w:val="en-US"/>
              </w:rPr>
            </w:pPr>
            <w:r w:rsidRPr="00ED4D49">
              <w:rPr>
                <w:rFonts w:cs="Calibri"/>
                <w:sz w:val="16"/>
                <w:szCs w:val="20"/>
                <w:lang w:val="en-US" w:eastAsia="hr-HR"/>
              </w:rPr>
              <w:t>1,415,000</w:t>
            </w:r>
          </w:p>
        </w:tc>
        <w:tc>
          <w:tcPr>
            <w:tcW w:w="1162" w:type="pct"/>
            <w:shd w:val="clear" w:color="auto" w:fill="auto"/>
          </w:tcPr>
          <w:p w14:paraId="253F93A6" w14:textId="77777777" w:rsidR="00A67FEE" w:rsidRPr="00ED4D49" w:rsidRDefault="00A67FEE" w:rsidP="00A67FEE">
            <w:pPr>
              <w:spacing w:before="0" w:after="0"/>
              <w:ind w:left="144" w:right="144"/>
              <w:jc w:val="right"/>
              <w:rPr>
                <w:rFonts w:cs="Calibri"/>
                <w:iCs/>
                <w:sz w:val="16"/>
                <w:szCs w:val="16"/>
                <w:lang w:val="en-US"/>
              </w:rPr>
            </w:pPr>
            <w:r w:rsidRPr="00ED4D49">
              <w:rPr>
                <w:rFonts w:cs="Calibri"/>
                <w:sz w:val="16"/>
                <w:szCs w:val="20"/>
                <w:lang w:val="en-US" w:eastAsia="hr-HR"/>
              </w:rPr>
              <w:t>1,381,000</w:t>
            </w:r>
          </w:p>
        </w:tc>
      </w:tr>
    </w:tbl>
    <w:p w14:paraId="6AF45B36" w14:textId="77777777" w:rsidR="00A67FEE" w:rsidRPr="00ED4D49" w:rsidRDefault="00A67FEE" w:rsidP="00A67FEE">
      <w:pPr>
        <w:autoSpaceDE w:val="0"/>
        <w:autoSpaceDN w:val="0"/>
        <w:adjustRightInd w:val="0"/>
        <w:spacing w:before="0" w:after="0"/>
        <w:rPr>
          <w:rFonts w:cs="Calibri"/>
          <w:i/>
          <w:sz w:val="16"/>
          <w:lang w:val="en-US"/>
        </w:rPr>
      </w:pPr>
      <w:r w:rsidRPr="00ED4D49">
        <w:rPr>
          <w:rFonts w:cs="Calibri"/>
          <w:i/>
          <w:sz w:val="16"/>
          <w:szCs w:val="20"/>
          <w:lang w:val="en-US" w:eastAsia="hr-HR"/>
        </w:rPr>
        <w:t xml:space="preserve">Source: BiH Statistics Agency </w:t>
      </w:r>
    </w:p>
    <w:p w14:paraId="3B5C0C55" w14:textId="77777777" w:rsidR="00A67FEE" w:rsidRPr="00ED4D49" w:rsidRDefault="00A67FEE" w:rsidP="00A67FEE">
      <w:pPr>
        <w:autoSpaceDE w:val="0"/>
        <w:autoSpaceDN w:val="0"/>
        <w:adjustRightInd w:val="0"/>
        <w:spacing w:before="0" w:after="0"/>
        <w:jc w:val="both"/>
        <w:rPr>
          <w:rFonts w:cs="Calibri"/>
          <w:szCs w:val="20"/>
          <w:lang w:val="en-US" w:eastAsia="hr-HR"/>
        </w:rPr>
      </w:pPr>
    </w:p>
    <w:p w14:paraId="5551F5B7" w14:textId="77777777" w:rsidR="00A67FEE" w:rsidRPr="00ED4D49" w:rsidRDefault="00A67FEE" w:rsidP="00A67FEE">
      <w:pPr>
        <w:spacing w:before="0"/>
        <w:jc w:val="both"/>
        <w:rPr>
          <w:color w:val="000000"/>
          <w:szCs w:val="23"/>
          <w:lang w:val="en-US"/>
        </w:rPr>
      </w:pPr>
      <w:r w:rsidRPr="00ED4D49">
        <w:rPr>
          <w:rFonts w:cs="Calibri"/>
          <w:szCs w:val="20"/>
          <w:lang w:val="en-US" w:eastAsia="hr-HR"/>
        </w:rPr>
        <w:t xml:space="preserve">Women accounted for 60.2% and men for 39.8% of </w:t>
      </w:r>
      <w:r w:rsidRPr="00ED4D49">
        <w:rPr>
          <w:rFonts w:cs="Calibri"/>
          <w:szCs w:val="20"/>
          <w:lang w:val="en-US"/>
        </w:rPr>
        <w:t xml:space="preserve">the </w:t>
      </w:r>
      <w:r w:rsidRPr="00ED4D49">
        <w:rPr>
          <w:rFonts w:cs="Calibri"/>
          <w:szCs w:val="20"/>
          <w:lang w:val="en-US" w:eastAsia="hr-HR"/>
        </w:rPr>
        <w:t xml:space="preserve">total inactive population in 2017. In terms of education, </w:t>
      </w:r>
      <w:r w:rsidRPr="00ED4D49">
        <w:rPr>
          <w:rFonts w:cs="Calibri"/>
          <w:szCs w:val="20"/>
          <w:lang w:val="en-US"/>
        </w:rPr>
        <w:t xml:space="preserve">the </w:t>
      </w:r>
      <w:r w:rsidRPr="00ED4D49">
        <w:rPr>
          <w:rFonts w:cs="Calibri"/>
          <w:szCs w:val="20"/>
          <w:lang w:val="en-US" w:eastAsia="hr-HR"/>
        </w:rPr>
        <w:t>highest share of inactive population was with completed primary school or less (743,000 persons), followed by those with secondary school (573,000 persons) and four or two years of university education (65,000 persons).</w:t>
      </w:r>
    </w:p>
    <w:p w14:paraId="444C4958" w14:textId="77777777" w:rsidR="00A67FEE" w:rsidRPr="00ED4D49" w:rsidRDefault="00A67FEE" w:rsidP="00A67FEE">
      <w:pPr>
        <w:pStyle w:val="Heading3"/>
      </w:pPr>
      <w:bookmarkStart w:id="147" w:name="_Toc20858933"/>
      <w:bookmarkStart w:id="148" w:name="_Toc21102408"/>
      <w:bookmarkStart w:id="149" w:name="_Toc31811079"/>
      <w:r w:rsidRPr="00ED4D49">
        <w:t xml:space="preserve">Employment in </w:t>
      </w:r>
      <w:bookmarkEnd w:id="147"/>
      <w:r w:rsidRPr="00ED4D49">
        <w:t>the DRB</w:t>
      </w:r>
      <w:bookmarkEnd w:id="148"/>
      <w:bookmarkEnd w:id="149"/>
    </w:p>
    <w:p w14:paraId="3DA682F8" w14:textId="00CF3DD6" w:rsidR="00A67FEE" w:rsidRPr="00ED4D49" w:rsidRDefault="00A67FEE" w:rsidP="00A67FEE">
      <w:pPr>
        <w:spacing w:before="0"/>
        <w:jc w:val="both"/>
        <w:rPr>
          <w:color w:val="000000"/>
          <w:szCs w:val="23"/>
          <w:lang w:val="en-US"/>
        </w:rPr>
      </w:pPr>
      <w:r w:rsidRPr="00ED4D49">
        <w:rPr>
          <w:color w:val="000000"/>
          <w:szCs w:val="23"/>
          <w:lang w:val="en-US"/>
        </w:rPr>
        <w:t xml:space="preserve">According to the data from the Census 2013, in the area of DRB which belongs to RS, </w:t>
      </w:r>
      <w:r w:rsidRPr="00ED4D49">
        <w:rPr>
          <w:rFonts w:cs="Calibri"/>
          <w:szCs w:val="20"/>
          <w:lang w:val="en-US"/>
        </w:rPr>
        <w:t xml:space="preserve">the </w:t>
      </w:r>
      <w:r w:rsidRPr="00ED4D49">
        <w:rPr>
          <w:color w:val="000000"/>
          <w:szCs w:val="23"/>
          <w:lang w:val="en-US"/>
        </w:rPr>
        <w:t xml:space="preserve">Municipality of Bratunac has the highest employment rate (46.03%) as opposed to the lowest employment rate in the Municipality of </w:t>
      </w:r>
      <w:proofErr w:type="spellStart"/>
      <w:r w:rsidR="00A7018E" w:rsidRPr="00ED4D49">
        <w:rPr>
          <w:color w:val="000000"/>
          <w:szCs w:val="23"/>
          <w:lang w:val="en-US"/>
        </w:rPr>
        <w:t>S</w:t>
      </w:r>
      <w:r w:rsidRPr="00ED4D49">
        <w:rPr>
          <w:color w:val="000000"/>
          <w:szCs w:val="23"/>
          <w:lang w:val="en-US"/>
        </w:rPr>
        <w:t>ekovi</w:t>
      </w:r>
      <w:r w:rsidR="00C6478C" w:rsidRPr="00ED4D49">
        <w:rPr>
          <w:color w:val="000000"/>
          <w:szCs w:val="23"/>
          <w:lang w:val="en-US"/>
        </w:rPr>
        <w:t>c</w:t>
      </w:r>
      <w:r w:rsidRPr="00ED4D49">
        <w:rPr>
          <w:color w:val="000000"/>
          <w:szCs w:val="23"/>
          <w:lang w:val="en-US"/>
        </w:rPr>
        <w:t>i</w:t>
      </w:r>
      <w:proofErr w:type="spellEnd"/>
      <w:r w:rsidRPr="00ED4D49">
        <w:rPr>
          <w:color w:val="000000"/>
          <w:szCs w:val="23"/>
          <w:lang w:val="en-US"/>
        </w:rPr>
        <w:t xml:space="preserve"> (24.72%). In the area of DRB which belongs to FBiH, </w:t>
      </w:r>
      <w:r w:rsidRPr="00ED4D49">
        <w:rPr>
          <w:rFonts w:cs="Calibri"/>
          <w:szCs w:val="20"/>
          <w:lang w:val="en-US"/>
        </w:rPr>
        <w:t xml:space="preserve">the </w:t>
      </w:r>
      <w:r w:rsidRPr="00ED4D49">
        <w:rPr>
          <w:color w:val="000000"/>
          <w:szCs w:val="23"/>
          <w:lang w:val="en-US"/>
        </w:rPr>
        <w:t>Municipality of Gora</w:t>
      </w:r>
      <w:r w:rsidR="00C6478C" w:rsidRPr="00ED4D49">
        <w:rPr>
          <w:color w:val="000000"/>
          <w:szCs w:val="23"/>
          <w:lang w:val="en-US"/>
        </w:rPr>
        <w:t>z</w:t>
      </w:r>
      <w:r w:rsidRPr="00ED4D49">
        <w:rPr>
          <w:color w:val="000000"/>
          <w:szCs w:val="23"/>
          <w:lang w:val="en-US"/>
        </w:rPr>
        <w:t xml:space="preserve">de has the highest employment rate (38.75%), while the lowest employment rate is in the Municipality of </w:t>
      </w:r>
      <w:proofErr w:type="spellStart"/>
      <w:r w:rsidRPr="00ED4D49">
        <w:rPr>
          <w:color w:val="000000"/>
          <w:szCs w:val="23"/>
          <w:lang w:val="en-US"/>
        </w:rPr>
        <w:t>Teo</w:t>
      </w:r>
      <w:r w:rsidR="00A7018E" w:rsidRPr="00ED4D49">
        <w:rPr>
          <w:color w:val="000000"/>
          <w:szCs w:val="23"/>
          <w:lang w:val="en-US"/>
        </w:rPr>
        <w:t>c</w:t>
      </w:r>
      <w:r w:rsidRPr="00ED4D49">
        <w:rPr>
          <w:color w:val="000000"/>
          <w:szCs w:val="23"/>
          <w:lang w:val="en-US"/>
        </w:rPr>
        <w:t>ak</w:t>
      </w:r>
      <w:proofErr w:type="spellEnd"/>
      <w:r w:rsidRPr="00ED4D49">
        <w:rPr>
          <w:color w:val="000000"/>
          <w:szCs w:val="23"/>
          <w:lang w:val="en-US"/>
        </w:rPr>
        <w:t xml:space="preserve"> (23.57%). </w:t>
      </w:r>
    </w:p>
    <w:p w14:paraId="37FB414E" w14:textId="77777777" w:rsidR="00A67FEE" w:rsidRPr="00ED4D49" w:rsidRDefault="00A67FEE" w:rsidP="00A67FEE">
      <w:pPr>
        <w:pStyle w:val="Heading3"/>
      </w:pPr>
      <w:bookmarkStart w:id="150" w:name="_Toc20858934"/>
      <w:bookmarkStart w:id="151" w:name="_Toc21102409"/>
      <w:bookmarkStart w:id="152" w:name="_Toc31811080"/>
      <w:r w:rsidRPr="00ED4D49">
        <w:lastRenderedPageBreak/>
        <w:t>Employment in Sava Basin Area</w:t>
      </w:r>
      <w:bookmarkEnd w:id="150"/>
      <w:bookmarkEnd w:id="151"/>
      <w:bookmarkEnd w:id="152"/>
    </w:p>
    <w:p w14:paraId="0DCFF374" w14:textId="77777777" w:rsidR="00647642" w:rsidRPr="00ED4D49" w:rsidRDefault="00A67FEE" w:rsidP="00A67FEE">
      <w:pPr>
        <w:spacing w:before="0"/>
        <w:jc w:val="both"/>
        <w:rPr>
          <w:color w:val="000000"/>
          <w:szCs w:val="23"/>
          <w:lang w:val="en-US"/>
        </w:rPr>
      </w:pPr>
      <w:r w:rsidRPr="00ED4D49">
        <w:rPr>
          <w:color w:val="000000"/>
          <w:szCs w:val="23"/>
          <w:lang w:val="en-US"/>
        </w:rPr>
        <w:t xml:space="preserve">According to the data from the Census 2013, in the area of SRB which belongs to RS, </w:t>
      </w:r>
      <w:r w:rsidRPr="00ED4D49">
        <w:rPr>
          <w:rFonts w:cs="Calibri"/>
          <w:szCs w:val="20"/>
          <w:lang w:val="en-US"/>
        </w:rPr>
        <w:t xml:space="preserve">the </w:t>
      </w:r>
      <w:r w:rsidRPr="00ED4D49">
        <w:rPr>
          <w:color w:val="000000"/>
          <w:szCs w:val="23"/>
          <w:lang w:val="en-US"/>
        </w:rPr>
        <w:t xml:space="preserve">City of Banja Luka has the highest employment rate (40.21%) as opposed to the lowest employment rate in the Municipality of </w:t>
      </w:r>
      <w:proofErr w:type="spellStart"/>
      <w:r w:rsidRPr="00ED4D49">
        <w:rPr>
          <w:color w:val="000000"/>
          <w:szCs w:val="23"/>
          <w:lang w:val="en-US"/>
        </w:rPr>
        <w:t>Lopare</w:t>
      </w:r>
      <w:proofErr w:type="spellEnd"/>
      <w:r w:rsidRPr="00ED4D49">
        <w:rPr>
          <w:color w:val="000000"/>
          <w:szCs w:val="23"/>
          <w:lang w:val="en-US"/>
        </w:rPr>
        <w:t xml:space="preserve"> (28.63%). </w:t>
      </w:r>
    </w:p>
    <w:p w14:paraId="169DD96E" w14:textId="77777777" w:rsidR="00647642" w:rsidRPr="00ED4D49" w:rsidRDefault="00A67FEE" w:rsidP="00A67FEE">
      <w:pPr>
        <w:spacing w:before="0"/>
        <w:jc w:val="both"/>
        <w:rPr>
          <w:color w:val="000000"/>
          <w:szCs w:val="23"/>
          <w:lang w:val="en-US"/>
        </w:rPr>
      </w:pPr>
      <w:r w:rsidRPr="00ED4D49">
        <w:rPr>
          <w:color w:val="000000"/>
          <w:szCs w:val="23"/>
          <w:lang w:val="en-US"/>
        </w:rPr>
        <w:t xml:space="preserve">In the area of SRB which belongs to FBiH, </w:t>
      </w:r>
      <w:r w:rsidRPr="00ED4D49">
        <w:rPr>
          <w:rFonts w:cs="Calibri"/>
          <w:szCs w:val="20"/>
          <w:lang w:val="en-US"/>
        </w:rPr>
        <w:t xml:space="preserve">the </w:t>
      </w:r>
      <w:r w:rsidRPr="00ED4D49">
        <w:rPr>
          <w:color w:val="000000"/>
          <w:szCs w:val="23"/>
          <w:lang w:val="en-US"/>
        </w:rPr>
        <w:t xml:space="preserve">Municipality of </w:t>
      </w:r>
      <w:proofErr w:type="spellStart"/>
      <w:r w:rsidRPr="00ED4D49">
        <w:rPr>
          <w:color w:val="000000"/>
          <w:szCs w:val="23"/>
          <w:lang w:val="en-US"/>
        </w:rPr>
        <w:t>Domaljevac-</w:t>
      </w:r>
      <w:r w:rsidR="00A7018E" w:rsidRPr="00ED4D49">
        <w:rPr>
          <w:color w:val="000000"/>
          <w:szCs w:val="23"/>
          <w:lang w:val="en-US"/>
        </w:rPr>
        <w:t>S</w:t>
      </w:r>
      <w:r w:rsidRPr="00ED4D49">
        <w:rPr>
          <w:color w:val="000000"/>
          <w:szCs w:val="23"/>
          <w:lang w:val="en-US"/>
        </w:rPr>
        <w:t>amac</w:t>
      </w:r>
      <w:proofErr w:type="spellEnd"/>
      <w:r w:rsidRPr="00ED4D49">
        <w:rPr>
          <w:color w:val="000000"/>
          <w:szCs w:val="23"/>
          <w:lang w:val="en-US"/>
        </w:rPr>
        <w:t xml:space="preserve"> has the highest employment rate (41.08%), while the lowest employment rate is in the Municipality of </w:t>
      </w:r>
      <w:proofErr w:type="spellStart"/>
      <w:r w:rsidRPr="00ED4D49">
        <w:rPr>
          <w:color w:val="000000"/>
          <w:szCs w:val="23"/>
          <w:lang w:val="en-US"/>
        </w:rPr>
        <w:t>Lukavac</w:t>
      </w:r>
      <w:proofErr w:type="spellEnd"/>
      <w:r w:rsidRPr="00ED4D49">
        <w:rPr>
          <w:color w:val="000000"/>
          <w:szCs w:val="23"/>
          <w:lang w:val="en-US"/>
        </w:rPr>
        <w:t xml:space="preserve"> (29.31%). </w:t>
      </w:r>
    </w:p>
    <w:p w14:paraId="3D0525AD" w14:textId="5D19D9C5" w:rsidR="00A67FEE" w:rsidRPr="00ED4D49" w:rsidRDefault="00A67FEE" w:rsidP="00A67FEE">
      <w:pPr>
        <w:spacing w:before="0"/>
        <w:jc w:val="both"/>
        <w:rPr>
          <w:szCs w:val="23"/>
          <w:lang w:val="en-US"/>
        </w:rPr>
      </w:pPr>
      <w:r w:rsidRPr="00ED4D49">
        <w:rPr>
          <w:color w:val="000000"/>
          <w:szCs w:val="23"/>
          <w:lang w:val="en-US"/>
        </w:rPr>
        <w:t xml:space="preserve">In </w:t>
      </w:r>
      <w:r w:rsidR="00647642" w:rsidRPr="00ED4D49">
        <w:rPr>
          <w:color w:val="000000"/>
          <w:szCs w:val="23"/>
          <w:lang w:val="en-US"/>
        </w:rPr>
        <w:t>BD,</w:t>
      </w:r>
      <w:r w:rsidRPr="00ED4D49">
        <w:rPr>
          <w:color w:val="000000"/>
          <w:szCs w:val="23"/>
          <w:lang w:val="en-US"/>
        </w:rPr>
        <w:t xml:space="preserve"> the employment rate is 31.91%.</w:t>
      </w:r>
    </w:p>
    <w:p w14:paraId="09833D9C" w14:textId="77777777" w:rsidR="00A67FEE" w:rsidRPr="00ED4D49" w:rsidRDefault="00A67FEE" w:rsidP="0063606C">
      <w:pPr>
        <w:pStyle w:val="Heading2"/>
      </w:pPr>
      <w:bookmarkStart w:id="153" w:name="_Toc20858935"/>
      <w:bookmarkStart w:id="154" w:name="_Toc21102410"/>
      <w:bookmarkStart w:id="155" w:name="_Toc31811081"/>
      <w:r w:rsidRPr="00ED4D49">
        <w:t>Poverty</w:t>
      </w:r>
      <w:bookmarkEnd w:id="153"/>
      <w:bookmarkEnd w:id="154"/>
      <w:bookmarkEnd w:id="155"/>
    </w:p>
    <w:p w14:paraId="0ADF4265" w14:textId="77777777" w:rsidR="00A67FEE" w:rsidRPr="00ED4D49" w:rsidRDefault="00A67FEE" w:rsidP="00A67FEE">
      <w:pPr>
        <w:spacing w:before="0"/>
        <w:jc w:val="both"/>
        <w:rPr>
          <w:color w:val="000000"/>
          <w:szCs w:val="23"/>
          <w:lang w:val="en-US"/>
        </w:rPr>
      </w:pPr>
      <w:r w:rsidRPr="00ED4D49">
        <w:rPr>
          <w:color w:val="000000"/>
          <w:szCs w:val="23"/>
          <w:lang w:val="en-US"/>
        </w:rPr>
        <w:t>According to</w:t>
      </w:r>
      <w:r w:rsidRPr="00ED4D49">
        <w:rPr>
          <w:rFonts w:cs="Calibri"/>
          <w:szCs w:val="20"/>
          <w:lang w:val="en-US"/>
        </w:rPr>
        <w:t xml:space="preserve"> the</w:t>
      </w:r>
      <w:r w:rsidRPr="00ED4D49">
        <w:rPr>
          <w:color w:val="000000"/>
          <w:szCs w:val="23"/>
          <w:lang w:val="en-US"/>
        </w:rPr>
        <w:t xml:space="preserve"> 2017 Social Inclusion Report</w:t>
      </w:r>
      <w:r w:rsidRPr="00ED4D49">
        <w:rPr>
          <w:color w:val="000000"/>
          <w:szCs w:val="23"/>
          <w:vertAlign w:val="superscript"/>
          <w:lang w:val="en-US"/>
        </w:rPr>
        <w:footnoteReference w:id="31"/>
      </w:r>
      <w:r w:rsidRPr="00ED4D49">
        <w:rPr>
          <w:color w:val="000000"/>
          <w:szCs w:val="23"/>
          <w:lang w:val="en-US"/>
        </w:rPr>
        <w:t>, a large share of BiH population is affected by poverty. Children, people with low education, elderly and weak, as well as rural population are the ones who are most likely to live below poverty line.</w:t>
      </w:r>
    </w:p>
    <w:p w14:paraId="3202E36D" w14:textId="61A73758" w:rsidR="00A67FEE" w:rsidRPr="00ED4D49" w:rsidRDefault="00A67FEE" w:rsidP="00A67FEE">
      <w:pPr>
        <w:spacing w:before="0"/>
        <w:jc w:val="both"/>
        <w:rPr>
          <w:rFonts w:cs="Calibri"/>
          <w:szCs w:val="20"/>
          <w:lang w:val="en-US" w:eastAsia="hr-HR"/>
        </w:rPr>
      </w:pPr>
      <w:r w:rsidRPr="00ED4D49">
        <w:rPr>
          <w:color w:val="000000"/>
          <w:szCs w:val="23"/>
          <w:lang w:val="en-US"/>
        </w:rPr>
        <w:t>The key poverty and inequity indicators in BIH</w:t>
      </w:r>
      <w:r w:rsidRPr="00ED4D49">
        <w:rPr>
          <w:rFonts w:cs="Calibri"/>
          <w:szCs w:val="20"/>
          <w:lang w:val="en-US" w:eastAsia="hr-HR"/>
        </w:rPr>
        <w:t xml:space="preserve"> (comparative figures for 2011 and 2015), according to the data published by </w:t>
      </w:r>
      <w:r w:rsidRPr="00ED4D49">
        <w:rPr>
          <w:rFonts w:cs="Calibri"/>
          <w:szCs w:val="20"/>
          <w:lang w:val="en-US"/>
        </w:rPr>
        <w:t xml:space="preserve">the </w:t>
      </w:r>
      <w:r w:rsidRPr="00ED4D49">
        <w:rPr>
          <w:rFonts w:cs="Calibri"/>
          <w:szCs w:val="20"/>
          <w:lang w:val="en-US" w:eastAsia="hr-HR"/>
        </w:rPr>
        <w:t xml:space="preserve">BiH Statistics Agency, are presented in </w:t>
      </w:r>
      <w:r w:rsidRPr="00ED4D49">
        <w:rPr>
          <w:lang w:val="en-US"/>
        </w:rPr>
        <w:fldChar w:fldCharType="begin"/>
      </w:r>
      <w:r w:rsidRPr="00ED4D49">
        <w:rPr>
          <w:lang w:val="en-US"/>
        </w:rPr>
        <w:instrText xml:space="preserve"> REF _Ref19217470 \h  \* MERGEFORMAT </w:instrText>
      </w:r>
      <w:r w:rsidRPr="00ED4D49">
        <w:rPr>
          <w:lang w:val="en-US"/>
        </w:rPr>
      </w:r>
      <w:r w:rsidRPr="00ED4D49">
        <w:rPr>
          <w:lang w:val="en-US"/>
        </w:rPr>
        <w:fldChar w:fldCharType="separate"/>
      </w:r>
      <w:r w:rsidR="00F60130" w:rsidRPr="00ED4D49">
        <w:rPr>
          <w:color w:val="1F3864"/>
          <w:szCs w:val="20"/>
          <w:lang w:val="en-US"/>
        </w:rPr>
        <w:t>Table 15</w:t>
      </w:r>
      <w:r w:rsidRPr="00ED4D49">
        <w:rPr>
          <w:lang w:val="en-US"/>
        </w:rPr>
        <w:fldChar w:fldCharType="end"/>
      </w:r>
      <w:r w:rsidRPr="00ED4D49">
        <w:rPr>
          <w:rFonts w:cs="Calibri"/>
          <w:szCs w:val="20"/>
          <w:lang w:val="en-US" w:eastAsia="hr-HR"/>
        </w:rPr>
        <w:t>.</w:t>
      </w:r>
    </w:p>
    <w:p w14:paraId="33DB920F" w14:textId="5074776C" w:rsidR="00A67FEE" w:rsidRPr="00ED4D49" w:rsidRDefault="00A67FEE" w:rsidP="00A67FEE">
      <w:pPr>
        <w:pStyle w:val="Caption"/>
        <w:keepNext/>
        <w:rPr>
          <w:b w:val="0"/>
          <w:bCs w:val="0"/>
          <w:i/>
          <w:iCs/>
          <w:color w:val="auto"/>
          <w:sz w:val="16"/>
          <w:szCs w:val="16"/>
        </w:rPr>
      </w:pPr>
      <w:bookmarkStart w:id="156" w:name="_Ref19217470"/>
      <w:bookmarkStart w:id="157" w:name="_Toc21102448"/>
      <w:bookmarkStart w:id="158" w:name="_Toc28188040"/>
      <w:r w:rsidRPr="00ED4D49">
        <w:rPr>
          <w:b w:val="0"/>
          <w:bCs w:val="0"/>
          <w:i/>
          <w:iCs/>
          <w:color w:val="1F3864"/>
          <w:sz w:val="16"/>
          <w:szCs w:val="16"/>
        </w:rPr>
        <w:t xml:space="preserve">Table </w:t>
      </w:r>
      <w:r w:rsidRPr="00ED4D49">
        <w:rPr>
          <w:b w:val="0"/>
          <w:bCs w:val="0"/>
          <w:i/>
          <w:iCs/>
          <w:color w:val="1F3864"/>
          <w:sz w:val="16"/>
          <w:szCs w:val="16"/>
        </w:rPr>
        <w:fldChar w:fldCharType="begin"/>
      </w:r>
      <w:r w:rsidRPr="00ED4D49">
        <w:rPr>
          <w:b w:val="0"/>
          <w:bCs w:val="0"/>
          <w:i/>
          <w:iCs/>
          <w:color w:val="1F3864"/>
          <w:sz w:val="16"/>
          <w:szCs w:val="16"/>
        </w:rPr>
        <w:instrText xml:space="preserve"> SEQ Table \* ARABIC </w:instrText>
      </w:r>
      <w:r w:rsidRPr="00ED4D49">
        <w:rPr>
          <w:b w:val="0"/>
          <w:bCs w:val="0"/>
          <w:i/>
          <w:iCs/>
          <w:color w:val="1F3864"/>
          <w:sz w:val="16"/>
          <w:szCs w:val="16"/>
        </w:rPr>
        <w:fldChar w:fldCharType="separate"/>
      </w:r>
      <w:r w:rsidR="00F60130" w:rsidRPr="00ED4D49">
        <w:rPr>
          <w:b w:val="0"/>
          <w:bCs w:val="0"/>
          <w:i/>
          <w:iCs/>
          <w:noProof/>
          <w:color w:val="1F3864"/>
          <w:sz w:val="16"/>
          <w:szCs w:val="16"/>
        </w:rPr>
        <w:t>15</w:t>
      </w:r>
      <w:r w:rsidRPr="00ED4D49">
        <w:rPr>
          <w:b w:val="0"/>
          <w:bCs w:val="0"/>
          <w:i/>
          <w:iCs/>
          <w:color w:val="1F3864"/>
          <w:sz w:val="16"/>
          <w:szCs w:val="16"/>
        </w:rPr>
        <w:fldChar w:fldCharType="end"/>
      </w:r>
      <w:bookmarkEnd w:id="156"/>
      <w:r w:rsidRPr="00ED4D49">
        <w:rPr>
          <w:b w:val="0"/>
          <w:bCs w:val="0"/>
          <w:i/>
          <w:iCs/>
          <w:color w:val="1F3864"/>
          <w:sz w:val="16"/>
          <w:szCs w:val="16"/>
        </w:rPr>
        <w:t xml:space="preserve">: </w:t>
      </w:r>
      <w:r w:rsidRPr="00ED4D49">
        <w:rPr>
          <w:b w:val="0"/>
          <w:bCs w:val="0"/>
          <w:i/>
          <w:iCs/>
          <w:color w:val="auto"/>
          <w:sz w:val="16"/>
          <w:szCs w:val="16"/>
        </w:rPr>
        <w:t>Poverty and Inequity Indicators in BiH, 2011 and 2015</w:t>
      </w:r>
      <w:bookmarkEnd w:id="157"/>
      <w:bookmarkEnd w:id="158"/>
    </w:p>
    <w:tbl>
      <w:tblPr>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3064"/>
        <w:gridCol w:w="3063"/>
        <w:gridCol w:w="2883"/>
      </w:tblGrid>
      <w:tr w:rsidR="00A67FEE" w:rsidRPr="00ED4D49" w14:paraId="51B96BC5" w14:textId="77777777" w:rsidTr="00A67FEE">
        <w:tc>
          <w:tcPr>
            <w:tcW w:w="1700" w:type="pct"/>
            <w:shd w:val="clear" w:color="auto" w:fill="auto"/>
          </w:tcPr>
          <w:p w14:paraId="097F0B8A" w14:textId="77777777" w:rsidR="00A67FEE" w:rsidRPr="00ED4D49" w:rsidRDefault="00A67FEE" w:rsidP="00A67FEE">
            <w:pPr>
              <w:spacing w:before="0" w:after="0"/>
              <w:ind w:left="144" w:right="144"/>
              <w:jc w:val="both"/>
              <w:rPr>
                <w:rFonts w:cs="Calibri"/>
                <w:color w:val="1F497D"/>
                <w:sz w:val="16"/>
                <w:szCs w:val="16"/>
                <w:lang w:val="en-US"/>
              </w:rPr>
            </w:pPr>
          </w:p>
        </w:tc>
        <w:tc>
          <w:tcPr>
            <w:tcW w:w="1700" w:type="pct"/>
            <w:shd w:val="clear" w:color="auto" w:fill="auto"/>
          </w:tcPr>
          <w:p w14:paraId="69EA688C" w14:textId="77777777" w:rsidR="00A67FEE" w:rsidRPr="00ED4D49" w:rsidRDefault="00A67FEE" w:rsidP="00A67FEE">
            <w:pPr>
              <w:spacing w:before="0" w:after="0"/>
              <w:ind w:left="144" w:right="144"/>
              <w:jc w:val="right"/>
              <w:rPr>
                <w:rFonts w:cs="Calibri"/>
                <w:color w:val="1F497D"/>
                <w:sz w:val="16"/>
                <w:szCs w:val="16"/>
                <w:lang w:val="en-US"/>
              </w:rPr>
            </w:pPr>
            <w:r w:rsidRPr="00ED4D49">
              <w:rPr>
                <w:rFonts w:cs="Calibri"/>
                <w:color w:val="1F497D"/>
                <w:sz w:val="16"/>
                <w:szCs w:val="16"/>
                <w:lang w:val="en-US"/>
              </w:rPr>
              <w:t>2011</w:t>
            </w:r>
          </w:p>
        </w:tc>
        <w:tc>
          <w:tcPr>
            <w:tcW w:w="1600" w:type="pct"/>
            <w:shd w:val="clear" w:color="auto" w:fill="auto"/>
          </w:tcPr>
          <w:p w14:paraId="60B9C4A2" w14:textId="77777777" w:rsidR="00A67FEE" w:rsidRPr="00ED4D49" w:rsidRDefault="00A67FEE" w:rsidP="00A67FEE">
            <w:pPr>
              <w:spacing w:before="0" w:after="0"/>
              <w:ind w:left="144" w:right="144"/>
              <w:jc w:val="right"/>
              <w:rPr>
                <w:rFonts w:cs="Calibri"/>
                <w:color w:val="1F497D"/>
                <w:sz w:val="16"/>
                <w:szCs w:val="16"/>
                <w:lang w:val="en-US"/>
              </w:rPr>
            </w:pPr>
            <w:r w:rsidRPr="00ED4D49">
              <w:rPr>
                <w:rFonts w:cs="Calibri"/>
                <w:color w:val="1F497D"/>
                <w:sz w:val="16"/>
                <w:szCs w:val="16"/>
                <w:lang w:val="en-US"/>
              </w:rPr>
              <w:t>2015</w:t>
            </w:r>
          </w:p>
        </w:tc>
      </w:tr>
      <w:tr w:rsidR="00A67FEE" w:rsidRPr="00ED4D49" w14:paraId="69D8C7DA" w14:textId="77777777" w:rsidTr="00A67FEE">
        <w:tc>
          <w:tcPr>
            <w:tcW w:w="1700" w:type="pct"/>
            <w:shd w:val="clear" w:color="auto" w:fill="auto"/>
          </w:tcPr>
          <w:p w14:paraId="51683424" w14:textId="77777777" w:rsidR="00A67FEE" w:rsidRPr="00ED4D49" w:rsidRDefault="00A67FEE" w:rsidP="00A67FEE">
            <w:pPr>
              <w:spacing w:before="0" w:after="0"/>
              <w:ind w:left="144" w:right="144"/>
              <w:jc w:val="right"/>
              <w:rPr>
                <w:rFonts w:cs="Calibri"/>
                <w:sz w:val="16"/>
                <w:szCs w:val="16"/>
                <w:lang w:val="en-US"/>
              </w:rPr>
            </w:pPr>
            <w:r w:rsidRPr="00ED4D49">
              <w:rPr>
                <w:rFonts w:cs="Calibri"/>
                <w:iCs/>
                <w:sz w:val="16"/>
                <w:szCs w:val="16"/>
                <w:lang w:val="en-US"/>
              </w:rPr>
              <w:t xml:space="preserve">Number of relatively poor households </w:t>
            </w:r>
          </w:p>
        </w:tc>
        <w:tc>
          <w:tcPr>
            <w:tcW w:w="1700" w:type="pct"/>
            <w:shd w:val="clear" w:color="auto" w:fill="auto"/>
          </w:tcPr>
          <w:p w14:paraId="25A51F2C" w14:textId="77777777" w:rsidR="00A67FEE" w:rsidRPr="00ED4D49" w:rsidRDefault="00A67FEE" w:rsidP="00A67FEE">
            <w:pPr>
              <w:spacing w:before="0" w:after="0"/>
              <w:ind w:left="144" w:right="144"/>
              <w:jc w:val="right"/>
              <w:rPr>
                <w:rFonts w:cs="Calibri"/>
                <w:iCs/>
                <w:sz w:val="16"/>
                <w:szCs w:val="16"/>
                <w:lang w:val="en-US"/>
              </w:rPr>
            </w:pPr>
            <w:r w:rsidRPr="00ED4D49">
              <w:rPr>
                <w:rFonts w:cs="Calibri"/>
                <w:iCs/>
                <w:sz w:val="16"/>
                <w:szCs w:val="16"/>
                <w:lang w:val="en-US"/>
              </w:rPr>
              <w:t>177,277</w:t>
            </w:r>
          </w:p>
        </w:tc>
        <w:tc>
          <w:tcPr>
            <w:tcW w:w="1600" w:type="pct"/>
            <w:shd w:val="clear" w:color="auto" w:fill="auto"/>
          </w:tcPr>
          <w:p w14:paraId="4AA9A982" w14:textId="77777777" w:rsidR="00A67FEE" w:rsidRPr="00ED4D49" w:rsidRDefault="00A67FEE" w:rsidP="00A67FEE">
            <w:pPr>
              <w:spacing w:before="0" w:after="0"/>
              <w:ind w:left="144" w:right="144"/>
              <w:jc w:val="right"/>
              <w:rPr>
                <w:rFonts w:cs="Calibri"/>
                <w:iCs/>
                <w:sz w:val="16"/>
                <w:szCs w:val="16"/>
                <w:lang w:val="en-US"/>
              </w:rPr>
            </w:pPr>
            <w:r w:rsidRPr="00ED4D49">
              <w:rPr>
                <w:rFonts w:cs="Calibri"/>
                <w:iCs/>
                <w:sz w:val="16"/>
                <w:szCs w:val="16"/>
                <w:lang w:val="en-US"/>
              </w:rPr>
              <w:t>170,619</w:t>
            </w:r>
          </w:p>
        </w:tc>
      </w:tr>
      <w:tr w:rsidR="00A67FEE" w:rsidRPr="00ED4D49" w14:paraId="635BD978" w14:textId="77777777" w:rsidTr="00A67FEE">
        <w:tc>
          <w:tcPr>
            <w:tcW w:w="1700" w:type="pct"/>
            <w:shd w:val="clear" w:color="auto" w:fill="auto"/>
          </w:tcPr>
          <w:p w14:paraId="3C77D80D" w14:textId="77777777" w:rsidR="00A67FEE" w:rsidRPr="00ED4D49" w:rsidRDefault="00A67FEE" w:rsidP="00A67FEE">
            <w:pPr>
              <w:spacing w:before="0" w:after="0"/>
              <w:ind w:left="144" w:right="144"/>
              <w:jc w:val="right"/>
              <w:rPr>
                <w:rFonts w:cs="Calibri"/>
                <w:iCs/>
                <w:sz w:val="16"/>
                <w:szCs w:val="16"/>
                <w:lang w:val="en-US"/>
              </w:rPr>
            </w:pPr>
            <w:r w:rsidRPr="00ED4D49">
              <w:rPr>
                <w:rFonts w:cs="Calibri"/>
                <w:iCs/>
                <w:sz w:val="16"/>
                <w:szCs w:val="16"/>
                <w:lang w:val="en-US"/>
              </w:rPr>
              <w:t>Number of relatively poor individuals</w:t>
            </w:r>
          </w:p>
        </w:tc>
        <w:tc>
          <w:tcPr>
            <w:tcW w:w="1700" w:type="pct"/>
            <w:shd w:val="clear" w:color="auto" w:fill="auto"/>
          </w:tcPr>
          <w:p w14:paraId="5CA84D1A" w14:textId="77777777" w:rsidR="00A67FEE" w:rsidRPr="00ED4D49" w:rsidRDefault="00A67FEE" w:rsidP="00A67FEE">
            <w:pPr>
              <w:spacing w:before="0" w:after="0"/>
              <w:ind w:left="144" w:right="144"/>
              <w:jc w:val="right"/>
              <w:rPr>
                <w:rFonts w:cs="Calibri"/>
                <w:iCs/>
                <w:sz w:val="16"/>
                <w:szCs w:val="16"/>
                <w:lang w:val="en-US"/>
              </w:rPr>
            </w:pPr>
            <w:r w:rsidRPr="00ED4D49">
              <w:rPr>
                <w:rFonts w:cs="Calibri"/>
                <w:iCs/>
                <w:sz w:val="16"/>
                <w:szCs w:val="16"/>
                <w:lang w:val="en-US"/>
              </w:rPr>
              <w:t>566,025</w:t>
            </w:r>
          </w:p>
        </w:tc>
        <w:tc>
          <w:tcPr>
            <w:tcW w:w="1600" w:type="pct"/>
            <w:shd w:val="clear" w:color="auto" w:fill="auto"/>
          </w:tcPr>
          <w:p w14:paraId="3FA2CB3E" w14:textId="77777777" w:rsidR="00A67FEE" w:rsidRPr="00ED4D49" w:rsidRDefault="00A67FEE" w:rsidP="00A67FEE">
            <w:pPr>
              <w:spacing w:before="0" w:after="0"/>
              <w:ind w:left="144" w:right="144"/>
              <w:jc w:val="right"/>
              <w:rPr>
                <w:rFonts w:cs="Calibri"/>
                <w:iCs/>
                <w:sz w:val="16"/>
                <w:szCs w:val="16"/>
                <w:lang w:val="en-US"/>
              </w:rPr>
            </w:pPr>
            <w:r w:rsidRPr="00ED4D49">
              <w:rPr>
                <w:rFonts w:cs="Calibri"/>
                <w:iCs/>
                <w:sz w:val="16"/>
                <w:szCs w:val="16"/>
                <w:lang w:val="en-US"/>
              </w:rPr>
              <w:t>505,816</w:t>
            </w:r>
          </w:p>
        </w:tc>
      </w:tr>
      <w:tr w:rsidR="00A67FEE" w:rsidRPr="00ED4D49" w14:paraId="1E044BEB" w14:textId="77777777" w:rsidTr="00A67FEE">
        <w:tc>
          <w:tcPr>
            <w:tcW w:w="1700" w:type="pct"/>
            <w:shd w:val="clear" w:color="auto" w:fill="auto"/>
          </w:tcPr>
          <w:p w14:paraId="55B2C987" w14:textId="77777777" w:rsidR="00A67FEE" w:rsidRPr="00ED4D49" w:rsidRDefault="00A67FEE" w:rsidP="00A67FEE">
            <w:pPr>
              <w:spacing w:before="0" w:after="0"/>
              <w:ind w:left="144" w:right="144"/>
              <w:jc w:val="right"/>
              <w:rPr>
                <w:rFonts w:cs="Calibri"/>
                <w:iCs/>
                <w:sz w:val="16"/>
                <w:szCs w:val="16"/>
                <w:lang w:val="en-US"/>
              </w:rPr>
            </w:pPr>
            <w:r w:rsidRPr="00ED4D49">
              <w:rPr>
                <w:rFonts w:cs="Calibri"/>
                <w:iCs/>
                <w:sz w:val="16"/>
                <w:szCs w:val="16"/>
                <w:lang w:val="en-US"/>
              </w:rPr>
              <w:t xml:space="preserve">Relative poverty rate </w:t>
            </w:r>
          </w:p>
        </w:tc>
        <w:tc>
          <w:tcPr>
            <w:tcW w:w="1700" w:type="pct"/>
            <w:shd w:val="clear" w:color="auto" w:fill="auto"/>
          </w:tcPr>
          <w:p w14:paraId="46EA2053" w14:textId="77777777" w:rsidR="00A67FEE" w:rsidRPr="00ED4D49" w:rsidRDefault="00A67FEE" w:rsidP="00A67FEE">
            <w:pPr>
              <w:spacing w:before="0" w:after="0"/>
              <w:ind w:left="144" w:right="144"/>
              <w:jc w:val="right"/>
              <w:rPr>
                <w:rFonts w:cs="Calibri"/>
                <w:iCs/>
                <w:sz w:val="16"/>
                <w:szCs w:val="16"/>
                <w:lang w:val="en-US"/>
              </w:rPr>
            </w:pPr>
            <w:r w:rsidRPr="00ED4D49">
              <w:rPr>
                <w:rFonts w:cs="Calibri"/>
                <w:iCs/>
                <w:sz w:val="16"/>
                <w:szCs w:val="16"/>
                <w:lang w:val="en-US"/>
              </w:rPr>
              <w:t>17.9%</w:t>
            </w:r>
          </w:p>
        </w:tc>
        <w:tc>
          <w:tcPr>
            <w:tcW w:w="1600" w:type="pct"/>
            <w:shd w:val="clear" w:color="auto" w:fill="auto"/>
          </w:tcPr>
          <w:p w14:paraId="1EE6F9A7" w14:textId="77777777" w:rsidR="00A67FEE" w:rsidRPr="00ED4D49" w:rsidRDefault="00A67FEE" w:rsidP="00A67FEE">
            <w:pPr>
              <w:spacing w:before="0" w:after="0"/>
              <w:ind w:left="144" w:right="144"/>
              <w:jc w:val="right"/>
              <w:rPr>
                <w:rFonts w:cs="Calibri"/>
                <w:iCs/>
                <w:sz w:val="16"/>
                <w:szCs w:val="16"/>
                <w:lang w:val="en-US"/>
              </w:rPr>
            </w:pPr>
            <w:r w:rsidRPr="00ED4D49">
              <w:rPr>
                <w:rFonts w:cs="Calibri"/>
                <w:iCs/>
                <w:sz w:val="16"/>
                <w:szCs w:val="16"/>
                <w:lang w:val="en-US"/>
              </w:rPr>
              <w:t>16.9%</w:t>
            </w:r>
          </w:p>
        </w:tc>
      </w:tr>
      <w:tr w:rsidR="00A67FEE" w:rsidRPr="00ED4D49" w14:paraId="3119BC9A" w14:textId="77777777" w:rsidTr="00A67FEE">
        <w:tc>
          <w:tcPr>
            <w:tcW w:w="1700" w:type="pct"/>
            <w:shd w:val="clear" w:color="auto" w:fill="auto"/>
          </w:tcPr>
          <w:p w14:paraId="25E13E74" w14:textId="77777777" w:rsidR="00A67FEE" w:rsidRPr="00ED4D49" w:rsidRDefault="00A67FEE" w:rsidP="00A67FEE">
            <w:pPr>
              <w:spacing w:before="0" w:after="0"/>
              <w:ind w:left="144" w:right="144"/>
              <w:jc w:val="right"/>
              <w:rPr>
                <w:rFonts w:cs="Calibri"/>
                <w:iCs/>
                <w:sz w:val="16"/>
                <w:szCs w:val="16"/>
                <w:lang w:val="en-US"/>
              </w:rPr>
            </w:pPr>
            <w:r w:rsidRPr="00ED4D49">
              <w:rPr>
                <w:rFonts w:cs="Calibri"/>
                <w:iCs/>
                <w:sz w:val="16"/>
                <w:szCs w:val="16"/>
                <w:lang w:val="en-US"/>
              </w:rPr>
              <w:t xml:space="preserve">Relative poverty line for single-member household </w:t>
            </w:r>
          </w:p>
        </w:tc>
        <w:tc>
          <w:tcPr>
            <w:tcW w:w="1700" w:type="pct"/>
            <w:shd w:val="clear" w:color="auto" w:fill="auto"/>
          </w:tcPr>
          <w:p w14:paraId="4D25B7F0" w14:textId="77777777" w:rsidR="00A67FEE" w:rsidRPr="00ED4D49" w:rsidRDefault="00A67FEE" w:rsidP="00A67FEE">
            <w:pPr>
              <w:spacing w:before="0" w:after="0"/>
              <w:ind w:left="144" w:right="144"/>
              <w:jc w:val="right"/>
              <w:rPr>
                <w:rFonts w:cs="Calibri"/>
                <w:iCs/>
                <w:sz w:val="16"/>
                <w:szCs w:val="16"/>
                <w:lang w:val="en-US"/>
              </w:rPr>
            </w:pPr>
            <w:r w:rsidRPr="00ED4D49">
              <w:rPr>
                <w:rFonts w:cs="Calibri"/>
                <w:iCs/>
                <w:sz w:val="16"/>
                <w:szCs w:val="16"/>
                <w:lang w:val="en-US"/>
              </w:rPr>
              <w:t>BAM 416</w:t>
            </w:r>
          </w:p>
        </w:tc>
        <w:tc>
          <w:tcPr>
            <w:tcW w:w="1600" w:type="pct"/>
            <w:shd w:val="clear" w:color="auto" w:fill="auto"/>
          </w:tcPr>
          <w:p w14:paraId="3B0E5D30" w14:textId="77777777" w:rsidR="00A67FEE" w:rsidRPr="00ED4D49" w:rsidRDefault="00A67FEE" w:rsidP="00A67FEE">
            <w:pPr>
              <w:spacing w:before="0" w:after="0"/>
              <w:ind w:left="144" w:right="144"/>
              <w:jc w:val="right"/>
              <w:rPr>
                <w:rFonts w:cs="Calibri"/>
                <w:iCs/>
                <w:sz w:val="16"/>
                <w:szCs w:val="16"/>
                <w:lang w:val="en-US"/>
              </w:rPr>
            </w:pPr>
            <w:r w:rsidRPr="00ED4D49">
              <w:rPr>
                <w:rFonts w:cs="Calibri"/>
                <w:iCs/>
                <w:sz w:val="16"/>
                <w:szCs w:val="16"/>
                <w:lang w:val="en-US"/>
              </w:rPr>
              <w:t xml:space="preserve">BAM 389 </w:t>
            </w:r>
          </w:p>
        </w:tc>
      </w:tr>
      <w:tr w:rsidR="00A67FEE" w:rsidRPr="00ED4D49" w14:paraId="40A9550F" w14:textId="77777777" w:rsidTr="00A67FEE">
        <w:tc>
          <w:tcPr>
            <w:tcW w:w="1700" w:type="pct"/>
            <w:shd w:val="clear" w:color="auto" w:fill="auto"/>
          </w:tcPr>
          <w:p w14:paraId="43652255" w14:textId="77777777" w:rsidR="00A67FEE" w:rsidRPr="00ED4D49" w:rsidRDefault="00A67FEE" w:rsidP="00A67FEE">
            <w:pPr>
              <w:spacing w:before="0" w:after="0"/>
              <w:ind w:left="144" w:right="144"/>
              <w:jc w:val="right"/>
              <w:rPr>
                <w:rFonts w:cs="Calibri"/>
                <w:iCs/>
                <w:sz w:val="16"/>
                <w:szCs w:val="16"/>
                <w:lang w:val="en-US"/>
              </w:rPr>
            </w:pPr>
            <w:r w:rsidRPr="00ED4D49">
              <w:rPr>
                <w:rFonts w:cs="Calibri"/>
                <w:iCs/>
                <w:sz w:val="16"/>
                <w:szCs w:val="16"/>
                <w:lang w:val="en-US"/>
              </w:rPr>
              <w:t xml:space="preserve">Absolute poverty rate </w:t>
            </w:r>
          </w:p>
        </w:tc>
        <w:tc>
          <w:tcPr>
            <w:tcW w:w="1700" w:type="pct"/>
            <w:shd w:val="clear" w:color="auto" w:fill="auto"/>
          </w:tcPr>
          <w:p w14:paraId="19E2EE2C" w14:textId="77777777" w:rsidR="00A67FEE" w:rsidRPr="00ED4D49" w:rsidRDefault="00A67FEE" w:rsidP="00A67FEE">
            <w:pPr>
              <w:spacing w:before="0" w:after="0"/>
              <w:ind w:left="144" w:right="144"/>
              <w:jc w:val="right"/>
              <w:rPr>
                <w:rFonts w:cs="Calibri"/>
                <w:iCs/>
                <w:sz w:val="16"/>
                <w:szCs w:val="16"/>
                <w:lang w:val="en-US"/>
              </w:rPr>
            </w:pPr>
            <w:r w:rsidRPr="00ED4D49">
              <w:rPr>
                <w:rFonts w:cs="Calibri"/>
                <w:iCs/>
                <w:sz w:val="16"/>
                <w:szCs w:val="16"/>
                <w:lang w:val="en-US"/>
              </w:rPr>
              <w:t>15%</w:t>
            </w:r>
          </w:p>
        </w:tc>
        <w:tc>
          <w:tcPr>
            <w:tcW w:w="1600" w:type="pct"/>
            <w:shd w:val="clear" w:color="auto" w:fill="auto"/>
          </w:tcPr>
          <w:p w14:paraId="31D7D8EA" w14:textId="77777777" w:rsidR="00A67FEE" w:rsidRPr="00ED4D49" w:rsidRDefault="00A67FEE" w:rsidP="00A67FEE">
            <w:pPr>
              <w:spacing w:before="0" w:after="0"/>
              <w:ind w:left="144" w:right="144"/>
              <w:jc w:val="right"/>
              <w:rPr>
                <w:rFonts w:cs="Calibri"/>
                <w:iCs/>
                <w:sz w:val="16"/>
                <w:szCs w:val="16"/>
                <w:lang w:val="en-US"/>
              </w:rPr>
            </w:pPr>
            <w:r w:rsidRPr="00ED4D49">
              <w:rPr>
                <w:rFonts w:cs="Calibri"/>
                <w:iCs/>
                <w:sz w:val="16"/>
                <w:szCs w:val="16"/>
                <w:lang w:val="en-US"/>
              </w:rPr>
              <w:t>-</w:t>
            </w:r>
          </w:p>
        </w:tc>
      </w:tr>
      <w:tr w:rsidR="00A67FEE" w:rsidRPr="00ED4D49" w14:paraId="6D6884F6" w14:textId="77777777" w:rsidTr="00A67FEE">
        <w:tc>
          <w:tcPr>
            <w:tcW w:w="1700" w:type="pct"/>
            <w:shd w:val="clear" w:color="auto" w:fill="auto"/>
          </w:tcPr>
          <w:p w14:paraId="3B31084D" w14:textId="77777777" w:rsidR="00A67FEE" w:rsidRPr="00ED4D49" w:rsidRDefault="00A67FEE" w:rsidP="00A67FEE">
            <w:pPr>
              <w:spacing w:before="0" w:after="0"/>
              <w:ind w:left="144" w:right="144"/>
              <w:jc w:val="right"/>
              <w:rPr>
                <w:rFonts w:cs="Calibri"/>
                <w:iCs/>
                <w:sz w:val="16"/>
                <w:szCs w:val="16"/>
                <w:lang w:val="en-US"/>
              </w:rPr>
            </w:pPr>
            <w:r w:rsidRPr="00ED4D49">
              <w:rPr>
                <w:rFonts w:cs="Calibri"/>
                <w:iCs/>
                <w:sz w:val="16"/>
                <w:szCs w:val="16"/>
                <w:lang w:val="en-US"/>
              </w:rPr>
              <w:t xml:space="preserve">Poverty gap </w:t>
            </w:r>
          </w:p>
        </w:tc>
        <w:tc>
          <w:tcPr>
            <w:tcW w:w="1700" w:type="pct"/>
            <w:shd w:val="clear" w:color="auto" w:fill="auto"/>
          </w:tcPr>
          <w:p w14:paraId="6318425E" w14:textId="77777777" w:rsidR="00A67FEE" w:rsidRPr="00ED4D49" w:rsidRDefault="00A67FEE" w:rsidP="00A67FEE">
            <w:pPr>
              <w:spacing w:before="0" w:after="0"/>
              <w:ind w:left="144" w:right="144"/>
              <w:jc w:val="right"/>
              <w:rPr>
                <w:rFonts w:cs="Calibri"/>
                <w:iCs/>
                <w:sz w:val="16"/>
                <w:szCs w:val="16"/>
                <w:lang w:val="en-US"/>
              </w:rPr>
            </w:pPr>
            <w:r w:rsidRPr="00ED4D49">
              <w:rPr>
                <w:rFonts w:cs="Calibri"/>
                <w:iCs/>
                <w:sz w:val="16"/>
                <w:szCs w:val="16"/>
                <w:lang w:val="en-US"/>
              </w:rPr>
              <w:t>25.2</w:t>
            </w:r>
          </w:p>
        </w:tc>
        <w:tc>
          <w:tcPr>
            <w:tcW w:w="1600" w:type="pct"/>
            <w:shd w:val="clear" w:color="auto" w:fill="auto"/>
          </w:tcPr>
          <w:p w14:paraId="34B70C88" w14:textId="77777777" w:rsidR="00A67FEE" w:rsidRPr="00ED4D49" w:rsidRDefault="00A67FEE" w:rsidP="00A67FEE">
            <w:pPr>
              <w:spacing w:before="0" w:after="0"/>
              <w:ind w:left="144" w:right="144"/>
              <w:jc w:val="right"/>
              <w:rPr>
                <w:rFonts w:cs="Calibri"/>
                <w:iCs/>
                <w:sz w:val="16"/>
                <w:szCs w:val="16"/>
                <w:lang w:val="en-US"/>
              </w:rPr>
            </w:pPr>
            <w:r w:rsidRPr="00ED4D49">
              <w:rPr>
                <w:rFonts w:cs="Calibri"/>
                <w:iCs/>
                <w:sz w:val="16"/>
                <w:szCs w:val="16"/>
                <w:lang w:val="en-US"/>
              </w:rPr>
              <w:t>24.6</w:t>
            </w:r>
          </w:p>
        </w:tc>
      </w:tr>
    </w:tbl>
    <w:p w14:paraId="5DC1BD1D" w14:textId="77777777" w:rsidR="00A67FEE" w:rsidRPr="00ED4D49" w:rsidRDefault="00A67FEE" w:rsidP="00A67FEE">
      <w:pPr>
        <w:autoSpaceDE w:val="0"/>
        <w:autoSpaceDN w:val="0"/>
        <w:adjustRightInd w:val="0"/>
        <w:spacing w:before="0" w:after="0"/>
        <w:jc w:val="both"/>
        <w:rPr>
          <w:rFonts w:cs="Calibri"/>
          <w:i/>
          <w:sz w:val="16"/>
          <w:lang w:val="en-US"/>
        </w:rPr>
      </w:pPr>
      <w:r w:rsidRPr="00ED4D49">
        <w:rPr>
          <w:rFonts w:cs="Calibri"/>
          <w:i/>
          <w:sz w:val="16"/>
          <w:szCs w:val="20"/>
          <w:lang w:val="en-US" w:eastAsia="hr-HR"/>
        </w:rPr>
        <w:t xml:space="preserve">Source: BiH Statistics Agency </w:t>
      </w:r>
    </w:p>
    <w:p w14:paraId="6C80E32A" w14:textId="77777777" w:rsidR="00A67FEE" w:rsidRPr="00ED4D49" w:rsidRDefault="00A67FEE" w:rsidP="00A67FEE">
      <w:pPr>
        <w:autoSpaceDE w:val="0"/>
        <w:autoSpaceDN w:val="0"/>
        <w:adjustRightInd w:val="0"/>
        <w:spacing w:before="0" w:after="0"/>
        <w:jc w:val="both"/>
        <w:rPr>
          <w:rFonts w:cs="Calibri"/>
          <w:szCs w:val="20"/>
          <w:lang w:val="en-US" w:eastAsia="hr-HR"/>
        </w:rPr>
      </w:pPr>
    </w:p>
    <w:p w14:paraId="2797B619" w14:textId="435CC2C7" w:rsidR="00A67FEE" w:rsidRPr="00ED4D49" w:rsidRDefault="00A67FEE" w:rsidP="00A67FEE">
      <w:pPr>
        <w:spacing w:before="0"/>
        <w:jc w:val="both"/>
        <w:rPr>
          <w:color w:val="000000"/>
          <w:szCs w:val="23"/>
          <w:lang w:val="en-US"/>
        </w:rPr>
      </w:pPr>
      <w:r w:rsidRPr="00ED4D49">
        <w:rPr>
          <w:color w:val="000000"/>
          <w:szCs w:val="23"/>
          <w:lang w:val="en-US"/>
        </w:rPr>
        <w:t xml:space="preserve">The poverty rate for </w:t>
      </w:r>
      <w:r w:rsidRPr="00ED4D49">
        <w:rPr>
          <w:rFonts w:cs="Calibri"/>
          <w:szCs w:val="20"/>
          <w:lang w:val="en-US"/>
        </w:rPr>
        <w:t xml:space="preserve">the </w:t>
      </w:r>
      <w:r w:rsidRPr="00ED4D49">
        <w:rPr>
          <w:color w:val="000000"/>
          <w:szCs w:val="23"/>
          <w:lang w:val="en-US"/>
        </w:rPr>
        <w:t>elderly (65+) and children (&lt;15</w:t>
      </w:r>
      <w:r w:rsidR="00C6478C" w:rsidRPr="00ED4D49">
        <w:rPr>
          <w:color w:val="000000"/>
          <w:szCs w:val="23"/>
          <w:lang w:val="en-US"/>
        </w:rPr>
        <w:t xml:space="preserve"> </w:t>
      </w:r>
      <w:r w:rsidRPr="00ED4D49">
        <w:rPr>
          <w:color w:val="000000"/>
          <w:szCs w:val="23"/>
          <w:lang w:val="en-US"/>
        </w:rPr>
        <w:t>years)</w:t>
      </w:r>
      <w:r w:rsidR="00C6478C" w:rsidRPr="00ED4D49">
        <w:rPr>
          <w:color w:val="000000"/>
          <w:szCs w:val="23"/>
          <w:lang w:val="en-US"/>
        </w:rPr>
        <w:t xml:space="preserve"> </w:t>
      </w:r>
      <w:r w:rsidRPr="00ED4D49">
        <w:rPr>
          <w:color w:val="000000"/>
          <w:szCs w:val="23"/>
          <w:lang w:val="en-US"/>
        </w:rPr>
        <w:t>is higher than</w:t>
      </w:r>
      <w:r w:rsidRPr="00ED4D49">
        <w:rPr>
          <w:rFonts w:cs="Calibri"/>
          <w:szCs w:val="20"/>
          <w:lang w:val="en-US"/>
        </w:rPr>
        <w:t xml:space="preserve"> the</w:t>
      </w:r>
      <w:r w:rsidRPr="00ED4D49">
        <w:rPr>
          <w:color w:val="000000"/>
          <w:szCs w:val="23"/>
          <w:lang w:val="en-US"/>
        </w:rPr>
        <w:t xml:space="preserve"> country average. The elderly poverty rate is 19.6%, and</w:t>
      </w:r>
      <w:r w:rsidRPr="00ED4D49">
        <w:rPr>
          <w:rFonts w:cs="Calibri"/>
          <w:szCs w:val="20"/>
          <w:lang w:val="en-US"/>
        </w:rPr>
        <w:t xml:space="preserve"> the</w:t>
      </w:r>
      <w:r w:rsidRPr="00ED4D49">
        <w:rPr>
          <w:color w:val="000000"/>
          <w:szCs w:val="23"/>
          <w:lang w:val="en-US"/>
        </w:rPr>
        <w:t xml:space="preserve"> share of children who live in relatively poor households is 18.7%. </w:t>
      </w:r>
    </w:p>
    <w:p w14:paraId="0231B008" w14:textId="77777777" w:rsidR="00A67FEE" w:rsidRPr="00ED4D49" w:rsidRDefault="00A67FEE" w:rsidP="0063606C">
      <w:pPr>
        <w:pStyle w:val="Heading2"/>
      </w:pPr>
      <w:bookmarkStart w:id="159" w:name="_Toc20858936"/>
      <w:bookmarkStart w:id="160" w:name="_Toc21102411"/>
      <w:bookmarkStart w:id="161" w:name="_Toc31811082"/>
      <w:r w:rsidRPr="00ED4D49">
        <w:t>Labor Conditions</w:t>
      </w:r>
      <w:bookmarkEnd w:id="159"/>
      <w:bookmarkEnd w:id="160"/>
      <w:bookmarkEnd w:id="161"/>
    </w:p>
    <w:p w14:paraId="473AD94E" w14:textId="692BFCA7" w:rsidR="00A67FEE" w:rsidRPr="00ED4D49" w:rsidRDefault="00A67FEE" w:rsidP="00A67FEE">
      <w:pPr>
        <w:jc w:val="both"/>
        <w:rPr>
          <w:lang w:val="en-US"/>
        </w:rPr>
      </w:pPr>
      <w:r w:rsidRPr="00ED4D49">
        <w:rPr>
          <w:lang w:val="en-US"/>
        </w:rPr>
        <w:t>The share of informal employment in total employment is relatively high (30%)</w:t>
      </w:r>
      <w:r w:rsidRPr="00ED4D49">
        <w:rPr>
          <w:rStyle w:val="FootnoteReference"/>
          <w:lang w:val="en-US"/>
        </w:rPr>
        <w:footnoteReference w:id="32"/>
      </w:r>
      <w:r w:rsidRPr="00ED4D49">
        <w:rPr>
          <w:lang w:val="en-US"/>
        </w:rPr>
        <w:t xml:space="preserve">. Informal labor is most common among the young, old, and unskilled workers and in the agricultural sector. In addition, many self-employed are informally employed. The Association of Independent Trade Unions of BiH has stated that the most common violations of labor rights include not allowing workers to use annual leave and not concluding employment contracts for an unspecified period with workers (by giving preference to fixed-term employment contracts). </w:t>
      </w:r>
    </w:p>
    <w:p w14:paraId="37AF5A3C" w14:textId="77777777" w:rsidR="00A67FEE" w:rsidRPr="00ED4D49" w:rsidRDefault="00A67FEE" w:rsidP="00A67FEE">
      <w:pPr>
        <w:jc w:val="both"/>
        <w:rPr>
          <w:lang w:val="en-US"/>
        </w:rPr>
      </w:pPr>
      <w:r w:rsidRPr="00ED4D49">
        <w:rPr>
          <w:lang w:val="en-US"/>
        </w:rPr>
        <w:t xml:space="preserve">In FBiH, an estimated 20% of all labor relations are without a legal basis, meaning that labor is performed without signing an employment contract. According to the annual report for 2018 published by the Federal Directorate for Inspection Affairs, 2,728 persons were found during inspection activities to be without a regulated labor status. In the same year, 168 serious work-related injuries were recorded, including 14 deaths. In FBiH, ¼ labor inspectors cover occupational health and safety issues, and there are concerning delays in the lack of approval of a new occupational health and safety law. </w:t>
      </w:r>
    </w:p>
    <w:p w14:paraId="5D25728E" w14:textId="77777777" w:rsidR="00A67FEE" w:rsidRPr="00ED4D49" w:rsidRDefault="00A67FEE" w:rsidP="00A67FEE">
      <w:pPr>
        <w:jc w:val="both"/>
        <w:rPr>
          <w:lang w:val="en-US"/>
        </w:rPr>
      </w:pPr>
      <w:r w:rsidRPr="00ED4D49">
        <w:rPr>
          <w:lang w:val="en-US"/>
        </w:rPr>
        <w:t xml:space="preserve">In RS, according to the official report published by the Republic Labor Inspection, the Inspection visited 2,589 organizations in the first six months of 2019, and labor law breaches were found in 32%. 198 workers were found without a signed employment contract and without insurance. In this period, 42 serious work-related injuries were recorded, of which 5 deaths. The most frequent breaches of the labor legislation are related to calculations </w:t>
      </w:r>
      <w:r w:rsidRPr="00ED4D49">
        <w:rPr>
          <w:lang w:val="en-US"/>
        </w:rPr>
        <w:lastRenderedPageBreak/>
        <w:t>and payments of wages and compensations, termination of employment, working hours, lack of employment contracts, and holidays and leave. Under-declaration of wages or envelop wages are widespread, particularly in construction and sectors with a lot of cash use (hospitality, logistics, retail). Labor inspectorates are understaffed, and the sanctions they issue are not dissuasive due to low fines and delays in delivering court decisions.</w:t>
      </w:r>
    </w:p>
    <w:p w14:paraId="282812C3" w14:textId="4A317F6C" w:rsidR="00ED57DC" w:rsidRPr="00ED4D49" w:rsidRDefault="00A67FEE" w:rsidP="00A67FEE">
      <w:pPr>
        <w:jc w:val="both"/>
        <w:rPr>
          <w:lang w:val="en-US"/>
        </w:rPr>
      </w:pPr>
      <w:r w:rsidRPr="00ED4D49">
        <w:rPr>
          <w:lang w:val="en-US"/>
        </w:rPr>
        <w:t xml:space="preserve">In </w:t>
      </w:r>
      <w:r w:rsidR="00185228" w:rsidRPr="00ED4D49">
        <w:rPr>
          <w:lang w:val="en-US"/>
        </w:rPr>
        <w:t>BD</w:t>
      </w:r>
      <w:r w:rsidRPr="00ED4D49">
        <w:rPr>
          <w:lang w:val="en-US"/>
        </w:rPr>
        <w:t xml:space="preserve">, </w:t>
      </w:r>
      <w:r w:rsidR="00185228" w:rsidRPr="00ED4D49">
        <w:rPr>
          <w:lang w:val="en-US"/>
        </w:rPr>
        <w:t xml:space="preserve">the </w:t>
      </w:r>
      <w:r w:rsidRPr="00ED4D49">
        <w:rPr>
          <w:lang w:val="en-US"/>
        </w:rPr>
        <w:t>reports of the Inspectorate of BD are not publicly available.</w:t>
      </w:r>
    </w:p>
    <w:p w14:paraId="02221A16" w14:textId="1C9F327B" w:rsidR="00ED57DC" w:rsidRPr="00ED4D49" w:rsidRDefault="00ED57DC">
      <w:pPr>
        <w:spacing w:before="0" w:after="0" w:line="240" w:lineRule="auto"/>
        <w:rPr>
          <w:lang w:val="en-US" w:eastAsia="x-none"/>
        </w:rPr>
      </w:pPr>
      <w:r w:rsidRPr="00ED4D49">
        <w:rPr>
          <w:lang w:val="en-US" w:eastAsia="x-none"/>
        </w:rPr>
        <w:br w:type="page"/>
      </w:r>
    </w:p>
    <w:p w14:paraId="2299A9F4" w14:textId="5B18304D" w:rsidR="00F57E67" w:rsidRPr="00ED4D49" w:rsidRDefault="00F57E67" w:rsidP="00F57E67">
      <w:pPr>
        <w:pStyle w:val="Heading1"/>
        <w:shd w:val="clear" w:color="auto" w:fill="F2F2F2"/>
        <w:spacing w:before="0"/>
        <w:rPr>
          <w:rFonts w:cs="Calibri"/>
          <w:lang w:val="en-US"/>
        </w:rPr>
      </w:pPr>
      <w:bookmarkStart w:id="162" w:name="_Toc31811083"/>
      <w:r w:rsidRPr="00ED4D49">
        <w:rPr>
          <w:rFonts w:cs="Calibri"/>
          <w:lang w:val="en-US"/>
        </w:rPr>
        <w:lastRenderedPageBreak/>
        <w:t>LEGAL FRAMEWORK</w:t>
      </w:r>
      <w:bookmarkEnd w:id="35"/>
      <w:bookmarkEnd w:id="162"/>
      <w:r w:rsidRPr="00ED4D49">
        <w:rPr>
          <w:rFonts w:cs="Calibri"/>
          <w:lang w:val="en-US"/>
        </w:rPr>
        <w:t xml:space="preserve"> </w:t>
      </w:r>
    </w:p>
    <w:p w14:paraId="04DD777F" w14:textId="77777777" w:rsidR="00F57E67" w:rsidRPr="00ED4D49" w:rsidRDefault="00F57E67" w:rsidP="0063606C">
      <w:pPr>
        <w:pStyle w:val="Heading2"/>
      </w:pPr>
      <w:bookmarkStart w:id="163" w:name="_Ref17977692"/>
      <w:bookmarkStart w:id="164" w:name="_Ref17977695"/>
      <w:bookmarkStart w:id="165" w:name="_Toc19223868"/>
      <w:bookmarkStart w:id="166" w:name="_Ref22295154"/>
      <w:bookmarkStart w:id="167" w:name="_Toc31811084"/>
      <w:r w:rsidRPr="00ED4D49">
        <w:t>The World Bank Requirem</w:t>
      </w:r>
      <w:bookmarkEnd w:id="163"/>
      <w:bookmarkEnd w:id="164"/>
      <w:r w:rsidRPr="00ED4D49">
        <w:t>ents</w:t>
      </w:r>
      <w:bookmarkEnd w:id="165"/>
      <w:bookmarkEnd w:id="166"/>
      <w:bookmarkEnd w:id="167"/>
      <w:r w:rsidRPr="00ED4D49">
        <w:t xml:space="preserve"> </w:t>
      </w:r>
    </w:p>
    <w:p w14:paraId="3F3E0719" w14:textId="77777777" w:rsidR="00F57E67" w:rsidRPr="00ED4D49" w:rsidRDefault="00F57E67" w:rsidP="0023292C">
      <w:pPr>
        <w:pStyle w:val="Heading3"/>
      </w:pPr>
      <w:bookmarkStart w:id="168" w:name="_Toc19223869"/>
      <w:bookmarkStart w:id="169" w:name="_Toc31811085"/>
      <w:r w:rsidRPr="00ED4D49">
        <w:rPr>
          <w:rStyle w:val="tlid-translation"/>
        </w:rPr>
        <w:t>The World Bank Environmental and Social Framework (2016)</w:t>
      </w:r>
      <w:bookmarkEnd w:id="168"/>
      <w:bookmarkEnd w:id="169"/>
    </w:p>
    <w:p w14:paraId="49A31A41" w14:textId="7F26426C" w:rsidR="00F57E67" w:rsidRPr="00ED4D49" w:rsidRDefault="00F57E67" w:rsidP="00F57E67">
      <w:pPr>
        <w:spacing w:after="0"/>
        <w:jc w:val="both"/>
        <w:rPr>
          <w:rStyle w:val="tlid-translation"/>
          <w:rFonts w:cs="Calibri"/>
          <w:color w:val="1F497D"/>
          <w:lang w:val="en-US"/>
        </w:rPr>
      </w:pPr>
      <w:bookmarkStart w:id="170" w:name="_Hlk25264308"/>
      <w:r w:rsidRPr="00ED4D49">
        <w:rPr>
          <w:rStyle w:val="tlid-translation"/>
          <w:rFonts w:cs="Calibri"/>
          <w:color w:val="1F497D"/>
          <w:lang w:val="en-US"/>
        </w:rPr>
        <w:t xml:space="preserve">World Bank Environmental and Social Framework </w:t>
      </w:r>
    </w:p>
    <w:p w14:paraId="11331718" w14:textId="7D81FF26" w:rsidR="00F57E67" w:rsidRPr="00ED4D49" w:rsidRDefault="00185228" w:rsidP="009C23AE">
      <w:pPr>
        <w:spacing w:before="0"/>
        <w:jc w:val="both"/>
        <w:rPr>
          <w:rStyle w:val="tlid-translation"/>
          <w:rFonts w:cs="Calibri"/>
          <w:lang w:val="en-US"/>
        </w:rPr>
      </w:pPr>
      <w:r w:rsidRPr="00ED4D49">
        <w:rPr>
          <w:rStyle w:val="tlid-translation"/>
          <w:rFonts w:cs="Calibri"/>
          <w:lang w:val="en-US"/>
        </w:rPr>
        <w:t>WB’s</w:t>
      </w:r>
      <w:r w:rsidR="00B65DB9" w:rsidRPr="00ED4D49">
        <w:rPr>
          <w:rStyle w:val="tlid-translation"/>
          <w:rFonts w:cs="Calibri"/>
          <w:lang w:val="en-US"/>
        </w:rPr>
        <w:t xml:space="preserve"> </w:t>
      </w:r>
      <w:r w:rsidR="00F57E67" w:rsidRPr="00ED4D49">
        <w:rPr>
          <w:rStyle w:val="tlid-translation"/>
          <w:rFonts w:cs="Calibri"/>
          <w:lang w:val="en-US"/>
        </w:rPr>
        <w:t>Environmental and Social Framework (2016)</w:t>
      </w:r>
      <w:r w:rsidR="00F57E67" w:rsidRPr="00ED4D49">
        <w:rPr>
          <w:rStyle w:val="FootnoteReference"/>
          <w:rFonts w:cs="Calibri"/>
          <w:lang w:val="en-US"/>
        </w:rPr>
        <w:footnoteReference w:id="33"/>
      </w:r>
      <w:r w:rsidR="00F57E67" w:rsidRPr="00ED4D49">
        <w:rPr>
          <w:rStyle w:val="tlid-translation"/>
          <w:rFonts w:cs="Calibri"/>
          <w:lang w:val="en-US"/>
        </w:rPr>
        <w:t xml:space="preserve"> became effective in October 2018. The Framework </w:t>
      </w:r>
      <w:r w:rsidR="00B65DB9" w:rsidRPr="00ED4D49">
        <w:rPr>
          <w:rStyle w:val="tlid-translation"/>
          <w:rFonts w:cs="Calibri"/>
          <w:lang w:val="en-US"/>
        </w:rPr>
        <w:t>sets out</w:t>
      </w:r>
      <w:r w:rsidR="00F57E67" w:rsidRPr="00ED4D49">
        <w:rPr>
          <w:rStyle w:val="tlid-translation"/>
          <w:rFonts w:cs="Calibri"/>
          <w:lang w:val="en-US"/>
        </w:rPr>
        <w:t xml:space="preserve"> the Bank’s commitment to sustainable development</w:t>
      </w:r>
      <w:r w:rsidR="00B65DB9" w:rsidRPr="00ED4D49">
        <w:rPr>
          <w:rStyle w:val="tlid-translation"/>
          <w:rFonts w:cs="Calibri"/>
          <w:lang w:val="en-US"/>
        </w:rPr>
        <w:t xml:space="preserve">, </w:t>
      </w:r>
      <w:r w:rsidR="00F57E67" w:rsidRPr="00ED4D49">
        <w:rPr>
          <w:rStyle w:val="tlid-translation"/>
          <w:rFonts w:cs="Calibri"/>
          <w:lang w:val="en-US"/>
        </w:rPr>
        <w:t xml:space="preserve">through </w:t>
      </w:r>
      <w:r w:rsidR="00B65DB9" w:rsidRPr="00ED4D49">
        <w:rPr>
          <w:rStyle w:val="tlid-translation"/>
          <w:rFonts w:cs="Calibri"/>
          <w:lang w:val="en-US"/>
        </w:rPr>
        <w:t xml:space="preserve">a </w:t>
      </w:r>
      <w:r w:rsidR="00F57E67" w:rsidRPr="00ED4D49">
        <w:rPr>
          <w:rStyle w:val="tlid-translation"/>
          <w:rFonts w:cs="Calibri"/>
          <w:lang w:val="en-US"/>
        </w:rPr>
        <w:t xml:space="preserve">Bank </w:t>
      </w:r>
      <w:r w:rsidR="00B65DB9" w:rsidRPr="00ED4D49">
        <w:rPr>
          <w:rStyle w:val="tlid-translation"/>
          <w:rFonts w:cs="Calibri"/>
          <w:lang w:val="en-US"/>
        </w:rPr>
        <w:t>P</w:t>
      </w:r>
      <w:r w:rsidR="00F57E67" w:rsidRPr="00ED4D49">
        <w:rPr>
          <w:rStyle w:val="tlid-translation"/>
          <w:rFonts w:cs="Calibri"/>
          <w:lang w:val="en-US"/>
        </w:rPr>
        <w:t>olic</w:t>
      </w:r>
      <w:r w:rsidR="00B65DB9" w:rsidRPr="00ED4D49">
        <w:rPr>
          <w:rStyle w:val="tlid-translation"/>
          <w:rFonts w:cs="Calibri"/>
          <w:lang w:val="en-US"/>
        </w:rPr>
        <w:t>y</w:t>
      </w:r>
      <w:r w:rsidR="00F57E67" w:rsidRPr="00ED4D49">
        <w:rPr>
          <w:rStyle w:val="tlid-translation"/>
          <w:rFonts w:cs="Calibri"/>
          <w:lang w:val="en-US"/>
        </w:rPr>
        <w:t xml:space="preserve"> and </w:t>
      </w:r>
      <w:r w:rsidR="00B65DB9" w:rsidRPr="00ED4D49">
        <w:rPr>
          <w:rStyle w:val="tlid-translation"/>
          <w:rFonts w:cs="Calibri"/>
          <w:lang w:val="en-US"/>
        </w:rPr>
        <w:t xml:space="preserve">a set of </w:t>
      </w:r>
      <w:r w:rsidR="00F57E67" w:rsidRPr="00ED4D49">
        <w:rPr>
          <w:rStyle w:val="tlid-translation"/>
          <w:rFonts w:cs="Calibri"/>
          <w:lang w:val="en-US"/>
        </w:rPr>
        <w:t xml:space="preserve">Environmental and Social Standards </w:t>
      </w:r>
      <w:r w:rsidR="009C23AE" w:rsidRPr="00ED4D49">
        <w:rPr>
          <w:rStyle w:val="tlid-translation"/>
          <w:rFonts w:cs="Calibri"/>
          <w:lang w:val="en-US"/>
        </w:rPr>
        <w:t xml:space="preserve">that are </w:t>
      </w:r>
      <w:r w:rsidR="00F57E67" w:rsidRPr="00ED4D49">
        <w:rPr>
          <w:rStyle w:val="tlid-translation"/>
          <w:rFonts w:cs="Calibri"/>
          <w:lang w:val="en-US"/>
        </w:rPr>
        <w:t>designed to support Borrower</w:t>
      </w:r>
      <w:r w:rsidR="009C23AE" w:rsidRPr="00ED4D49">
        <w:rPr>
          <w:rStyle w:val="tlid-translation"/>
          <w:rFonts w:cs="Calibri"/>
          <w:lang w:val="en-US"/>
        </w:rPr>
        <w:t>s’</w:t>
      </w:r>
      <w:r w:rsidR="00F57E67" w:rsidRPr="00ED4D49">
        <w:rPr>
          <w:rStyle w:val="tlid-translation"/>
          <w:rFonts w:cs="Calibri"/>
          <w:lang w:val="en-US"/>
        </w:rPr>
        <w:t xml:space="preserve"> projects, </w:t>
      </w:r>
      <w:r w:rsidR="009C23AE" w:rsidRPr="00ED4D49">
        <w:rPr>
          <w:rStyle w:val="tlid-translation"/>
          <w:rFonts w:cs="Calibri"/>
          <w:lang w:val="en-US"/>
        </w:rPr>
        <w:t>with the aim of ending extreme poverty and promoting shared prosperity</w:t>
      </w:r>
      <w:r w:rsidR="00F57E67" w:rsidRPr="00ED4D49">
        <w:rPr>
          <w:rStyle w:val="tlid-translation"/>
          <w:rFonts w:cs="Calibri"/>
          <w:lang w:val="en-US"/>
        </w:rPr>
        <w:t>. The Bank’s Framework consists of three parts:</w:t>
      </w:r>
    </w:p>
    <w:p w14:paraId="2396DACE" w14:textId="288B6D45" w:rsidR="003C551F" w:rsidRPr="00ED4D49" w:rsidRDefault="00E548FB" w:rsidP="00F57E67">
      <w:pPr>
        <w:spacing w:before="0"/>
        <w:jc w:val="both"/>
        <w:rPr>
          <w:rStyle w:val="tlid-translation"/>
          <w:rFonts w:cs="Calibri"/>
          <w:lang w:val="en-US"/>
        </w:rPr>
      </w:pPr>
      <w:r w:rsidRPr="00ED4D49">
        <w:rPr>
          <w:noProof/>
          <w:lang w:val="bs-Latn-BA" w:eastAsia="bs-Latn-BA"/>
        </w:rPr>
        <w:drawing>
          <wp:inline distT="0" distB="0" distL="0" distR="0" wp14:anchorId="4E62CC99" wp14:editId="4AA9618D">
            <wp:extent cx="5943600" cy="3270885"/>
            <wp:effectExtent l="0" t="0" r="0" b="5715"/>
            <wp:docPr id="24" name="Picture 3"/>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inline>
        </w:drawing>
      </w:r>
    </w:p>
    <w:p w14:paraId="6EE2C515" w14:textId="77777777" w:rsidR="007254EF" w:rsidRPr="00ED4D49" w:rsidRDefault="007254EF" w:rsidP="007254EF">
      <w:pPr>
        <w:spacing w:before="0"/>
        <w:jc w:val="both"/>
        <w:rPr>
          <w:rFonts w:cs="Calibri"/>
          <w:lang w:val="en-US"/>
        </w:rPr>
      </w:pPr>
    </w:p>
    <w:p w14:paraId="3C7CE50E" w14:textId="0EC5711C" w:rsidR="00F57E67" w:rsidRPr="00ED4D49" w:rsidRDefault="00F57E67" w:rsidP="00F57E67">
      <w:pPr>
        <w:spacing w:after="0"/>
        <w:jc w:val="both"/>
        <w:rPr>
          <w:rStyle w:val="tlid-translation"/>
          <w:rFonts w:cs="Calibri"/>
          <w:color w:val="1F497D"/>
          <w:lang w:val="en-US"/>
        </w:rPr>
      </w:pPr>
      <w:r w:rsidRPr="00ED4D49">
        <w:rPr>
          <w:rStyle w:val="tlid-translation"/>
          <w:rFonts w:cs="Calibri"/>
          <w:color w:val="1F497D"/>
          <w:lang w:val="en-US"/>
        </w:rPr>
        <w:t xml:space="preserve">Risk Classification </w:t>
      </w:r>
    </w:p>
    <w:p w14:paraId="1E6C0FD9" w14:textId="1BAC70F7" w:rsidR="00F57E67" w:rsidRPr="00ED4D49" w:rsidRDefault="00F57E67" w:rsidP="00F57E67">
      <w:pPr>
        <w:spacing w:before="0"/>
        <w:jc w:val="both"/>
        <w:rPr>
          <w:rStyle w:val="tlid-translation"/>
          <w:rFonts w:cs="Calibri"/>
          <w:lang w:val="en-US"/>
        </w:rPr>
      </w:pPr>
      <w:r w:rsidRPr="00ED4D49">
        <w:rPr>
          <w:rStyle w:val="tlid-translation"/>
          <w:rFonts w:cs="Calibri"/>
          <w:lang w:val="en-US"/>
        </w:rPr>
        <w:t>The Bank classifies all projects in</w:t>
      </w:r>
      <w:r w:rsidR="0047528B" w:rsidRPr="00ED4D49">
        <w:rPr>
          <w:rStyle w:val="tlid-translation"/>
          <w:rFonts w:cs="Calibri"/>
          <w:lang w:val="en-US"/>
        </w:rPr>
        <w:t>to</w:t>
      </w:r>
      <w:r w:rsidRPr="00ED4D49">
        <w:rPr>
          <w:rStyle w:val="tlid-translation"/>
          <w:rFonts w:cs="Calibri"/>
          <w:lang w:val="en-US"/>
        </w:rPr>
        <w:t xml:space="preserve"> one of four </w:t>
      </w:r>
      <w:r w:rsidR="00B02729" w:rsidRPr="00ED4D49">
        <w:rPr>
          <w:rStyle w:val="tlid-translation"/>
          <w:rFonts w:cs="Calibri"/>
          <w:lang w:val="en-US"/>
        </w:rPr>
        <w:t>classifications</w:t>
      </w:r>
      <w:r w:rsidRPr="00ED4D49">
        <w:rPr>
          <w:rStyle w:val="tlid-translation"/>
          <w:rFonts w:cs="Calibri"/>
          <w:lang w:val="en-US"/>
        </w:rPr>
        <w:t xml:space="preserve">: </w:t>
      </w:r>
    </w:p>
    <w:p w14:paraId="32A8AF6E" w14:textId="77777777" w:rsidR="00F57E67" w:rsidRPr="00ED4D49" w:rsidRDefault="00F57E67" w:rsidP="0052417D">
      <w:pPr>
        <w:pStyle w:val="ListParagraph"/>
        <w:numPr>
          <w:ilvl w:val="0"/>
          <w:numId w:val="8"/>
        </w:numPr>
        <w:spacing w:after="160"/>
        <w:jc w:val="both"/>
        <w:rPr>
          <w:rFonts w:cs="Calibri"/>
          <w:sz w:val="20"/>
          <w:szCs w:val="20"/>
        </w:rPr>
      </w:pPr>
      <w:r w:rsidRPr="00ED4D49">
        <w:rPr>
          <w:rFonts w:cs="Calibri"/>
          <w:sz w:val="20"/>
          <w:szCs w:val="20"/>
        </w:rPr>
        <w:t xml:space="preserve">High risk </w:t>
      </w:r>
    </w:p>
    <w:p w14:paraId="0C5EE043" w14:textId="5C7F15B8" w:rsidR="00F57E67" w:rsidRPr="00ED4D49" w:rsidRDefault="00B02729" w:rsidP="0052417D">
      <w:pPr>
        <w:pStyle w:val="ListParagraph"/>
        <w:numPr>
          <w:ilvl w:val="0"/>
          <w:numId w:val="8"/>
        </w:numPr>
        <w:spacing w:after="160"/>
        <w:jc w:val="both"/>
        <w:rPr>
          <w:rFonts w:cs="Calibri"/>
          <w:sz w:val="20"/>
          <w:szCs w:val="20"/>
        </w:rPr>
      </w:pPr>
      <w:r w:rsidRPr="00ED4D49">
        <w:rPr>
          <w:rFonts w:cs="Calibri"/>
          <w:sz w:val="20"/>
          <w:szCs w:val="20"/>
        </w:rPr>
        <w:t>Substantial</w:t>
      </w:r>
      <w:r w:rsidR="00F57E67" w:rsidRPr="00ED4D49">
        <w:rPr>
          <w:rFonts w:cs="Calibri"/>
          <w:sz w:val="20"/>
          <w:szCs w:val="20"/>
        </w:rPr>
        <w:t xml:space="preserve"> risk </w:t>
      </w:r>
    </w:p>
    <w:p w14:paraId="2ECE20E4" w14:textId="77777777" w:rsidR="00F57E67" w:rsidRPr="00ED4D49" w:rsidRDefault="00F57E67" w:rsidP="0052417D">
      <w:pPr>
        <w:pStyle w:val="ListParagraph"/>
        <w:numPr>
          <w:ilvl w:val="0"/>
          <w:numId w:val="8"/>
        </w:numPr>
        <w:spacing w:after="160"/>
        <w:jc w:val="both"/>
        <w:rPr>
          <w:rFonts w:cs="Calibri"/>
          <w:sz w:val="20"/>
          <w:szCs w:val="20"/>
        </w:rPr>
      </w:pPr>
      <w:r w:rsidRPr="00ED4D49">
        <w:rPr>
          <w:rFonts w:cs="Calibri"/>
          <w:sz w:val="20"/>
          <w:szCs w:val="20"/>
        </w:rPr>
        <w:t xml:space="preserve">Moderate risk </w:t>
      </w:r>
    </w:p>
    <w:p w14:paraId="34D0874C" w14:textId="77777777" w:rsidR="00F57E67" w:rsidRPr="00ED4D49" w:rsidRDefault="00F57E67" w:rsidP="0052417D">
      <w:pPr>
        <w:pStyle w:val="ListParagraph"/>
        <w:numPr>
          <w:ilvl w:val="0"/>
          <w:numId w:val="8"/>
        </w:numPr>
        <w:spacing w:after="160"/>
        <w:jc w:val="both"/>
        <w:rPr>
          <w:rFonts w:cs="Calibri"/>
          <w:sz w:val="20"/>
          <w:szCs w:val="20"/>
        </w:rPr>
      </w:pPr>
      <w:r w:rsidRPr="00ED4D49">
        <w:rPr>
          <w:rFonts w:cs="Calibri"/>
          <w:sz w:val="20"/>
          <w:szCs w:val="20"/>
        </w:rPr>
        <w:t xml:space="preserve">Low risk. </w:t>
      </w:r>
    </w:p>
    <w:p w14:paraId="3EE3387D" w14:textId="4B40CB05" w:rsidR="00F57E67" w:rsidRPr="00ED4D49" w:rsidRDefault="00B02729" w:rsidP="00F57E67">
      <w:pPr>
        <w:jc w:val="both"/>
        <w:rPr>
          <w:rStyle w:val="tlid-translation"/>
          <w:rFonts w:cs="Calibri"/>
          <w:lang w:val="en-US"/>
        </w:rPr>
      </w:pPr>
      <w:r w:rsidRPr="00ED4D49">
        <w:rPr>
          <w:rStyle w:val="tlid-translation"/>
          <w:rFonts w:cs="Calibri"/>
          <w:lang w:val="en-US"/>
        </w:rPr>
        <w:t>In determining</w:t>
      </w:r>
      <w:r w:rsidR="00F57E67" w:rsidRPr="00ED4D49">
        <w:rPr>
          <w:rStyle w:val="tlid-translation"/>
          <w:rFonts w:cs="Calibri"/>
          <w:lang w:val="en-US"/>
        </w:rPr>
        <w:t xml:space="preserve"> appropriate risk classification, the Bank takes into account relevant issues such as: </w:t>
      </w:r>
    </w:p>
    <w:p w14:paraId="2DFAF0FF" w14:textId="48E128B6" w:rsidR="00F57E67" w:rsidRPr="00ED4D49" w:rsidRDefault="00F57E67" w:rsidP="0052417D">
      <w:pPr>
        <w:pStyle w:val="ListParagraph"/>
        <w:numPr>
          <w:ilvl w:val="0"/>
          <w:numId w:val="9"/>
        </w:numPr>
        <w:spacing w:after="160"/>
        <w:jc w:val="both"/>
        <w:rPr>
          <w:rFonts w:cs="Calibri"/>
          <w:sz w:val="20"/>
          <w:szCs w:val="20"/>
        </w:rPr>
      </w:pPr>
      <w:r w:rsidRPr="00ED4D49">
        <w:rPr>
          <w:rFonts w:cs="Calibri"/>
          <w:sz w:val="20"/>
          <w:szCs w:val="20"/>
        </w:rPr>
        <w:t xml:space="preserve">Type, location, sensitivity and </w:t>
      </w:r>
      <w:r w:rsidR="00B02729" w:rsidRPr="00ED4D49">
        <w:rPr>
          <w:rFonts w:cs="Calibri"/>
          <w:sz w:val="20"/>
          <w:szCs w:val="20"/>
        </w:rPr>
        <w:t>scale</w:t>
      </w:r>
      <w:r w:rsidRPr="00ED4D49">
        <w:rPr>
          <w:rFonts w:cs="Calibri"/>
          <w:sz w:val="20"/>
          <w:szCs w:val="20"/>
        </w:rPr>
        <w:t xml:space="preserve"> of the project, </w:t>
      </w:r>
    </w:p>
    <w:p w14:paraId="0EFC3B75" w14:textId="00E3A676" w:rsidR="00F57E67" w:rsidRPr="00ED4D49" w:rsidRDefault="00F57E67" w:rsidP="0052417D">
      <w:pPr>
        <w:pStyle w:val="ListParagraph"/>
        <w:numPr>
          <w:ilvl w:val="0"/>
          <w:numId w:val="9"/>
        </w:numPr>
        <w:spacing w:after="160"/>
        <w:jc w:val="both"/>
        <w:rPr>
          <w:rFonts w:cs="Calibri"/>
          <w:sz w:val="20"/>
          <w:szCs w:val="20"/>
        </w:rPr>
      </w:pPr>
      <w:r w:rsidRPr="00ED4D49">
        <w:rPr>
          <w:rFonts w:cs="Calibri"/>
          <w:sz w:val="20"/>
          <w:szCs w:val="20"/>
        </w:rPr>
        <w:t xml:space="preserve">Nature and magnitude of potential environmental and social risks and impacts, </w:t>
      </w:r>
    </w:p>
    <w:p w14:paraId="7D81C2A7" w14:textId="64E8163A" w:rsidR="00F57E67" w:rsidRPr="00ED4D49" w:rsidRDefault="00B02729" w:rsidP="0024745F">
      <w:pPr>
        <w:pStyle w:val="ListParagraph"/>
        <w:numPr>
          <w:ilvl w:val="0"/>
          <w:numId w:val="9"/>
        </w:numPr>
        <w:spacing w:after="160"/>
        <w:jc w:val="both"/>
        <w:rPr>
          <w:rFonts w:cs="Calibri"/>
          <w:sz w:val="20"/>
          <w:szCs w:val="20"/>
        </w:rPr>
      </w:pPr>
      <w:r w:rsidRPr="00ED4D49">
        <w:rPr>
          <w:rFonts w:cs="Calibri"/>
          <w:sz w:val="20"/>
          <w:szCs w:val="20"/>
        </w:rPr>
        <w:t>The capacity and commitment of the Borrower (including any other entity responsible for the implementation of the project) to manage the E&amp;S risks and impacts in a manner consistent with the ESSs</w:t>
      </w:r>
      <w:r w:rsidR="00F57E67" w:rsidRPr="00ED4D49">
        <w:rPr>
          <w:rFonts w:cs="Calibri"/>
          <w:sz w:val="20"/>
          <w:szCs w:val="20"/>
        </w:rPr>
        <w:t xml:space="preserve">. </w:t>
      </w:r>
    </w:p>
    <w:p w14:paraId="761587FC" w14:textId="33FE8413" w:rsidR="00F57E67" w:rsidRPr="00ED4D49" w:rsidRDefault="00B02729" w:rsidP="00B02729">
      <w:pPr>
        <w:jc w:val="both"/>
        <w:rPr>
          <w:rStyle w:val="tlid-translation"/>
          <w:rFonts w:cs="Calibri"/>
          <w:lang w:val="en-US"/>
        </w:rPr>
      </w:pPr>
      <w:r w:rsidRPr="00ED4D49">
        <w:rPr>
          <w:rStyle w:val="tlid-translation"/>
          <w:rFonts w:cs="Calibri"/>
          <w:lang w:val="en-US"/>
        </w:rPr>
        <w:t>Other areas of risk may also be relevant to the delivery of E&amp;S mitigation measures and outcomes, depending on the specific project and the context in which it is being developed.</w:t>
      </w:r>
      <w:r w:rsidR="00F57E67" w:rsidRPr="00ED4D49">
        <w:rPr>
          <w:rStyle w:val="tlid-translation"/>
          <w:rFonts w:cs="Calibri"/>
          <w:lang w:val="en-US"/>
        </w:rPr>
        <w:t xml:space="preserve"> These </w:t>
      </w:r>
      <w:r w:rsidRPr="00ED4D49">
        <w:rPr>
          <w:rStyle w:val="tlid-translation"/>
          <w:rFonts w:cs="Calibri"/>
          <w:lang w:val="en-US"/>
        </w:rPr>
        <w:t xml:space="preserve">could </w:t>
      </w:r>
      <w:r w:rsidR="00F57E67" w:rsidRPr="00ED4D49">
        <w:rPr>
          <w:rStyle w:val="tlid-translation"/>
          <w:rFonts w:cs="Calibri"/>
          <w:lang w:val="en-US"/>
        </w:rPr>
        <w:t xml:space="preserve">include legal and institutional </w:t>
      </w:r>
      <w:r w:rsidRPr="00ED4D49">
        <w:rPr>
          <w:rStyle w:val="tlid-translation"/>
          <w:rFonts w:cs="Calibri"/>
          <w:lang w:val="en-US"/>
        </w:rPr>
        <w:lastRenderedPageBreak/>
        <w:t xml:space="preserve">considerations; the </w:t>
      </w:r>
      <w:r w:rsidR="00F57E67" w:rsidRPr="00ED4D49">
        <w:rPr>
          <w:rStyle w:val="tlid-translation"/>
          <w:rFonts w:cs="Calibri"/>
          <w:lang w:val="en-US"/>
        </w:rPr>
        <w:t xml:space="preserve">nature of </w:t>
      </w:r>
      <w:r w:rsidRPr="00ED4D49">
        <w:rPr>
          <w:rStyle w:val="tlid-translation"/>
          <w:rFonts w:cs="Calibri"/>
          <w:lang w:val="en-US"/>
        </w:rPr>
        <w:t xml:space="preserve">the </w:t>
      </w:r>
      <w:r w:rsidR="00F57E67" w:rsidRPr="00ED4D49">
        <w:rPr>
          <w:rStyle w:val="tlid-translation"/>
          <w:rFonts w:cs="Calibri"/>
          <w:lang w:val="en-US"/>
        </w:rPr>
        <w:t>mitigation and technology</w:t>
      </w:r>
      <w:r w:rsidRPr="00ED4D49">
        <w:rPr>
          <w:rStyle w:val="tlid-translation"/>
          <w:rFonts w:cs="Calibri"/>
          <w:lang w:val="en-US"/>
        </w:rPr>
        <w:t xml:space="preserve"> being proposed; governance</w:t>
      </w:r>
      <w:r w:rsidR="00F57E67" w:rsidRPr="00ED4D49">
        <w:rPr>
          <w:rStyle w:val="tlid-translation"/>
          <w:rFonts w:cs="Calibri"/>
          <w:lang w:val="en-US"/>
        </w:rPr>
        <w:t xml:space="preserve"> structures and legislation</w:t>
      </w:r>
      <w:r w:rsidRPr="00ED4D49">
        <w:rPr>
          <w:rStyle w:val="tlid-translation"/>
          <w:rFonts w:cs="Calibri"/>
          <w:lang w:val="en-US"/>
        </w:rPr>
        <w:t>;</w:t>
      </w:r>
      <w:r w:rsidR="00F57E67" w:rsidRPr="00ED4D49">
        <w:rPr>
          <w:rStyle w:val="tlid-translation"/>
          <w:rFonts w:cs="Calibri"/>
          <w:lang w:val="en-US"/>
        </w:rPr>
        <w:t xml:space="preserve"> </w:t>
      </w:r>
      <w:r w:rsidRPr="00ED4D49">
        <w:rPr>
          <w:rStyle w:val="tlid-translation"/>
          <w:rFonts w:cs="Calibri"/>
          <w:lang w:val="en-US"/>
        </w:rPr>
        <w:t xml:space="preserve">and </w:t>
      </w:r>
      <w:r w:rsidR="00F57E67" w:rsidRPr="00ED4D49">
        <w:rPr>
          <w:rStyle w:val="tlid-translation"/>
          <w:rFonts w:cs="Calibri"/>
          <w:lang w:val="en-US"/>
        </w:rPr>
        <w:t>considerations relat</w:t>
      </w:r>
      <w:r w:rsidRPr="00ED4D49">
        <w:rPr>
          <w:rStyle w:val="tlid-translation"/>
          <w:rFonts w:cs="Calibri"/>
          <w:lang w:val="en-US"/>
        </w:rPr>
        <w:t>ing</w:t>
      </w:r>
      <w:r w:rsidR="00F57E67" w:rsidRPr="00ED4D49">
        <w:rPr>
          <w:rStyle w:val="tlid-translation"/>
          <w:rFonts w:cs="Calibri"/>
          <w:lang w:val="en-US"/>
        </w:rPr>
        <w:t xml:space="preserve"> to stability, conflict or security. </w:t>
      </w:r>
    </w:p>
    <w:p w14:paraId="330ED08C" w14:textId="3E5CC91F" w:rsidR="00F57E67" w:rsidRPr="00ED4D49" w:rsidRDefault="00F57E67" w:rsidP="00F57E67">
      <w:pPr>
        <w:spacing w:after="0"/>
        <w:jc w:val="both"/>
        <w:rPr>
          <w:rStyle w:val="tlid-translation"/>
          <w:rFonts w:cs="Calibri"/>
          <w:b/>
          <w:color w:val="FF0000"/>
          <w:lang w:val="en-US"/>
        </w:rPr>
      </w:pPr>
      <w:r w:rsidRPr="00ED4D49">
        <w:rPr>
          <w:rStyle w:val="tlid-translation"/>
          <w:rFonts w:cs="Calibri"/>
          <w:color w:val="1F497D"/>
          <w:lang w:val="en-US"/>
        </w:rPr>
        <w:t xml:space="preserve">Projects </w:t>
      </w:r>
      <w:r w:rsidR="00B02729" w:rsidRPr="00ED4D49">
        <w:rPr>
          <w:rStyle w:val="tlid-translation"/>
          <w:rFonts w:cs="Calibri"/>
          <w:color w:val="1F497D"/>
          <w:lang w:val="en-US"/>
        </w:rPr>
        <w:t>involving m</w:t>
      </w:r>
      <w:r w:rsidRPr="00ED4D49">
        <w:rPr>
          <w:rStyle w:val="tlid-translation"/>
          <w:rFonts w:cs="Calibri"/>
          <w:color w:val="1F497D"/>
          <w:lang w:val="en-US"/>
        </w:rPr>
        <w:t xml:space="preserve">ultiple </w:t>
      </w:r>
      <w:r w:rsidR="00B02729" w:rsidRPr="00ED4D49">
        <w:rPr>
          <w:rStyle w:val="tlid-translation"/>
          <w:rFonts w:cs="Calibri"/>
          <w:color w:val="1F497D"/>
          <w:lang w:val="en-US"/>
        </w:rPr>
        <w:t>s</w:t>
      </w:r>
      <w:r w:rsidRPr="00ED4D49">
        <w:rPr>
          <w:rStyle w:val="tlid-translation"/>
          <w:rFonts w:cs="Calibri"/>
          <w:color w:val="1F497D"/>
          <w:lang w:val="en-US"/>
        </w:rPr>
        <w:t>mall</w:t>
      </w:r>
      <w:r w:rsidR="00B02729" w:rsidRPr="00ED4D49">
        <w:rPr>
          <w:rStyle w:val="tlid-translation"/>
          <w:rFonts w:cs="Calibri"/>
          <w:color w:val="1F497D"/>
          <w:lang w:val="en-US"/>
        </w:rPr>
        <w:t xml:space="preserve"> s</w:t>
      </w:r>
      <w:r w:rsidRPr="00ED4D49">
        <w:rPr>
          <w:rStyle w:val="tlid-translation"/>
          <w:rFonts w:cs="Calibri"/>
          <w:color w:val="1F497D"/>
          <w:lang w:val="en-US"/>
        </w:rPr>
        <w:t>ub</w:t>
      </w:r>
      <w:r w:rsidR="00B02729" w:rsidRPr="00ED4D49">
        <w:rPr>
          <w:rStyle w:val="tlid-translation"/>
          <w:rFonts w:cs="Calibri"/>
          <w:color w:val="1F497D"/>
          <w:lang w:val="en-US"/>
        </w:rPr>
        <w:t>p</w:t>
      </w:r>
      <w:r w:rsidRPr="00ED4D49">
        <w:rPr>
          <w:rStyle w:val="tlid-translation"/>
          <w:rFonts w:cs="Calibri"/>
          <w:color w:val="1F497D"/>
          <w:lang w:val="en-US"/>
        </w:rPr>
        <w:t xml:space="preserve">rojects </w:t>
      </w:r>
    </w:p>
    <w:p w14:paraId="2810FF75" w14:textId="2965E095" w:rsidR="00B02729" w:rsidRPr="00ED4D49" w:rsidRDefault="00B02729" w:rsidP="00B02729">
      <w:pPr>
        <w:spacing w:before="0"/>
        <w:jc w:val="both"/>
        <w:rPr>
          <w:rStyle w:val="tlid-translation"/>
          <w:rFonts w:cs="Calibri"/>
          <w:lang w:val="en-US"/>
        </w:rPr>
      </w:pPr>
      <w:r w:rsidRPr="00ED4D49">
        <w:rPr>
          <w:rStyle w:val="tlid-translation"/>
          <w:rFonts w:cs="Calibri"/>
          <w:lang w:val="en-US"/>
        </w:rPr>
        <w:t>For projects involving multiple small subprojects, that are identified, prepared and implemented during the course of the project, the Bank will review the adequacy of national E&amp;S requirements relevant to the subprojects, and assess the capacity of the Borrower to manage the E&amp;S risks and impacts of subprojects. When necessary, the project will include measures to strengthen the capacity of the Borrower.</w:t>
      </w:r>
    </w:p>
    <w:p w14:paraId="32F56EDF" w14:textId="776F0230" w:rsidR="00F57E67" w:rsidRPr="00ED4D49" w:rsidRDefault="00D368B6" w:rsidP="00D368B6">
      <w:pPr>
        <w:spacing w:before="0"/>
        <w:jc w:val="both"/>
        <w:rPr>
          <w:rStyle w:val="tlid-translation"/>
          <w:rFonts w:cs="Calibri"/>
          <w:lang w:val="en-US"/>
        </w:rPr>
      </w:pPr>
      <w:r w:rsidRPr="00ED4D49">
        <w:rPr>
          <w:rStyle w:val="tlid-translation"/>
          <w:rFonts w:cs="Calibri"/>
          <w:lang w:val="en-US"/>
        </w:rPr>
        <w:t>The Borrower is required to carry out appropriate E&amp;S assessment of subprojects, and prepare and implement such subprojects, as follows</w:t>
      </w:r>
      <w:r w:rsidR="00F57E67" w:rsidRPr="00ED4D49">
        <w:rPr>
          <w:rStyle w:val="tlid-translation"/>
          <w:rFonts w:cs="Calibri"/>
          <w:lang w:val="en-US"/>
        </w:rPr>
        <w:t xml:space="preserve">: </w:t>
      </w:r>
    </w:p>
    <w:p w14:paraId="0CAB341C" w14:textId="1E56C00A" w:rsidR="00F57E67" w:rsidRPr="00ED4D49" w:rsidRDefault="00F57E67" w:rsidP="0052417D">
      <w:pPr>
        <w:numPr>
          <w:ilvl w:val="0"/>
          <w:numId w:val="20"/>
        </w:numPr>
        <w:spacing w:before="0"/>
        <w:jc w:val="both"/>
        <w:rPr>
          <w:rStyle w:val="tlid-translation"/>
          <w:rFonts w:cs="Calibri"/>
          <w:lang w:val="en-US"/>
        </w:rPr>
      </w:pPr>
      <w:r w:rsidRPr="00ED4D49">
        <w:rPr>
          <w:rStyle w:val="tlid-translation"/>
          <w:rFonts w:cs="Calibri"/>
          <w:lang w:val="en-US"/>
        </w:rPr>
        <w:t>High</w:t>
      </w:r>
      <w:r w:rsidR="00D368B6" w:rsidRPr="00ED4D49">
        <w:rPr>
          <w:rStyle w:val="tlid-translation"/>
          <w:rFonts w:cs="Calibri"/>
          <w:lang w:val="en-US"/>
        </w:rPr>
        <w:t xml:space="preserve"> </w:t>
      </w:r>
      <w:r w:rsidRPr="00ED4D49">
        <w:rPr>
          <w:rStyle w:val="tlid-translation"/>
          <w:rFonts w:cs="Calibri"/>
          <w:lang w:val="en-US"/>
        </w:rPr>
        <w:t>risk subprojects</w:t>
      </w:r>
      <w:r w:rsidR="00D368B6" w:rsidRPr="00ED4D49">
        <w:rPr>
          <w:rStyle w:val="tlid-translation"/>
          <w:rFonts w:cs="Calibri"/>
          <w:lang w:val="en-US"/>
        </w:rPr>
        <w:t>,</w:t>
      </w:r>
      <w:r w:rsidRPr="00ED4D49">
        <w:rPr>
          <w:rStyle w:val="tlid-translation"/>
          <w:rFonts w:cs="Calibri"/>
          <w:lang w:val="en-US"/>
        </w:rPr>
        <w:t xml:space="preserve"> in </w:t>
      </w:r>
      <w:r w:rsidR="00D368B6" w:rsidRPr="00ED4D49">
        <w:rPr>
          <w:rStyle w:val="tlid-translation"/>
          <w:rFonts w:cs="Calibri"/>
          <w:lang w:val="en-US"/>
        </w:rPr>
        <w:t>accordance</w:t>
      </w:r>
      <w:r w:rsidRPr="00ED4D49">
        <w:rPr>
          <w:rStyle w:val="tlid-translation"/>
          <w:rFonts w:cs="Calibri"/>
          <w:lang w:val="en-US"/>
        </w:rPr>
        <w:t xml:space="preserve"> with ESSs; </w:t>
      </w:r>
    </w:p>
    <w:p w14:paraId="1EFADA82" w14:textId="704B16A9" w:rsidR="00F57E67" w:rsidRPr="00ED4D49" w:rsidRDefault="00D368B6" w:rsidP="0052417D">
      <w:pPr>
        <w:numPr>
          <w:ilvl w:val="0"/>
          <w:numId w:val="20"/>
        </w:numPr>
        <w:spacing w:before="0"/>
        <w:jc w:val="both"/>
        <w:rPr>
          <w:rStyle w:val="tlid-translation"/>
          <w:rFonts w:cs="Calibri"/>
          <w:lang w:val="en-US"/>
        </w:rPr>
      </w:pPr>
      <w:r w:rsidRPr="00ED4D49">
        <w:rPr>
          <w:rStyle w:val="tlid-translation"/>
          <w:rFonts w:cs="Calibri"/>
          <w:lang w:val="en-US"/>
        </w:rPr>
        <w:t>Substantial</w:t>
      </w:r>
      <w:r w:rsidR="00F57E67" w:rsidRPr="00ED4D49">
        <w:rPr>
          <w:rStyle w:val="tlid-translation"/>
          <w:rFonts w:cs="Calibri"/>
          <w:lang w:val="en-US"/>
        </w:rPr>
        <w:t>, moderate and low</w:t>
      </w:r>
      <w:r w:rsidRPr="00ED4D49">
        <w:rPr>
          <w:rStyle w:val="tlid-translation"/>
          <w:rFonts w:cs="Calibri"/>
          <w:lang w:val="en-US"/>
        </w:rPr>
        <w:t xml:space="preserve"> </w:t>
      </w:r>
      <w:r w:rsidR="00F57E67" w:rsidRPr="00ED4D49">
        <w:rPr>
          <w:rStyle w:val="tlid-translation"/>
          <w:rFonts w:cs="Calibri"/>
          <w:lang w:val="en-US"/>
        </w:rPr>
        <w:t xml:space="preserve">risk subprojects, in </w:t>
      </w:r>
      <w:r w:rsidRPr="00ED4D49">
        <w:rPr>
          <w:rStyle w:val="tlid-translation"/>
          <w:rFonts w:cs="Calibri"/>
          <w:lang w:val="en-US"/>
        </w:rPr>
        <w:t xml:space="preserve">accordance </w:t>
      </w:r>
      <w:r w:rsidR="00F57E67" w:rsidRPr="00ED4D49">
        <w:rPr>
          <w:rStyle w:val="tlid-translation"/>
          <w:rFonts w:cs="Calibri"/>
          <w:lang w:val="en-US"/>
        </w:rPr>
        <w:t xml:space="preserve">with </w:t>
      </w:r>
      <w:r w:rsidRPr="00ED4D49">
        <w:rPr>
          <w:rStyle w:val="tlid-translation"/>
          <w:rFonts w:cs="Calibri"/>
          <w:lang w:val="en-US"/>
        </w:rPr>
        <w:t>national law</w:t>
      </w:r>
      <w:r w:rsidR="00F57E67" w:rsidRPr="00ED4D49">
        <w:rPr>
          <w:rStyle w:val="tlid-translation"/>
          <w:rFonts w:cs="Calibri"/>
          <w:lang w:val="en-US"/>
        </w:rPr>
        <w:t xml:space="preserve"> and </w:t>
      </w:r>
      <w:r w:rsidRPr="00ED4D49">
        <w:rPr>
          <w:rStyle w:val="tlid-translation"/>
          <w:rFonts w:cs="Calibri"/>
          <w:lang w:val="en-US"/>
        </w:rPr>
        <w:t xml:space="preserve">any </w:t>
      </w:r>
      <w:r w:rsidR="00F57E67" w:rsidRPr="00ED4D49">
        <w:rPr>
          <w:rStyle w:val="tlid-translation"/>
          <w:rFonts w:cs="Calibri"/>
          <w:lang w:val="en-US"/>
        </w:rPr>
        <w:t xml:space="preserve">requirement of </w:t>
      </w:r>
      <w:r w:rsidRPr="00ED4D49">
        <w:rPr>
          <w:rStyle w:val="tlid-translation"/>
          <w:rFonts w:cs="Calibri"/>
          <w:lang w:val="en-US"/>
        </w:rPr>
        <w:t xml:space="preserve">the </w:t>
      </w:r>
      <w:r w:rsidR="00F57E67" w:rsidRPr="00ED4D49">
        <w:rPr>
          <w:rStyle w:val="tlid-translation"/>
          <w:rFonts w:cs="Calibri"/>
          <w:lang w:val="en-US"/>
        </w:rPr>
        <w:t xml:space="preserve">ESSs </w:t>
      </w:r>
      <w:r w:rsidRPr="00ED4D49">
        <w:rPr>
          <w:rStyle w:val="tlid-translation"/>
          <w:rFonts w:cs="Calibri"/>
          <w:lang w:val="en-US"/>
        </w:rPr>
        <w:t xml:space="preserve">that </w:t>
      </w:r>
      <w:r w:rsidR="00F57E67" w:rsidRPr="00ED4D49">
        <w:rPr>
          <w:rStyle w:val="tlid-translation"/>
          <w:rFonts w:cs="Calibri"/>
          <w:lang w:val="en-US"/>
        </w:rPr>
        <w:t xml:space="preserve">the Bank </w:t>
      </w:r>
      <w:r w:rsidRPr="00ED4D49">
        <w:rPr>
          <w:rStyle w:val="tlid-translation"/>
          <w:rFonts w:cs="Calibri"/>
          <w:lang w:val="en-US"/>
        </w:rPr>
        <w:t xml:space="preserve">deems </w:t>
      </w:r>
      <w:r w:rsidR="00F57E67" w:rsidRPr="00ED4D49">
        <w:rPr>
          <w:rStyle w:val="tlid-translation"/>
          <w:rFonts w:cs="Calibri"/>
          <w:lang w:val="en-US"/>
        </w:rPr>
        <w:t xml:space="preserve">relevant for such subprojects. </w:t>
      </w:r>
    </w:p>
    <w:p w14:paraId="6C597F9B" w14:textId="77777777" w:rsidR="00F57E67" w:rsidRPr="00ED4D49" w:rsidRDefault="00F57E67" w:rsidP="00F57E67">
      <w:pPr>
        <w:spacing w:after="0"/>
        <w:jc w:val="both"/>
        <w:rPr>
          <w:rStyle w:val="tlid-translation"/>
          <w:rFonts w:cs="Calibri"/>
          <w:color w:val="1F497D"/>
          <w:lang w:val="en-US"/>
        </w:rPr>
      </w:pPr>
      <w:bookmarkStart w:id="171" w:name="_Hlk25264351"/>
      <w:bookmarkEnd w:id="170"/>
      <w:r w:rsidRPr="00ED4D49">
        <w:rPr>
          <w:rStyle w:val="tlid-translation"/>
          <w:rFonts w:cs="Calibri"/>
          <w:color w:val="1F497D"/>
          <w:lang w:val="en-US"/>
        </w:rPr>
        <w:t xml:space="preserve">Environmental and Social Standards </w:t>
      </w:r>
    </w:p>
    <w:p w14:paraId="40815977" w14:textId="5358BCD0" w:rsidR="00F57E67" w:rsidRPr="00ED4D49" w:rsidRDefault="00F57E67" w:rsidP="00D368B6">
      <w:pPr>
        <w:spacing w:before="0"/>
        <w:jc w:val="both"/>
        <w:rPr>
          <w:rStyle w:val="tlid-translation"/>
          <w:rFonts w:cs="Calibri"/>
          <w:lang w:val="en-US"/>
        </w:rPr>
      </w:pPr>
      <w:r w:rsidRPr="00ED4D49">
        <w:rPr>
          <w:rStyle w:val="tlid-translation"/>
          <w:rFonts w:cs="Calibri"/>
          <w:lang w:val="en-US"/>
        </w:rPr>
        <w:t>The Bank is committed to support</w:t>
      </w:r>
      <w:r w:rsidR="00D368B6" w:rsidRPr="00ED4D49">
        <w:rPr>
          <w:rStyle w:val="tlid-translation"/>
          <w:rFonts w:cs="Calibri"/>
          <w:lang w:val="en-US"/>
        </w:rPr>
        <w:t xml:space="preserve">ing </w:t>
      </w:r>
      <w:r w:rsidRPr="00ED4D49">
        <w:rPr>
          <w:rStyle w:val="tlid-translation"/>
          <w:rFonts w:cs="Calibri"/>
          <w:lang w:val="en-US"/>
        </w:rPr>
        <w:t xml:space="preserve">Borrowers </w:t>
      </w:r>
      <w:r w:rsidR="00D368B6" w:rsidRPr="00ED4D49">
        <w:rPr>
          <w:rStyle w:val="tlid-translation"/>
          <w:rFonts w:cs="Calibri"/>
          <w:lang w:val="en-US"/>
        </w:rPr>
        <w:t xml:space="preserve">in the development </w:t>
      </w:r>
      <w:r w:rsidRPr="00ED4D49">
        <w:rPr>
          <w:rStyle w:val="tlid-translation"/>
          <w:rFonts w:cs="Calibri"/>
          <w:lang w:val="en-US"/>
        </w:rPr>
        <w:t xml:space="preserve">and </w:t>
      </w:r>
      <w:r w:rsidR="00D368B6" w:rsidRPr="00ED4D49">
        <w:rPr>
          <w:rStyle w:val="tlid-translation"/>
          <w:rFonts w:cs="Calibri"/>
          <w:lang w:val="en-US"/>
        </w:rPr>
        <w:t>implementation of projects that are</w:t>
      </w:r>
      <w:r w:rsidRPr="00ED4D49">
        <w:rPr>
          <w:rStyle w:val="tlid-translation"/>
          <w:rFonts w:cs="Calibri"/>
          <w:lang w:val="en-US"/>
        </w:rPr>
        <w:t xml:space="preserve"> environmentally and socially sustainable, </w:t>
      </w:r>
      <w:r w:rsidR="00D368B6" w:rsidRPr="00ED4D49">
        <w:rPr>
          <w:rStyle w:val="tlid-translation"/>
          <w:rFonts w:cs="Calibri"/>
          <w:lang w:val="en-US"/>
        </w:rPr>
        <w:t xml:space="preserve">and to enhancing the capacity of </w:t>
      </w:r>
      <w:r w:rsidRPr="00ED4D49">
        <w:rPr>
          <w:rStyle w:val="tlid-translation"/>
          <w:rFonts w:cs="Calibri"/>
          <w:lang w:val="en-US"/>
        </w:rPr>
        <w:t>Borrower</w:t>
      </w:r>
      <w:r w:rsidR="00D368B6" w:rsidRPr="00ED4D49">
        <w:rPr>
          <w:rStyle w:val="tlid-translation"/>
          <w:rFonts w:cs="Calibri"/>
          <w:lang w:val="en-US"/>
        </w:rPr>
        <w:t>s</w:t>
      </w:r>
      <w:r w:rsidRPr="00ED4D49">
        <w:rPr>
          <w:rStyle w:val="tlid-translation"/>
          <w:rFonts w:cs="Calibri"/>
          <w:lang w:val="en-US"/>
        </w:rPr>
        <w:t xml:space="preserve"> </w:t>
      </w:r>
      <w:r w:rsidR="00D368B6" w:rsidRPr="00ED4D49">
        <w:rPr>
          <w:rStyle w:val="tlid-translation"/>
          <w:rFonts w:cs="Calibri"/>
          <w:lang w:val="en-US"/>
        </w:rPr>
        <w:t xml:space="preserve">E&amp;S frameworks to assess </w:t>
      </w:r>
      <w:r w:rsidRPr="00ED4D49">
        <w:rPr>
          <w:rStyle w:val="tlid-translation"/>
          <w:rFonts w:cs="Calibri"/>
          <w:lang w:val="en-US"/>
        </w:rPr>
        <w:t xml:space="preserve">and manage </w:t>
      </w:r>
      <w:r w:rsidR="00D368B6" w:rsidRPr="00ED4D49">
        <w:rPr>
          <w:rStyle w:val="tlid-translation"/>
          <w:rFonts w:cs="Calibri"/>
          <w:lang w:val="en-US"/>
        </w:rPr>
        <w:t xml:space="preserve">the E&amp;S risks and impacts of </w:t>
      </w:r>
      <w:r w:rsidRPr="00ED4D49">
        <w:rPr>
          <w:rStyle w:val="tlid-translation"/>
          <w:rFonts w:cs="Calibri"/>
          <w:lang w:val="en-US"/>
        </w:rPr>
        <w:t xml:space="preserve">projects. </w:t>
      </w:r>
      <w:r w:rsidR="00D368B6" w:rsidRPr="00ED4D49">
        <w:rPr>
          <w:rStyle w:val="tlid-translation"/>
          <w:rFonts w:cs="Calibri"/>
          <w:lang w:val="en-US"/>
        </w:rPr>
        <w:t>To this end, the Bank has defined specific ESSs, which are designed to avoid, minimize, reduce or mitigate the adverse E&amp;S risks and impacts of projects</w:t>
      </w:r>
      <w:r w:rsidRPr="00ED4D49">
        <w:rPr>
          <w:rStyle w:val="tlid-translation"/>
          <w:rFonts w:cs="Calibri"/>
          <w:lang w:val="en-US"/>
        </w:rPr>
        <w:t>. The projects supported by the Bank must comply with the following ESSs:</w:t>
      </w:r>
      <w:r w:rsidR="00D368B6" w:rsidRPr="00ED4D49">
        <w:rPr>
          <w:rStyle w:val="tlid-translation"/>
          <w:rFonts w:cs="Calibri"/>
          <w:lang w:val="en-US"/>
        </w:rPr>
        <w:t xml:space="preserve"> </w:t>
      </w:r>
    </w:p>
    <w:p w14:paraId="3D520352" w14:textId="77777777" w:rsidR="00F57E67" w:rsidRPr="00ED4D49" w:rsidRDefault="00E548FB" w:rsidP="00F57E67">
      <w:pPr>
        <w:spacing w:before="0" w:after="200"/>
        <w:rPr>
          <w:sz w:val="22"/>
          <w:lang w:val="en-US"/>
        </w:rPr>
      </w:pPr>
      <w:r w:rsidRPr="00ED4D49">
        <w:rPr>
          <w:noProof/>
          <w:szCs w:val="20"/>
          <w:lang w:val="bs-Latn-BA" w:eastAsia="bs-Latn-BA"/>
        </w:rPr>
        <w:drawing>
          <wp:inline distT="0" distB="0" distL="0" distR="0" wp14:anchorId="69A351D2" wp14:editId="3C2C54B5">
            <wp:extent cx="5963285" cy="4438650"/>
            <wp:effectExtent l="0" t="0" r="18415" b="19050"/>
            <wp:docPr id="23" name="Diagra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inline>
        </w:drawing>
      </w:r>
    </w:p>
    <w:p w14:paraId="1CE8E61A" w14:textId="77777777" w:rsidR="00F57E67" w:rsidRPr="00ED4D49" w:rsidRDefault="00F57E67" w:rsidP="00F57E67">
      <w:pPr>
        <w:pStyle w:val="ListParagraph"/>
        <w:spacing w:after="160"/>
        <w:jc w:val="both"/>
        <w:rPr>
          <w:rFonts w:cs="Calibri"/>
          <w:sz w:val="20"/>
          <w:szCs w:val="20"/>
        </w:rPr>
      </w:pPr>
    </w:p>
    <w:p w14:paraId="6EF02792" w14:textId="68D6BA47" w:rsidR="00D67A74" w:rsidRPr="00ED4D49" w:rsidRDefault="00F57E67" w:rsidP="00F57E67">
      <w:pPr>
        <w:jc w:val="both"/>
        <w:rPr>
          <w:rStyle w:val="tlid-translation"/>
          <w:rFonts w:cs="Calibri"/>
          <w:lang w:val="en-US"/>
        </w:rPr>
      </w:pPr>
      <w:r w:rsidRPr="00ED4D49">
        <w:rPr>
          <w:rStyle w:val="tlid-translation"/>
          <w:rFonts w:cs="Calibri"/>
          <w:lang w:val="en-US"/>
        </w:rPr>
        <w:lastRenderedPageBreak/>
        <w:t xml:space="preserve">These ESSs are accompanied by </w:t>
      </w:r>
      <w:r w:rsidR="002D0A5C" w:rsidRPr="00ED4D49">
        <w:rPr>
          <w:rStyle w:val="tlid-translation"/>
          <w:rFonts w:cs="Calibri"/>
          <w:lang w:val="en-US"/>
        </w:rPr>
        <w:t>non-</w:t>
      </w:r>
      <w:r w:rsidRPr="00ED4D49">
        <w:rPr>
          <w:rStyle w:val="tlid-translation"/>
          <w:rFonts w:cs="Calibri"/>
          <w:lang w:val="en-US"/>
        </w:rPr>
        <w:t>binding Guidelines, Best Practice Notes, Templates and Checklists</w:t>
      </w:r>
      <w:r w:rsidRPr="00ED4D49">
        <w:rPr>
          <w:rStyle w:val="FootnoteReference"/>
          <w:rFonts w:cs="Calibri"/>
          <w:lang w:val="en-US"/>
        </w:rPr>
        <w:footnoteReference w:id="34"/>
      </w:r>
      <w:r w:rsidRPr="00ED4D49">
        <w:rPr>
          <w:rStyle w:val="tlid-translation"/>
          <w:rFonts w:cs="Calibri"/>
          <w:lang w:val="en-US"/>
        </w:rPr>
        <w:t>.</w:t>
      </w:r>
    </w:p>
    <w:p w14:paraId="749A9223" w14:textId="0E2B019B" w:rsidR="00D67A74" w:rsidRPr="00ED4D49" w:rsidRDefault="00F57E67" w:rsidP="00F57E67">
      <w:pPr>
        <w:jc w:val="both"/>
        <w:rPr>
          <w:rStyle w:val="tlid-translation"/>
          <w:rFonts w:cs="Calibri"/>
          <w:lang w:val="en-US"/>
        </w:rPr>
      </w:pPr>
      <w:r w:rsidRPr="00ED4D49">
        <w:rPr>
          <w:rStyle w:val="tlid-translation"/>
          <w:rFonts w:cs="Calibri"/>
          <w:lang w:val="en-US"/>
        </w:rPr>
        <w:t xml:space="preserve">Standards applicable to this Project are described in more details below. </w:t>
      </w:r>
    </w:p>
    <w:p w14:paraId="5F84549A" w14:textId="749AAE1C" w:rsidR="00F57E67" w:rsidRPr="00ED4D49" w:rsidRDefault="00E548FB" w:rsidP="00F57E67">
      <w:pPr>
        <w:jc w:val="both"/>
        <w:rPr>
          <w:rFonts w:cs="Calibri"/>
          <w:lang w:val="en-US" w:eastAsia="x-none"/>
        </w:rPr>
      </w:pPr>
      <w:r w:rsidRPr="00ED4D49">
        <w:rPr>
          <w:rFonts w:cs="Calibri"/>
          <w:noProof/>
          <w:lang w:val="bs-Latn-BA" w:eastAsia="bs-Latn-BA"/>
        </w:rPr>
        <w:drawing>
          <wp:anchor distT="0" distB="0" distL="114300" distR="114300" simplePos="0" relativeHeight="2" behindDoc="0" locked="0" layoutInCell="1" allowOverlap="1" wp14:anchorId="35D4989A" wp14:editId="661DC455">
            <wp:simplePos x="0" y="0"/>
            <wp:positionH relativeFrom="column">
              <wp:posOffset>-69850</wp:posOffset>
            </wp:positionH>
            <wp:positionV relativeFrom="paragraph">
              <wp:posOffset>-6350</wp:posOffset>
            </wp:positionV>
            <wp:extent cx="400050" cy="400050"/>
            <wp:effectExtent l="0" t="0" r="0" b="0"/>
            <wp:wrapSquare wrapText="bothSides"/>
            <wp:docPr id="43" name="Graphic 1" descr="Checklis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phic 1" descr="Checklist"/>
                    <pic:cNvPicPr>
                      <a:picLocks/>
                    </pic:cNvPicPr>
                  </pic:nvPicPr>
                  <pic:blipFill>
                    <a:blip r:embed="rId37" cstate="screen">
                      <a:extLst>
                        <a:ext uri="{28A0092B-C50C-407E-A947-70E740481C1C}">
                          <a14:useLocalDpi xmlns:a14="http://schemas.microsoft.com/office/drawing/2010/main"/>
                        </a:ext>
                      </a:extLst>
                    </a:blip>
                    <a:srcRect l="-17867" t="-4034" r="-18134" b="-4247"/>
                    <a:stretch>
                      <a:fillRect/>
                    </a:stretch>
                  </pic:blipFill>
                  <pic:spPr bwMode="auto">
                    <a:xfrm>
                      <a:off x="0" y="0"/>
                      <a:ext cx="400050" cy="400050"/>
                    </a:xfrm>
                    <a:prstGeom prst="rect">
                      <a:avLst/>
                    </a:prstGeom>
                    <a:noFill/>
                  </pic:spPr>
                </pic:pic>
              </a:graphicData>
            </a:graphic>
            <wp14:sizeRelH relativeFrom="page">
              <wp14:pctWidth>0</wp14:pctWidth>
            </wp14:sizeRelH>
            <wp14:sizeRelV relativeFrom="page">
              <wp14:pctHeight>0</wp14:pctHeight>
            </wp14:sizeRelV>
          </wp:anchor>
        </w:drawing>
      </w:r>
      <w:r w:rsidR="00F57E67" w:rsidRPr="00ED4D49">
        <w:rPr>
          <w:rFonts w:cs="Calibri"/>
          <w:color w:val="1F497D"/>
          <w:szCs w:val="20"/>
          <w:lang w:val="en-US"/>
        </w:rPr>
        <w:t>Environmental and Social Standard 1 –</w:t>
      </w:r>
      <w:r w:rsidR="002D0A5C" w:rsidRPr="00ED4D49">
        <w:rPr>
          <w:rFonts w:cs="Calibri"/>
          <w:color w:val="1F497D"/>
          <w:szCs w:val="20"/>
          <w:lang w:val="en-US"/>
        </w:rPr>
        <w:t xml:space="preserve"> </w:t>
      </w:r>
      <w:r w:rsidR="00F57E67" w:rsidRPr="00ED4D49">
        <w:rPr>
          <w:rFonts w:cs="Calibri"/>
          <w:color w:val="1F497D"/>
          <w:szCs w:val="20"/>
          <w:lang w:val="en-US"/>
        </w:rPr>
        <w:t xml:space="preserve">Assessment and Management of </w:t>
      </w:r>
      <w:r w:rsidR="002D0A5C" w:rsidRPr="00ED4D49">
        <w:rPr>
          <w:rFonts w:cs="Calibri"/>
          <w:color w:val="1F497D"/>
          <w:szCs w:val="20"/>
          <w:lang w:val="en-US"/>
        </w:rPr>
        <w:t>E&amp;S</w:t>
      </w:r>
      <w:r w:rsidR="00F57E67" w:rsidRPr="00ED4D49">
        <w:rPr>
          <w:rFonts w:cs="Calibri"/>
          <w:color w:val="1F497D"/>
          <w:szCs w:val="20"/>
          <w:lang w:val="en-US"/>
        </w:rPr>
        <w:t xml:space="preserve"> Risks and Impacts i</w:t>
      </w:r>
      <w:r w:rsidR="00F57E67" w:rsidRPr="00ED4D49">
        <w:rPr>
          <w:rFonts w:cs="Calibri"/>
          <w:lang w:val="en-US" w:eastAsia="x-none"/>
        </w:rPr>
        <w:t xml:space="preserve">s applied to all projects supported by the Bank through Investment Project Financing. The objective is to identify, evaluate and manage </w:t>
      </w:r>
      <w:r w:rsidR="002D0A5C" w:rsidRPr="00ED4D49">
        <w:rPr>
          <w:rFonts w:cs="Calibri"/>
          <w:lang w:val="en-US" w:eastAsia="x-none"/>
        </w:rPr>
        <w:t xml:space="preserve">E&amp;S </w:t>
      </w:r>
      <w:r w:rsidR="00F57E67" w:rsidRPr="00ED4D49">
        <w:rPr>
          <w:rFonts w:cs="Calibri"/>
          <w:lang w:val="en-US" w:eastAsia="x-none"/>
        </w:rPr>
        <w:t xml:space="preserve">risks and impacts associated with each stage of project, in order to achieve </w:t>
      </w:r>
      <w:r w:rsidR="002D0A5C" w:rsidRPr="00ED4D49">
        <w:rPr>
          <w:rFonts w:cs="Calibri"/>
          <w:lang w:val="en-US" w:eastAsia="x-none"/>
        </w:rPr>
        <w:t>E&amp;S</w:t>
      </w:r>
      <w:r w:rsidR="00F57E67" w:rsidRPr="00ED4D49">
        <w:rPr>
          <w:rFonts w:cs="Calibri"/>
          <w:lang w:val="en-US" w:eastAsia="x-none"/>
        </w:rPr>
        <w:t xml:space="preserve"> outcomes consistent with Bank requirements.</w:t>
      </w:r>
    </w:p>
    <w:p w14:paraId="72AE8C75" w14:textId="6D166F0A" w:rsidR="00F57E67" w:rsidRPr="00ED4D49" w:rsidRDefault="00F57E67" w:rsidP="00F57E67">
      <w:pPr>
        <w:jc w:val="both"/>
        <w:rPr>
          <w:rFonts w:cs="Calibri"/>
          <w:lang w:val="en-US" w:eastAsia="x-none"/>
        </w:rPr>
      </w:pPr>
      <w:r w:rsidRPr="00ED4D49">
        <w:rPr>
          <w:rFonts w:cs="Calibri"/>
          <w:lang w:val="en-US" w:eastAsia="x-none"/>
        </w:rPr>
        <w:t>ESS1 is also applied to all Associated Facilities/Activities which must meet ESSs requirements to the extent that the Borrower has control or influence over such Associated Facilities/Activities.</w:t>
      </w:r>
      <w:r w:rsidRPr="00ED4D49">
        <w:rPr>
          <w:rStyle w:val="FootnoteReference"/>
          <w:rFonts w:cs="Calibri"/>
          <w:lang w:val="en-US" w:eastAsia="x-none"/>
        </w:rPr>
        <w:footnoteReference w:id="35"/>
      </w:r>
    </w:p>
    <w:p w14:paraId="2D4F4FA7" w14:textId="10AED10A" w:rsidR="00F57E67" w:rsidRPr="00ED4D49" w:rsidRDefault="00F57E67" w:rsidP="00F57E67">
      <w:pPr>
        <w:jc w:val="both"/>
        <w:rPr>
          <w:rFonts w:cs="Calibri"/>
          <w:lang w:val="en-US" w:eastAsia="x-none"/>
        </w:rPr>
      </w:pPr>
      <w:r w:rsidRPr="00ED4D49">
        <w:rPr>
          <w:rFonts w:cs="Calibri"/>
          <w:lang w:val="en-US" w:eastAsia="x-none"/>
        </w:rPr>
        <w:t xml:space="preserve">Within ESS1, the Borrower is obliged to: </w:t>
      </w:r>
    </w:p>
    <w:p w14:paraId="56AF89EA" w14:textId="29580C31" w:rsidR="00F57E67" w:rsidRPr="00ED4D49" w:rsidRDefault="00F57E67" w:rsidP="0052417D">
      <w:pPr>
        <w:pStyle w:val="ListParagraph"/>
        <w:numPr>
          <w:ilvl w:val="0"/>
          <w:numId w:val="10"/>
        </w:numPr>
        <w:spacing w:after="160"/>
        <w:jc w:val="both"/>
        <w:rPr>
          <w:rFonts w:cs="Calibri"/>
          <w:sz w:val="20"/>
          <w:szCs w:val="20"/>
        </w:rPr>
      </w:pPr>
      <w:r w:rsidRPr="00ED4D49">
        <w:rPr>
          <w:rFonts w:cs="Calibri"/>
          <w:sz w:val="20"/>
          <w:szCs w:val="20"/>
        </w:rPr>
        <w:t xml:space="preserve">Conduct </w:t>
      </w:r>
      <w:r w:rsidR="00185228" w:rsidRPr="00ED4D49">
        <w:rPr>
          <w:rFonts w:cs="Calibri"/>
          <w:sz w:val="20"/>
          <w:szCs w:val="20"/>
        </w:rPr>
        <w:t xml:space="preserve">an </w:t>
      </w:r>
      <w:r w:rsidR="002D0A5C" w:rsidRPr="00ED4D49">
        <w:rPr>
          <w:rFonts w:cs="Calibri"/>
          <w:sz w:val="20"/>
          <w:szCs w:val="20"/>
          <w:lang w:eastAsia="x-none"/>
        </w:rPr>
        <w:t>E&amp;S</w:t>
      </w:r>
      <w:r w:rsidR="002D0A5C" w:rsidRPr="00ED4D49">
        <w:rPr>
          <w:rFonts w:cs="Calibri"/>
          <w:sz w:val="20"/>
          <w:szCs w:val="20"/>
        </w:rPr>
        <w:t xml:space="preserve"> </w:t>
      </w:r>
      <w:r w:rsidRPr="00ED4D49">
        <w:rPr>
          <w:rFonts w:cs="Calibri"/>
          <w:sz w:val="20"/>
          <w:szCs w:val="20"/>
        </w:rPr>
        <w:t xml:space="preserve">assessment of the propose project, including stakeholder engagement, </w:t>
      </w:r>
    </w:p>
    <w:p w14:paraId="274AC474" w14:textId="77777777" w:rsidR="00F57E67" w:rsidRPr="00ED4D49" w:rsidRDefault="00F57E67" w:rsidP="0052417D">
      <w:pPr>
        <w:pStyle w:val="ListParagraph"/>
        <w:numPr>
          <w:ilvl w:val="0"/>
          <w:numId w:val="10"/>
        </w:numPr>
        <w:spacing w:after="160"/>
        <w:jc w:val="both"/>
        <w:rPr>
          <w:rFonts w:cs="Calibri"/>
          <w:sz w:val="20"/>
          <w:szCs w:val="20"/>
        </w:rPr>
      </w:pPr>
      <w:r w:rsidRPr="00ED4D49">
        <w:rPr>
          <w:rFonts w:cs="Calibri"/>
          <w:sz w:val="20"/>
          <w:szCs w:val="20"/>
        </w:rPr>
        <w:t>Undertake stakeholder engagement and disclose appropriate information in accordance with ESS10,</w:t>
      </w:r>
    </w:p>
    <w:p w14:paraId="7A5F65F0" w14:textId="77777777" w:rsidR="00F57E67" w:rsidRPr="00ED4D49" w:rsidRDefault="00F57E67" w:rsidP="0052417D">
      <w:pPr>
        <w:pStyle w:val="ListParagraph"/>
        <w:numPr>
          <w:ilvl w:val="0"/>
          <w:numId w:val="10"/>
        </w:numPr>
        <w:spacing w:after="160"/>
        <w:jc w:val="both"/>
        <w:rPr>
          <w:rFonts w:cs="Calibri"/>
          <w:sz w:val="20"/>
          <w:szCs w:val="20"/>
        </w:rPr>
      </w:pPr>
      <w:r w:rsidRPr="00ED4D49">
        <w:rPr>
          <w:rFonts w:cs="Calibri"/>
          <w:sz w:val="20"/>
          <w:szCs w:val="20"/>
        </w:rPr>
        <w:t>Develop an Environmental and Social Commitment Plan (ESCP) and implement all measures and actions set out in the legal agreement including the ESCP,</w:t>
      </w:r>
    </w:p>
    <w:p w14:paraId="38D69330" w14:textId="77777777" w:rsidR="00F57E67" w:rsidRPr="00ED4D49" w:rsidRDefault="00F57E67" w:rsidP="0052417D">
      <w:pPr>
        <w:pStyle w:val="ListParagraph"/>
        <w:numPr>
          <w:ilvl w:val="0"/>
          <w:numId w:val="10"/>
        </w:numPr>
        <w:spacing w:after="160"/>
        <w:jc w:val="both"/>
        <w:rPr>
          <w:rFonts w:cs="Calibri"/>
          <w:sz w:val="20"/>
          <w:szCs w:val="20"/>
        </w:rPr>
      </w:pPr>
      <w:r w:rsidRPr="00ED4D49">
        <w:rPr>
          <w:rFonts w:cs="Calibri"/>
          <w:sz w:val="20"/>
          <w:szCs w:val="20"/>
        </w:rPr>
        <w:t>Conduct monitoring and reporting on the environmental and social performance of the project against the ESSs.</w:t>
      </w:r>
    </w:p>
    <w:p w14:paraId="1AD95A9A" w14:textId="26A20ECA" w:rsidR="00F57E67" w:rsidRPr="00ED4D49" w:rsidRDefault="00F57E67" w:rsidP="00F57E67">
      <w:pPr>
        <w:jc w:val="both"/>
        <w:rPr>
          <w:rFonts w:cs="Calibri"/>
          <w:lang w:val="en-US" w:eastAsia="x-none"/>
        </w:rPr>
      </w:pPr>
      <w:r w:rsidRPr="00ED4D49">
        <w:rPr>
          <w:rFonts w:cs="Calibri"/>
          <w:lang w:val="en-US" w:eastAsia="x-none"/>
        </w:rPr>
        <w:t xml:space="preserve">The environmental and social assessment will be proportionate to the risks and impacts of the project and will assess in an integrated way all relevant direct, indirect and cumulative </w:t>
      </w:r>
      <w:r w:rsidR="002D0A5C" w:rsidRPr="00ED4D49">
        <w:rPr>
          <w:rFonts w:cs="Calibri"/>
          <w:szCs w:val="20"/>
          <w:lang w:val="en-US" w:eastAsia="x-none"/>
        </w:rPr>
        <w:t>E&amp;S</w:t>
      </w:r>
      <w:r w:rsidR="002D0A5C" w:rsidRPr="00ED4D49">
        <w:rPr>
          <w:rFonts w:cs="Calibri"/>
          <w:szCs w:val="20"/>
          <w:lang w:val="en-US"/>
        </w:rPr>
        <w:t xml:space="preserve"> </w:t>
      </w:r>
      <w:r w:rsidRPr="00ED4D49">
        <w:rPr>
          <w:rFonts w:cs="Calibri"/>
          <w:lang w:val="en-US" w:eastAsia="x-none"/>
        </w:rPr>
        <w:t xml:space="preserve">risks and impacts throughout project life cycle, including those specifically identified in the ESS2-10. </w:t>
      </w:r>
      <w:r w:rsidR="002D0A5C" w:rsidRPr="00ED4D49">
        <w:rPr>
          <w:rFonts w:cs="Calibri"/>
          <w:lang w:val="en-US" w:eastAsia="x-none"/>
        </w:rPr>
        <w:t xml:space="preserve">The </w:t>
      </w:r>
      <w:r w:rsidR="002D0A5C" w:rsidRPr="00ED4D49">
        <w:rPr>
          <w:rFonts w:cs="Calibri"/>
          <w:szCs w:val="20"/>
          <w:lang w:val="en-US" w:eastAsia="x-none"/>
        </w:rPr>
        <w:t>E&amp;S</w:t>
      </w:r>
      <w:r w:rsidR="002D0A5C" w:rsidRPr="00ED4D49">
        <w:rPr>
          <w:rFonts w:cs="Calibri"/>
          <w:szCs w:val="20"/>
          <w:lang w:val="en-US"/>
        </w:rPr>
        <w:t xml:space="preserve"> </w:t>
      </w:r>
      <w:r w:rsidRPr="00ED4D49">
        <w:rPr>
          <w:rFonts w:cs="Calibri"/>
          <w:lang w:val="en-US" w:eastAsia="x-none"/>
        </w:rPr>
        <w:t>assessment process shall apply mitigation hierarchy according to which: (a) risks and adverse impacts needs to be anticipated and to the extent possible avoided, while positive impacts and benefits for the community and physical environment need to be maximized, (b) where avoidance is not possible, minimize or reduce risks and impacts to acceptable levels; (c) residual adverse impacts and risks need to be removed or mitigated to the acceptable level; (d) where significant residual impacts remain, compensate where technically and financially feasible.</w:t>
      </w:r>
    </w:p>
    <w:p w14:paraId="3005EEEA" w14:textId="3BC7C44C" w:rsidR="00F57E67" w:rsidRPr="00ED4D49" w:rsidRDefault="00F57E67" w:rsidP="00855D67">
      <w:pPr>
        <w:spacing w:before="0"/>
        <w:jc w:val="both"/>
        <w:rPr>
          <w:rStyle w:val="tlid-translation"/>
          <w:rFonts w:cs="Calibri"/>
          <w:lang w:val="en-US"/>
        </w:rPr>
      </w:pPr>
      <w:r w:rsidRPr="00ED4D49">
        <w:rPr>
          <w:rStyle w:val="tlid-translation"/>
          <w:rFonts w:cs="Calibri"/>
          <w:lang w:val="en-US"/>
        </w:rPr>
        <w:t xml:space="preserve">For projects which involve </w:t>
      </w:r>
      <w:r w:rsidR="002D0A5C" w:rsidRPr="00ED4D49">
        <w:rPr>
          <w:rStyle w:val="tlid-translation"/>
          <w:rFonts w:cs="Calibri"/>
          <w:lang w:val="en-US"/>
        </w:rPr>
        <w:t>a set</w:t>
      </w:r>
      <w:r w:rsidR="00855D67" w:rsidRPr="00ED4D49">
        <w:rPr>
          <w:rStyle w:val="tlid-translation"/>
          <w:rFonts w:cs="Calibri"/>
          <w:lang w:val="en-US"/>
        </w:rPr>
        <w:t xml:space="preserve"> of</w:t>
      </w:r>
      <w:r w:rsidRPr="00ED4D49">
        <w:rPr>
          <w:rStyle w:val="tlid-translation"/>
          <w:rFonts w:cs="Calibri"/>
          <w:lang w:val="en-US"/>
        </w:rPr>
        <w:t xml:space="preserve"> subprojects, identified, prepared and implemented during the Project, </w:t>
      </w:r>
      <w:r w:rsidR="00855D67" w:rsidRPr="00ED4D49">
        <w:rPr>
          <w:rStyle w:val="tlid-translation"/>
          <w:rFonts w:cs="Calibri"/>
          <w:lang w:val="en-US"/>
        </w:rPr>
        <w:t xml:space="preserve">environmental and social assessment is carried out using the instrument of Environmental and Social Management Framework (ESMF). The ESMF sets out the principles, rules, guidelines and procedures to assess the environmental and social risks and impacts of any future </w:t>
      </w:r>
      <w:r w:rsidR="00BB3655" w:rsidRPr="00ED4D49">
        <w:rPr>
          <w:rStyle w:val="tlid-translation"/>
          <w:rFonts w:cs="Calibri"/>
          <w:lang w:val="en-US"/>
        </w:rPr>
        <w:t>subprojects</w:t>
      </w:r>
      <w:r w:rsidR="00855D67" w:rsidRPr="00ED4D49">
        <w:rPr>
          <w:rStyle w:val="tlid-translation"/>
          <w:rFonts w:cs="Calibri"/>
          <w:lang w:val="en-US"/>
        </w:rPr>
        <w:t xml:space="preserve">. </w:t>
      </w:r>
    </w:p>
    <w:p w14:paraId="6EAB530F" w14:textId="77777777" w:rsidR="00F57E67" w:rsidRPr="00ED4D49" w:rsidRDefault="00F57E67" w:rsidP="00F57E67">
      <w:pPr>
        <w:spacing w:before="0"/>
        <w:ind w:left="720"/>
        <w:jc w:val="both"/>
        <w:rPr>
          <w:rStyle w:val="tlid-translation"/>
          <w:rFonts w:cs="Calibri"/>
          <w:lang w:val="en-US"/>
        </w:rPr>
      </w:pPr>
    </w:p>
    <w:p w14:paraId="3D9E4E4D" w14:textId="1447A638" w:rsidR="00F57E67" w:rsidRPr="00ED4D49" w:rsidRDefault="00E548FB" w:rsidP="00F57E67">
      <w:pPr>
        <w:spacing w:after="0"/>
        <w:jc w:val="both"/>
        <w:rPr>
          <w:rFonts w:cs="Calibri"/>
          <w:i/>
          <w:iCs/>
          <w:szCs w:val="20"/>
          <w:lang w:val="en-US" w:eastAsia="hr-HR"/>
        </w:rPr>
      </w:pPr>
      <w:r w:rsidRPr="00ED4D49">
        <w:rPr>
          <w:rFonts w:cs="Calibri"/>
          <w:noProof/>
          <w:color w:val="1F497D"/>
          <w:szCs w:val="20"/>
          <w:lang w:val="bs-Latn-BA" w:eastAsia="bs-Latn-BA"/>
        </w:rPr>
        <w:drawing>
          <wp:anchor distT="0" distB="0" distL="114300" distR="114300" simplePos="0" relativeHeight="3" behindDoc="0" locked="0" layoutInCell="1" allowOverlap="1" wp14:anchorId="769375D9" wp14:editId="68DDFC0B">
            <wp:simplePos x="0" y="0"/>
            <wp:positionH relativeFrom="column">
              <wp:posOffset>-25400</wp:posOffset>
            </wp:positionH>
            <wp:positionV relativeFrom="paragraph">
              <wp:posOffset>-1270</wp:posOffset>
            </wp:positionV>
            <wp:extent cx="400050" cy="400050"/>
            <wp:effectExtent l="0" t="0" r="0" b="0"/>
            <wp:wrapSquare wrapText="bothSides"/>
            <wp:docPr id="42" name="Picture 41" descr="Checklis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1" descr="Checklist"/>
                    <pic:cNvPicPr>
                      <a:picLocks/>
                    </pic:cNvPicPr>
                  </pic:nvPicPr>
                  <pic:blipFill>
                    <a:blip r:embed="rId37" cstate="screen">
                      <a:extLst>
                        <a:ext uri="{28A0092B-C50C-407E-A947-70E740481C1C}">
                          <a14:useLocalDpi xmlns:a14="http://schemas.microsoft.com/office/drawing/2010/main"/>
                        </a:ext>
                      </a:extLst>
                    </a:blip>
                    <a:srcRect l="-17867" t="-4034" r="-18134" b="-4247"/>
                    <a:stretch>
                      <a:fillRect/>
                    </a:stretch>
                  </pic:blipFill>
                  <pic:spPr bwMode="auto">
                    <a:xfrm>
                      <a:off x="0" y="0"/>
                      <a:ext cx="400050" cy="400050"/>
                    </a:xfrm>
                    <a:prstGeom prst="rect">
                      <a:avLst/>
                    </a:prstGeom>
                    <a:noFill/>
                  </pic:spPr>
                </pic:pic>
              </a:graphicData>
            </a:graphic>
            <wp14:sizeRelH relativeFrom="page">
              <wp14:pctWidth>0</wp14:pctWidth>
            </wp14:sizeRelH>
            <wp14:sizeRelV relativeFrom="page">
              <wp14:pctHeight>0</wp14:pctHeight>
            </wp14:sizeRelV>
          </wp:anchor>
        </w:drawing>
      </w:r>
      <w:r w:rsidR="00F57E67" w:rsidRPr="00ED4D49">
        <w:rPr>
          <w:rFonts w:cs="Calibri"/>
          <w:color w:val="1F497D"/>
          <w:szCs w:val="20"/>
          <w:lang w:val="en-US"/>
        </w:rPr>
        <w:t xml:space="preserve">Environmental and Social Standard 2 – Labor and Working Conditions </w:t>
      </w:r>
      <w:r w:rsidR="00F57E67" w:rsidRPr="00ED4D49">
        <w:rPr>
          <w:rFonts w:cs="Calibri"/>
          <w:szCs w:val="20"/>
          <w:lang w:val="en-US" w:eastAsia="hr-HR"/>
        </w:rPr>
        <w:t>regulates working conditions, and scope of its application depends on type of employment relations between the Borrower and project workers. The term “project worker” is related to:</w:t>
      </w:r>
      <w:r w:rsidR="00C6478C" w:rsidRPr="00ED4D49">
        <w:rPr>
          <w:rFonts w:cs="Calibri"/>
          <w:szCs w:val="20"/>
          <w:lang w:val="en-US" w:eastAsia="hr-HR"/>
        </w:rPr>
        <w:t xml:space="preserve"> </w:t>
      </w:r>
    </w:p>
    <w:p w14:paraId="7D2EB084" w14:textId="77777777" w:rsidR="00F57E67" w:rsidRPr="00ED4D49" w:rsidRDefault="00F57E67" w:rsidP="00F57E67">
      <w:pPr>
        <w:spacing w:after="0"/>
        <w:jc w:val="both"/>
        <w:rPr>
          <w:rFonts w:cs="Calibri"/>
          <w:szCs w:val="20"/>
          <w:lang w:val="en-US" w:eastAsia="hr-HR"/>
        </w:rPr>
      </w:pPr>
    </w:p>
    <w:p w14:paraId="0336C246" w14:textId="77777777" w:rsidR="00F57E67" w:rsidRPr="00ED4D49" w:rsidRDefault="00F57E67" w:rsidP="0052417D">
      <w:pPr>
        <w:numPr>
          <w:ilvl w:val="0"/>
          <w:numId w:val="12"/>
        </w:numPr>
        <w:autoSpaceDE w:val="0"/>
        <w:autoSpaceDN w:val="0"/>
        <w:adjustRightInd w:val="0"/>
        <w:spacing w:before="0" w:after="0"/>
        <w:jc w:val="both"/>
        <w:rPr>
          <w:rFonts w:cs="Calibri"/>
          <w:szCs w:val="20"/>
          <w:lang w:val="en-US" w:eastAsia="hr-HR"/>
        </w:rPr>
      </w:pPr>
      <w:r w:rsidRPr="00ED4D49">
        <w:rPr>
          <w:rFonts w:cs="Calibri"/>
          <w:szCs w:val="20"/>
          <w:lang w:val="en-US" w:eastAsia="hr-HR"/>
        </w:rPr>
        <w:t xml:space="preserve">people employed or engaged directly by the Borrower (including the project proponent and the project implementing agencies) to work specifically in relation to the project (direct workers); </w:t>
      </w:r>
    </w:p>
    <w:p w14:paraId="66C7B6E4" w14:textId="1D7E79FA" w:rsidR="00F57E67" w:rsidRPr="00ED4D49" w:rsidRDefault="00F57E67" w:rsidP="0052417D">
      <w:pPr>
        <w:numPr>
          <w:ilvl w:val="0"/>
          <w:numId w:val="12"/>
        </w:numPr>
        <w:autoSpaceDE w:val="0"/>
        <w:autoSpaceDN w:val="0"/>
        <w:adjustRightInd w:val="0"/>
        <w:spacing w:before="0" w:after="0"/>
        <w:jc w:val="both"/>
        <w:rPr>
          <w:rFonts w:cs="Calibri"/>
          <w:szCs w:val="20"/>
          <w:lang w:val="en-US" w:eastAsia="hr-HR"/>
        </w:rPr>
      </w:pPr>
      <w:r w:rsidRPr="00ED4D49">
        <w:rPr>
          <w:rFonts w:cs="Calibri"/>
          <w:szCs w:val="20"/>
          <w:lang w:val="en-US" w:eastAsia="hr-HR"/>
        </w:rPr>
        <w:t>people employed or engaged through third parties to perform work related to core functions of the project, regardless of location (contracted workers); (c)</w:t>
      </w:r>
      <w:r w:rsidR="002D0A5C" w:rsidRPr="00ED4D49">
        <w:rPr>
          <w:rFonts w:cs="Calibri"/>
          <w:szCs w:val="20"/>
          <w:lang w:val="en-US" w:eastAsia="hr-HR"/>
        </w:rPr>
        <w:t xml:space="preserve"> </w:t>
      </w:r>
      <w:r w:rsidRPr="00ED4D49">
        <w:rPr>
          <w:rFonts w:cs="Calibri"/>
          <w:szCs w:val="20"/>
          <w:lang w:val="en-US" w:eastAsia="hr-HR"/>
        </w:rPr>
        <w:t>people employed or engaged by the Borrower’s primary suppliers (primary supply workers); and (d) people employed or engaged in providing community labor (community workers).</w:t>
      </w:r>
    </w:p>
    <w:p w14:paraId="16C04344" w14:textId="77777777" w:rsidR="00F57E67" w:rsidRPr="00ED4D49" w:rsidRDefault="00F57E67" w:rsidP="00F57E67">
      <w:pPr>
        <w:autoSpaceDE w:val="0"/>
        <w:autoSpaceDN w:val="0"/>
        <w:adjustRightInd w:val="0"/>
        <w:spacing w:before="0" w:after="0"/>
        <w:jc w:val="both"/>
        <w:rPr>
          <w:rFonts w:cs="Calibri"/>
          <w:i/>
          <w:iCs/>
          <w:szCs w:val="20"/>
          <w:lang w:val="en-US" w:eastAsia="hr-HR"/>
        </w:rPr>
      </w:pPr>
    </w:p>
    <w:p w14:paraId="68E14A89" w14:textId="40C3E74E" w:rsidR="00F57E67" w:rsidRPr="00ED4D49" w:rsidRDefault="00F57E67" w:rsidP="00F57E67">
      <w:pPr>
        <w:spacing w:before="0"/>
        <w:jc w:val="both"/>
        <w:rPr>
          <w:rFonts w:cs="Calibri"/>
          <w:lang w:val="en-US" w:eastAsia="x-none"/>
        </w:rPr>
      </w:pPr>
      <w:bookmarkStart w:id="172" w:name="_Hlk11347940"/>
      <w:r w:rsidRPr="00ED4D49">
        <w:rPr>
          <w:rFonts w:cs="Calibri"/>
          <w:lang w:val="en-US" w:eastAsia="x-none"/>
        </w:rPr>
        <w:lastRenderedPageBreak/>
        <w:t>ESS2 objectives are:</w:t>
      </w:r>
      <w:r w:rsidR="00C6478C" w:rsidRPr="00ED4D49">
        <w:rPr>
          <w:rFonts w:cs="Calibri"/>
          <w:lang w:val="en-US" w:eastAsia="x-none"/>
        </w:rPr>
        <w:t xml:space="preserve"> </w:t>
      </w:r>
    </w:p>
    <w:p w14:paraId="25F56ADF" w14:textId="77777777" w:rsidR="00F57E67" w:rsidRPr="00ED4D49" w:rsidRDefault="00F57E67" w:rsidP="0052417D">
      <w:pPr>
        <w:pStyle w:val="ListParagraph"/>
        <w:numPr>
          <w:ilvl w:val="0"/>
          <w:numId w:val="11"/>
        </w:numPr>
        <w:spacing w:before="0" w:after="0"/>
        <w:jc w:val="both"/>
        <w:rPr>
          <w:rFonts w:cs="Calibri"/>
          <w:sz w:val="20"/>
          <w:szCs w:val="20"/>
        </w:rPr>
      </w:pPr>
      <w:r w:rsidRPr="00ED4D49">
        <w:rPr>
          <w:rFonts w:cs="Calibri"/>
          <w:sz w:val="20"/>
          <w:szCs w:val="20"/>
        </w:rPr>
        <w:t xml:space="preserve">To promote safety and health at work </w:t>
      </w:r>
    </w:p>
    <w:p w14:paraId="5311C593" w14:textId="77777777" w:rsidR="00F57E67" w:rsidRPr="00ED4D49" w:rsidRDefault="00F57E67" w:rsidP="0052417D">
      <w:pPr>
        <w:pStyle w:val="ListParagraph"/>
        <w:numPr>
          <w:ilvl w:val="0"/>
          <w:numId w:val="11"/>
        </w:numPr>
        <w:spacing w:before="0" w:after="0"/>
        <w:jc w:val="both"/>
        <w:rPr>
          <w:rFonts w:cs="Calibri"/>
          <w:sz w:val="20"/>
          <w:szCs w:val="20"/>
        </w:rPr>
      </w:pPr>
      <w:r w:rsidRPr="00ED4D49">
        <w:rPr>
          <w:rFonts w:cs="Calibri"/>
          <w:sz w:val="20"/>
          <w:szCs w:val="20"/>
        </w:rPr>
        <w:t>To promote the fair treatment, nondiscrimination and equal opportunity of project workers.</w:t>
      </w:r>
    </w:p>
    <w:p w14:paraId="6BD58D10" w14:textId="77777777" w:rsidR="00F57E67" w:rsidRPr="00ED4D49" w:rsidRDefault="00F57E67" w:rsidP="0052417D">
      <w:pPr>
        <w:pStyle w:val="ListParagraph"/>
        <w:numPr>
          <w:ilvl w:val="0"/>
          <w:numId w:val="11"/>
        </w:numPr>
        <w:spacing w:before="0" w:after="0"/>
        <w:jc w:val="both"/>
        <w:rPr>
          <w:rFonts w:cs="Calibri"/>
          <w:sz w:val="20"/>
          <w:szCs w:val="20"/>
        </w:rPr>
      </w:pPr>
      <w:r w:rsidRPr="00ED4D49">
        <w:rPr>
          <w:rFonts w:cs="Calibri"/>
          <w:sz w:val="20"/>
          <w:szCs w:val="20"/>
        </w:rPr>
        <w:t>To protect project workers, including vulnerable workers such as women, persons with disabilities, children (of working age, in accordance with this ESS) and migrant workers, contracted workers, community workers and primary supply workers.</w:t>
      </w:r>
    </w:p>
    <w:p w14:paraId="7A9197E5" w14:textId="77777777" w:rsidR="00F57E67" w:rsidRPr="00ED4D49" w:rsidRDefault="00F57E67" w:rsidP="0052417D">
      <w:pPr>
        <w:pStyle w:val="ListParagraph"/>
        <w:numPr>
          <w:ilvl w:val="0"/>
          <w:numId w:val="11"/>
        </w:numPr>
        <w:spacing w:before="0" w:after="0"/>
        <w:jc w:val="both"/>
        <w:rPr>
          <w:rFonts w:cs="Calibri"/>
          <w:sz w:val="20"/>
          <w:szCs w:val="20"/>
        </w:rPr>
      </w:pPr>
      <w:r w:rsidRPr="00ED4D49">
        <w:rPr>
          <w:rFonts w:cs="Calibri"/>
          <w:sz w:val="20"/>
          <w:szCs w:val="20"/>
        </w:rPr>
        <w:t xml:space="preserve">To prevent the use of all forms of forced labor and child labor </w:t>
      </w:r>
    </w:p>
    <w:p w14:paraId="3E7D1A69" w14:textId="77777777" w:rsidR="00F57E67" w:rsidRPr="00ED4D49" w:rsidRDefault="00F57E67" w:rsidP="0052417D">
      <w:pPr>
        <w:pStyle w:val="ListParagraph"/>
        <w:numPr>
          <w:ilvl w:val="0"/>
          <w:numId w:val="11"/>
        </w:numPr>
        <w:spacing w:before="0" w:after="0"/>
        <w:jc w:val="both"/>
        <w:rPr>
          <w:rFonts w:cs="Calibri"/>
          <w:sz w:val="20"/>
          <w:szCs w:val="20"/>
        </w:rPr>
      </w:pPr>
      <w:r w:rsidRPr="00ED4D49">
        <w:rPr>
          <w:rFonts w:cs="Calibri"/>
          <w:sz w:val="20"/>
          <w:szCs w:val="20"/>
        </w:rPr>
        <w:t>To support the principles of freedom of association and collective bargaining of project workers in a manner consistent with national law.</w:t>
      </w:r>
    </w:p>
    <w:p w14:paraId="606B0F7A" w14:textId="77777777" w:rsidR="00F57E67" w:rsidRPr="00ED4D49" w:rsidRDefault="00F57E67" w:rsidP="0052417D">
      <w:pPr>
        <w:pStyle w:val="ListParagraph"/>
        <w:numPr>
          <w:ilvl w:val="0"/>
          <w:numId w:val="11"/>
        </w:numPr>
        <w:spacing w:before="0" w:after="0"/>
        <w:jc w:val="both"/>
        <w:rPr>
          <w:rFonts w:cs="Calibri"/>
          <w:sz w:val="20"/>
          <w:szCs w:val="20"/>
        </w:rPr>
      </w:pPr>
      <w:r w:rsidRPr="00ED4D49">
        <w:rPr>
          <w:rFonts w:cs="Calibri"/>
          <w:sz w:val="20"/>
          <w:szCs w:val="20"/>
        </w:rPr>
        <w:t>To provide project workers with accessible means to raise workplace concerns.</w:t>
      </w:r>
    </w:p>
    <w:bookmarkEnd w:id="172"/>
    <w:p w14:paraId="063D934A" w14:textId="77777777" w:rsidR="00F57E67" w:rsidRPr="00ED4D49" w:rsidRDefault="00E548FB" w:rsidP="00F57E67">
      <w:pPr>
        <w:autoSpaceDE w:val="0"/>
        <w:autoSpaceDN w:val="0"/>
        <w:adjustRightInd w:val="0"/>
        <w:spacing w:before="0" w:after="0"/>
        <w:jc w:val="both"/>
        <w:rPr>
          <w:rFonts w:cs="Calibri"/>
          <w:i/>
          <w:iCs/>
          <w:szCs w:val="20"/>
          <w:lang w:val="en-US" w:eastAsia="hr-HR"/>
        </w:rPr>
      </w:pPr>
      <w:r w:rsidRPr="00ED4D49">
        <w:rPr>
          <w:rFonts w:cs="Calibri"/>
          <w:noProof/>
          <w:color w:val="1F497D"/>
          <w:szCs w:val="20"/>
          <w:lang w:val="bs-Latn-BA" w:eastAsia="bs-Latn-BA"/>
        </w:rPr>
        <w:drawing>
          <wp:anchor distT="0" distB="0" distL="114300" distR="114300" simplePos="0" relativeHeight="4" behindDoc="0" locked="0" layoutInCell="1" allowOverlap="1" wp14:anchorId="5D31CB1D" wp14:editId="21B017FF">
            <wp:simplePos x="0" y="0"/>
            <wp:positionH relativeFrom="column">
              <wp:posOffset>-69850</wp:posOffset>
            </wp:positionH>
            <wp:positionV relativeFrom="paragraph">
              <wp:posOffset>177800</wp:posOffset>
            </wp:positionV>
            <wp:extent cx="400050" cy="400050"/>
            <wp:effectExtent l="0" t="0" r="0" b="0"/>
            <wp:wrapSquare wrapText="bothSides"/>
            <wp:docPr id="41" name="Picture 40" descr="Checklis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 descr="Checklist"/>
                    <pic:cNvPicPr>
                      <a:picLocks/>
                    </pic:cNvPicPr>
                  </pic:nvPicPr>
                  <pic:blipFill>
                    <a:blip r:embed="rId37" cstate="screen">
                      <a:extLst>
                        <a:ext uri="{28A0092B-C50C-407E-A947-70E740481C1C}">
                          <a14:useLocalDpi xmlns:a14="http://schemas.microsoft.com/office/drawing/2010/main"/>
                        </a:ext>
                      </a:extLst>
                    </a:blip>
                    <a:srcRect l="-17867" t="-4034" r="-18134" b="-4247"/>
                    <a:stretch>
                      <a:fillRect/>
                    </a:stretch>
                  </pic:blipFill>
                  <pic:spPr bwMode="auto">
                    <a:xfrm>
                      <a:off x="0" y="0"/>
                      <a:ext cx="400050" cy="400050"/>
                    </a:xfrm>
                    <a:prstGeom prst="rect">
                      <a:avLst/>
                    </a:prstGeom>
                    <a:noFill/>
                  </pic:spPr>
                </pic:pic>
              </a:graphicData>
            </a:graphic>
            <wp14:sizeRelH relativeFrom="page">
              <wp14:pctWidth>0</wp14:pctWidth>
            </wp14:sizeRelH>
            <wp14:sizeRelV relativeFrom="page">
              <wp14:pctHeight>0</wp14:pctHeight>
            </wp14:sizeRelV>
          </wp:anchor>
        </w:drawing>
      </w:r>
    </w:p>
    <w:p w14:paraId="03483ACE" w14:textId="77777777" w:rsidR="00F57E67" w:rsidRPr="00ED4D49" w:rsidRDefault="00F57E67" w:rsidP="00F57E67">
      <w:pPr>
        <w:spacing w:before="0" w:after="0"/>
        <w:jc w:val="both"/>
        <w:rPr>
          <w:rFonts w:cs="Calibri"/>
          <w:lang w:val="en-US" w:eastAsia="x-none"/>
        </w:rPr>
      </w:pPr>
      <w:r w:rsidRPr="00ED4D49">
        <w:rPr>
          <w:rFonts w:cs="Calibri"/>
          <w:color w:val="1F497D"/>
          <w:szCs w:val="20"/>
          <w:lang w:val="en-US"/>
        </w:rPr>
        <w:t xml:space="preserve">Environmental and Social Standard 3 - Resource Efficiency and Pollution Prevention and Management </w:t>
      </w:r>
      <w:r w:rsidRPr="00ED4D49">
        <w:rPr>
          <w:rStyle w:val="tlid-translation"/>
          <w:rFonts w:cs="Calibri"/>
          <w:lang w:val="en-US"/>
        </w:rPr>
        <w:t>sets out the requirements to address resource efficiency and pollution prevention and management throughout the project life cycle consistent with Good International Industrial Practice</w:t>
      </w:r>
      <w:r w:rsidRPr="00ED4D49">
        <w:rPr>
          <w:rFonts w:ascii="Arial" w:hAnsi="Arial" w:cs="Arial"/>
          <w:szCs w:val="20"/>
          <w:lang w:val="en-US"/>
        </w:rPr>
        <w:t xml:space="preserve">. </w:t>
      </w:r>
      <w:r w:rsidRPr="00ED4D49">
        <w:rPr>
          <w:rStyle w:val="tlid-translation"/>
          <w:rFonts w:cs="Calibri"/>
          <w:lang w:val="en-US"/>
        </w:rPr>
        <w:t>Applicability of this EES is established during environmental and social assessment.</w:t>
      </w:r>
    </w:p>
    <w:p w14:paraId="050497CD" w14:textId="77777777" w:rsidR="00F57E67" w:rsidRPr="00ED4D49" w:rsidRDefault="00F57E67" w:rsidP="00F57E67">
      <w:pPr>
        <w:jc w:val="both"/>
        <w:rPr>
          <w:rFonts w:cs="Calibri"/>
          <w:lang w:val="en-US" w:eastAsia="x-none"/>
        </w:rPr>
      </w:pPr>
      <w:r w:rsidRPr="00ED4D49">
        <w:rPr>
          <w:rFonts w:cs="Calibri"/>
          <w:lang w:val="en-US" w:eastAsia="x-none"/>
        </w:rPr>
        <w:t>The Borrower shall be obliged to apply technically and financially feasible measures to improve efficient consumption of energy, water and raw material, as well as other resources. Such measures shall integrate cleaner production principles into the product design and production processes in order to conserve raw material, energy, water and other resources.</w:t>
      </w:r>
    </w:p>
    <w:p w14:paraId="1C405856" w14:textId="77777777" w:rsidR="00F57E67" w:rsidRPr="00ED4D49" w:rsidRDefault="00F57E67" w:rsidP="00F57E67">
      <w:pPr>
        <w:jc w:val="both"/>
        <w:rPr>
          <w:rFonts w:cs="Calibri"/>
          <w:lang w:val="en-US" w:eastAsia="x-none"/>
        </w:rPr>
      </w:pPr>
      <w:r w:rsidRPr="00ED4D49">
        <w:rPr>
          <w:rFonts w:cs="Calibri"/>
          <w:lang w:val="en-US" w:eastAsia="x-none"/>
        </w:rPr>
        <w:t>Besides, the Borrower will avoid the release of pollutants or, when avoidance is not feasible, minimize and control the concentration and mass flow of their release using the performance levels and measures specified in national law or the World Bank Group Environmental, Health and Safety Guidelines</w:t>
      </w:r>
      <w:r w:rsidRPr="00ED4D49">
        <w:rPr>
          <w:vertAlign w:val="superscript"/>
          <w:lang w:val="en-US" w:eastAsia="x-none"/>
        </w:rPr>
        <w:footnoteReference w:id="36"/>
      </w:r>
      <w:r w:rsidRPr="00ED4D49">
        <w:rPr>
          <w:rFonts w:cs="Calibri"/>
          <w:vertAlign w:val="superscript"/>
          <w:lang w:val="en-US" w:eastAsia="x-none"/>
        </w:rPr>
        <w:t>,</w:t>
      </w:r>
      <w:r w:rsidRPr="00ED4D49">
        <w:rPr>
          <w:rFonts w:cs="Calibri"/>
          <w:lang w:val="en-US" w:eastAsia="x-none"/>
        </w:rPr>
        <w:t xml:space="preserve"> whichever is most stringent. This applies to the release of pollutants to air, water and land due to routine, non-routine, and accidental circumstances, and with the potential for local, regional, and transboundary impacts. </w:t>
      </w:r>
    </w:p>
    <w:p w14:paraId="6B89A2F0" w14:textId="77777777" w:rsidR="00F57E67" w:rsidRPr="00ED4D49" w:rsidRDefault="00F57E67" w:rsidP="00F57E67">
      <w:pPr>
        <w:jc w:val="both"/>
        <w:rPr>
          <w:rFonts w:cs="Calibri"/>
          <w:lang w:val="en-US" w:eastAsia="x-none"/>
        </w:rPr>
      </w:pPr>
      <w:r w:rsidRPr="00ED4D49">
        <w:rPr>
          <w:rFonts w:cs="Calibri"/>
          <w:lang w:val="en-US" w:eastAsia="x-none"/>
        </w:rPr>
        <w:t xml:space="preserve">Pollution prevention and management includes management of: </w:t>
      </w:r>
    </w:p>
    <w:p w14:paraId="1A3CBBA0" w14:textId="77777777" w:rsidR="00F57E67" w:rsidRPr="00ED4D49" w:rsidRDefault="00F57E67" w:rsidP="0052417D">
      <w:pPr>
        <w:pStyle w:val="ListParagraph"/>
        <w:numPr>
          <w:ilvl w:val="0"/>
          <w:numId w:val="13"/>
        </w:numPr>
        <w:spacing w:after="160"/>
        <w:jc w:val="both"/>
        <w:rPr>
          <w:rFonts w:cs="Calibri"/>
          <w:sz w:val="20"/>
          <w:szCs w:val="20"/>
        </w:rPr>
      </w:pPr>
      <w:r w:rsidRPr="00ED4D49">
        <w:rPr>
          <w:rFonts w:cs="Calibri"/>
          <w:sz w:val="20"/>
          <w:szCs w:val="20"/>
        </w:rPr>
        <w:t xml:space="preserve">Air pollution </w:t>
      </w:r>
    </w:p>
    <w:p w14:paraId="26F6B0AF" w14:textId="77777777" w:rsidR="00F57E67" w:rsidRPr="00ED4D49" w:rsidRDefault="00F57E67" w:rsidP="0052417D">
      <w:pPr>
        <w:pStyle w:val="ListParagraph"/>
        <w:numPr>
          <w:ilvl w:val="0"/>
          <w:numId w:val="13"/>
        </w:numPr>
        <w:spacing w:after="160"/>
        <w:jc w:val="both"/>
        <w:rPr>
          <w:rFonts w:cs="Calibri"/>
          <w:sz w:val="20"/>
          <w:szCs w:val="20"/>
        </w:rPr>
      </w:pPr>
      <w:r w:rsidRPr="00ED4D49">
        <w:rPr>
          <w:rFonts w:cs="Calibri"/>
          <w:sz w:val="20"/>
          <w:szCs w:val="20"/>
        </w:rPr>
        <w:t xml:space="preserve">Hazardous and non-hazardous waste </w:t>
      </w:r>
    </w:p>
    <w:p w14:paraId="60E4EEF5" w14:textId="77777777" w:rsidR="00F57E67" w:rsidRPr="00ED4D49" w:rsidRDefault="00F57E67" w:rsidP="0052417D">
      <w:pPr>
        <w:pStyle w:val="ListParagraph"/>
        <w:numPr>
          <w:ilvl w:val="0"/>
          <w:numId w:val="13"/>
        </w:numPr>
        <w:spacing w:after="160"/>
        <w:jc w:val="both"/>
        <w:rPr>
          <w:rFonts w:cs="Calibri"/>
          <w:sz w:val="20"/>
          <w:szCs w:val="20"/>
        </w:rPr>
      </w:pPr>
      <w:r w:rsidRPr="00ED4D49">
        <w:rPr>
          <w:rFonts w:cs="Calibri"/>
          <w:sz w:val="20"/>
          <w:szCs w:val="20"/>
        </w:rPr>
        <w:t xml:space="preserve">Chemicals and hazardous material </w:t>
      </w:r>
    </w:p>
    <w:p w14:paraId="49B00E7C" w14:textId="77777777" w:rsidR="00F57E67" w:rsidRPr="00ED4D49" w:rsidRDefault="00F57E67" w:rsidP="0052417D">
      <w:pPr>
        <w:pStyle w:val="ListParagraph"/>
        <w:numPr>
          <w:ilvl w:val="0"/>
          <w:numId w:val="13"/>
        </w:numPr>
        <w:spacing w:after="160"/>
        <w:jc w:val="both"/>
        <w:rPr>
          <w:rFonts w:cs="Calibri"/>
          <w:sz w:val="20"/>
          <w:szCs w:val="20"/>
        </w:rPr>
      </w:pPr>
      <w:r w:rsidRPr="00ED4D49">
        <w:rPr>
          <w:rFonts w:cs="Calibri"/>
          <w:sz w:val="20"/>
          <w:szCs w:val="20"/>
        </w:rPr>
        <w:t>Pesticides</w:t>
      </w:r>
    </w:p>
    <w:p w14:paraId="022890F4" w14:textId="77777777" w:rsidR="00F57E67" w:rsidRPr="00ED4D49" w:rsidRDefault="00E548FB" w:rsidP="00F57E67">
      <w:pPr>
        <w:pStyle w:val="ListParagraph"/>
        <w:spacing w:after="160"/>
        <w:jc w:val="both"/>
        <w:rPr>
          <w:rFonts w:cs="Calibri"/>
          <w:sz w:val="20"/>
          <w:szCs w:val="20"/>
        </w:rPr>
      </w:pPr>
      <w:r w:rsidRPr="00ED4D49">
        <w:rPr>
          <w:rFonts w:cs="Calibri"/>
          <w:noProof/>
          <w:color w:val="1F497D"/>
          <w:szCs w:val="20"/>
          <w:lang w:val="bs-Latn-BA" w:eastAsia="bs-Latn-BA"/>
        </w:rPr>
        <w:drawing>
          <wp:anchor distT="0" distB="0" distL="114300" distR="114300" simplePos="0" relativeHeight="5" behindDoc="0" locked="0" layoutInCell="1" allowOverlap="1" wp14:anchorId="60B9DB6B" wp14:editId="0F00CFB1">
            <wp:simplePos x="0" y="0"/>
            <wp:positionH relativeFrom="column">
              <wp:posOffset>-63500</wp:posOffset>
            </wp:positionH>
            <wp:positionV relativeFrom="paragraph">
              <wp:posOffset>295910</wp:posOffset>
            </wp:positionV>
            <wp:extent cx="400050" cy="400050"/>
            <wp:effectExtent l="0" t="0" r="0" b="0"/>
            <wp:wrapSquare wrapText="bothSides"/>
            <wp:docPr id="40" name="Picture 39" descr="Checklis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9" descr="Checklist"/>
                    <pic:cNvPicPr>
                      <a:picLocks/>
                    </pic:cNvPicPr>
                  </pic:nvPicPr>
                  <pic:blipFill>
                    <a:blip r:embed="rId37" cstate="screen">
                      <a:extLst>
                        <a:ext uri="{28A0092B-C50C-407E-A947-70E740481C1C}">
                          <a14:useLocalDpi xmlns:a14="http://schemas.microsoft.com/office/drawing/2010/main"/>
                        </a:ext>
                      </a:extLst>
                    </a:blip>
                    <a:srcRect l="-17867" t="-4034" r="-18134" b="-4247"/>
                    <a:stretch>
                      <a:fillRect/>
                    </a:stretch>
                  </pic:blipFill>
                  <pic:spPr bwMode="auto">
                    <a:xfrm>
                      <a:off x="0" y="0"/>
                      <a:ext cx="400050" cy="400050"/>
                    </a:xfrm>
                    <a:prstGeom prst="rect">
                      <a:avLst/>
                    </a:prstGeom>
                    <a:noFill/>
                  </pic:spPr>
                </pic:pic>
              </a:graphicData>
            </a:graphic>
            <wp14:sizeRelH relativeFrom="page">
              <wp14:pctWidth>0</wp14:pctWidth>
            </wp14:sizeRelH>
            <wp14:sizeRelV relativeFrom="page">
              <wp14:pctHeight>0</wp14:pctHeight>
            </wp14:sizeRelV>
          </wp:anchor>
        </w:drawing>
      </w:r>
    </w:p>
    <w:p w14:paraId="694D9550" w14:textId="77777777" w:rsidR="00F57E67" w:rsidRPr="00ED4D49" w:rsidRDefault="00F57E67" w:rsidP="00F57E67">
      <w:pPr>
        <w:spacing w:after="0"/>
        <w:jc w:val="both"/>
        <w:rPr>
          <w:rFonts w:cs="Calibri"/>
          <w:szCs w:val="20"/>
          <w:lang w:val="en-US" w:eastAsia="x-none"/>
        </w:rPr>
      </w:pPr>
      <w:r w:rsidRPr="00ED4D49">
        <w:rPr>
          <w:rFonts w:cs="Calibri"/>
          <w:color w:val="1F497D"/>
          <w:szCs w:val="20"/>
          <w:lang w:val="en-US"/>
        </w:rPr>
        <w:t xml:space="preserve">Environmental and Social Standard 4 – Community Health and Safety </w:t>
      </w:r>
      <w:r w:rsidRPr="00ED4D49">
        <w:rPr>
          <w:rFonts w:cs="Calibri"/>
          <w:lang w:val="en-US" w:eastAsia="x-none"/>
        </w:rPr>
        <w:t>addresses the health, safety, and security risks and impacts on project-affected communities and the corresponding responsibility of Borrowers to avoid or minimize such risks and impacts, with particular attention to people who, because of their particular circumstances, may be vulnerable</w:t>
      </w:r>
      <w:r w:rsidRPr="00ED4D49">
        <w:rPr>
          <w:rFonts w:ascii="Arial" w:hAnsi="Arial" w:cs="Arial"/>
          <w:szCs w:val="20"/>
          <w:lang w:val="en-US"/>
        </w:rPr>
        <w:t>.</w:t>
      </w:r>
    </w:p>
    <w:p w14:paraId="60661280" w14:textId="181A2D89" w:rsidR="00F57E67" w:rsidRPr="00ED4D49" w:rsidRDefault="00F57E67" w:rsidP="00F57E67">
      <w:pPr>
        <w:jc w:val="both"/>
        <w:rPr>
          <w:rFonts w:cs="Calibri"/>
          <w:bCs/>
          <w:szCs w:val="20"/>
          <w:lang w:val="en-US" w:eastAsia="x-none"/>
        </w:rPr>
      </w:pPr>
      <w:r w:rsidRPr="00ED4D49">
        <w:rPr>
          <w:rFonts w:cs="Calibri"/>
          <w:bCs/>
          <w:szCs w:val="20"/>
          <w:lang w:val="en-US" w:eastAsia="x-none"/>
        </w:rPr>
        <w:t xml:space="preserve">Objectives of ESS4 are the following: </w:t>
      </w:r>
    </w:p>
    <w:p w14:paraId="46E0B3AF" w14:textId="77777777" w:rsidR="00F57E67" w:rsidRPr="00ED4D49" w:rsidRDefault="00F57E67" w:rsidP="0052417D">
      <w:pPr>
        <w:pStyle w:val="ListParagraph"/>
        <w:numPr>
          <w:ilvl w:val="0"/>
          <w:numId w:val="13"/>
        </w:numPr>
        <w:spacing w:after="160"/>
        <w:jc w:val="both"/>
        <w:rPr>
          <w:rFonts w:cs="Calibri"/>
          <w:sz w:val="20"/>
          <w:lang w:eastAsia="x-none"/>
        </w:rPr>
      </w:pPr>
      <w:r w:rsidRPr="00ED4D49">
        <w:rPr>
          <w:rFonts w:cs="Calibri"/>
          <w:sz w:val="20"/>
          <w:lang w:eastAsia="x-none"/>
        </w:rPr>
        <w:t xml:space="preserve">To anticipate and avoid adverse impacts on the health and safety of project-affected communities during the project life cycle from both routine and non-routine circumstances. </w:t>
      </w:r>
    </w:p>
    <w:p w14:paraId="355A0BBA" w14:textId="77777777" w:rsidR="00F57E67" w:rsidRPr="00ED4D49" w:rsidRDefault="00F57E67" w:rsidP="0052417D">
      <w:pPr>
        <w:pStyle w:val="ListParagraph"/>
        <w:numPr>
          <w:ilvl w:val="0"/>
          <w:numId w:val="13"/>
        </w:numPr>
        <w:spacing w:after="160"/>
        <w:jc w:val="both"/>
        <w:rPr>
          <w:rFonts w:cs="Calibri"/>
          <w:sz w:val="20"/>
          <w:lang w:eastAsia="x-none"/>
        </w:rPr>
      </w:pPr>
      <w:r w:rsidRPr="00ED4D49">
        <w:rPr>
          <w:rFonts w:cs="Calibri"/>
          <w:sz w:val="20"/>
          <w:lang w:eastAsia="x-none"/>
        </w:rPr>
        <w:t xml:space="preserve">To promote quality and safety, and considerations relating to climate change, in the design and construction of infrastructure, including dams. </w:t>
      </w:r>
    </w:p>
    <w:p w14:paraId="5A80BF87" w14:textId="77777777" w:rsidR="00F57E67" w:rsidRPr="00ED4D49" w:rsidRDefault="00F57E67" w:rsidP="0052417D">
      <w:pPr>
        <w:pStyle w:val="ListParagraph"/>
        <w:numPr>
          <w:ilvl w:val="0"/>
          <w:numId w:val="13"/>
        </w:numPr>
        <w:spacing w:after="160"/>
        <w:jc w:val="both"/>
        <w:rPr>
          <w:rFonts w:cs="Calibri"/>
          <w:sz w:val="20"/>
          <w:lang w:eastAsia="x-none"/>
        </w:rPr>
      </w:pPr>
      <w:r w:rsidRPr="00ED4D49">
        <w:rPr>
          <w:rFonts w:cs="Calibri"/>
          <w:sz w:val="20"/>
          <w:lang w:eastAsia="x-none"/>
        </w:rPr>
        <w:t xml:space="preserve">To avoid or minimize community exposure to project-related traffic and road safety risks, dis-eases and hazardous materials. </w:t>
      </w:r>
    </w:p>
    <w:p w14:paraId="18407988" w14:textId="77777777" w:rsidR="00F57E67" w:rsidRPr="00ED4D49" w:rsidRDefault="00F57E67" w:rsidP="0052417D">
      <w:pPr>
        <w:pStyle w:val="ListParagraph"/>
        <w:numPr>
          <w:ilvl w:val="0"/>
          <w:numId w:val="13"/>
        </w:numPr>
        <w:spacing w:after="160"/>
        <w:jc w:val="both"/>
        <w:rPr>
          <w:rFonts w:cs="Calibri"/>
          <w:sz w:val="20"/>
          <w:lang w:eastAsia="x-none"/>
        </w:rPr>
      </w:pPr>
      <w:r w:rsidRPr="00ED4D49">
        <w:rPr>
          <w:rFonts w:cs="Calibri"/>
          <w:sz w:val="20"/>
          <w:lang w:eastAsia="x-none"/>
        </w:rPr>
        <w:t xml:space="preserve">To have in place effective measures to address emergency events. </w:t>
      </w:r>
    </w:p>
    <w:p w14:paraId="7C8327ED" w14:textId="77777777" w:rsidR="00F57E67" w:rsidRPr="00ED4D49" w:rsidRDefault="00F57E67" w:rsidP="0052417D">
      <w:pPr>
        <w:pStyle w:val="ListParagraph"/>
        <w:numPr>
          <w:ilvl w:val="0"/>
          <w:numId w:val="13"/>
        </w:numPr>
        <w:spacing w:after="160"/>
        <w:jc w:val="both"/>
        <w:rPr>
          <w:rFonts w:cs="Calibri"/>
          <w:sz w:val="20"/>
          <w:szCs w:val="20"/>
          <w:lang w:eastAsia="x-none"/>
        </w:rPr>
      </w:pPr>
      <w:r w:rsidRPr="00ED4D49">
        <w:rPr>
          <w:rFonts w:cs="Calibri"/>
          <w:sz w:val="20"/>
          <w:lang w:eastAsia="x-none"/>
        </w:rPr>
        <w:lastRenderedPageBreak/>
        <w:t>To ensure that the safeguarding of personnel and property is carried out in a manner that avoids or minimizes risks to the project-affected communities</w:t>
      </w:r>
      <w:r w:rsidRPr="00ED4D49">
        <w:rPr>
          <w:rFonts w:cs="Calibri"/>
          <w:sz w:val="20"/>
          <w:szCs w:val="20"/>
          <w:lang w:eastAsia="x-none"/>
        </w:rPr>
        <w:t xml:space="preserve">. </w:t>
      </w:r>
    </w:p>
    <w:p w14:paraId="5CED078C" w14:textId="176FE20B" w:rsidR="00F57E67" w:rsidRPr="00ED4D49" w:rsidRDefault="00E548FB" w:rsidP="005A70F2">
      <w:pPr>
        <w:jc w:val="both"/>
        <w:rPr>
          <w:rFonts w:cs="Calibri"/>
          <w:lang w:val="en-US" w:eastAsia="x-none"/>
        </w:rPr>
      </w:pPr>
      <w:r w:rsidRPr="00ED4D49">
        <w:rPr>
          <w:rFonts w:cs="Calibri"/>
          <w:noProof/>
          <w:color w:val="1F497D"/>
          <w:szCs w:val="20"/>
          <w:lang w:val="bs-Latn-BA" w:eastAsia="bs-Latn-BA"/>
        </w:rPr>
        <w:drawing>
          <wp:anchor distT="0" distB="0" distL="114300" distR="114300" simplePos="0" relativeHeight="6" behindDoc="0" locked="0" layoutInCell="1" allowOverlap="1" wp14:anchorId="33501593" wp14:editId="6D216345">
            <wp:simplePos x="0" y="0"/>
            <wp:positionH relativeFrom="column">
              <wp:posOffset>-74930</wp:posOffset>
            </wp:positionH>
            <wp:positionV relativeFrom="paragraph">
              <wp:posOffset>37465</wp:posOffset>
            </wp:positionV>
            <wp:extent cx="400050" cy="400050"/>
            <wp:effectExtent l="0" t="0" r="0" b="0"/>
            <wp:wrapSquare wrapText="bothSides"/>
            <wp:docPr id="39" name="Picture 38" descr="Checklis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 descr="Checklist"/>
                    <pic:cNvPicPr>
                      <a:picLocks/>
                    </pic:cNvPicPr>
                  </pic:nvPicPr>
                  <pic:blipFill>
                    <a:blip r:embed="rId37" cstate="screen">
                      <a:extLst>
                        <a:ext uri="{28A0092B-C50C-407E-A947-70E740481C1C}">
                          <a14:useLocalDpi xmlns:a14="http://schemas.microsoft.com/office/drawing/2010/main"/>
                        </a:ext>
                      </a:extLst>
                    </a:blip>
                    <a:srcRect l="-17867" t="-4034" r="-18134" b="-4247"/>
                    <a:stretch>
                      <a:fillRect/>
                    </a:stretch>
                  </pic:blipFill>
                  <pic:spPr bwMode="auto">
                    <a:xfrm>
                      <a:off x="0" y="0"/>
                      <a:ext cx="400050" cy="400050"/>
                    </a:xfrm>
                    <a:prstGeom prst="rect">
                      <a:avLst/>
                    </a:prstGeom>
                    <a:noFill/>
                  </pic:spPr>
                </pic:pic>
              </a:graphicData>
            </a:graphic>
            <wp14:sizeRelH relativeFrom="page">
              <wp14:pctWidth>0</wp14:pctWidth>
            </wp14:sizeRelH>
            <wp14:sizeRelV relativeFrom="page">
              <wp14:pctHeight>0</wp14:pctHeight>
            </wp14:sizeRelV>
          </wp:anchor>
        </w:drawing>
      </w:r>
      <w:r w:rsidR="00F57E67" w:rsidRPr="00ED4D49">
        <w:rPr>
          <w:rFonts w:cs="Calibri"/>
          <w:lang w:val="en-US" w:eastAsia="x-none"/>
        </w:rPr>
        <w:t xml:space="preserve"> </w:t>
      </w:r>
      <w:r w:rsidR="00F57E67" w:rsidRPr="00ED4D49">
        <w:rPr>
          <w:rFonts w:cs="Calibri"/>
          <w:color w:val="1F497D"/>
          <w:szCs w:val="20"/>
          <w:lang w:val="en-US"/>
        </w:rPr>
        <w:t xml:space="preserve">Environmental and Social Standard 5 – Land Acquisition, Restriction on Land Use and Involuntarily Resettlement </w:t>
      </w:r>
      <w:r w:rsidR="001F32A5" w:rsidRPr="00ED4D49">
        <w:rPr>
          <w:rFonts w:cs="Calibri"/>
          <w:lang w:val="en-US"/>
        </w:rPr>
        <w:t xml:space="preserve">is applicable to this project. A Resettlement Policy Framework has been developed and any </w:t>
      </w:r>
      <w:r w:rsidR="0099422A" w:rsidRPr="00ED4D49">
        <w:rPr>
          <w:rFonts w:cs="Calibri"/>
          <w:lang w:val="en-US"/>
        </w:rPr>
        <w:t>subproject</w:t>
      </w:r>
      <w:r w:rsidR="00587FF3" w:rsidRPr="00ED4D49">
        <w:rPr>
          <w:rFonts w:cs="Calibri"/>
          <w:lang w:val="en-US"/>
        </w:rPr>
        <w:t xml:space="preserve"> </w:t>
      </w:r>
      <w:r w:rsidR="001F32A5" w:rsidRPr="00ED4D49">
        <w:rPr>
          <w:rFonts w:cs="Calibri"/>
          <w:lang w:val="en-US"/>
        </w:rPr>
        <w:t xml:space="preserve">involving land acquisition and involuntary resettlement, regardless of whether physical relocation is present, will develop a Resettlement Plan as per the RPF and this will be approved by the World Bank and disclosed in-country.  The screening process will screen for all the </w:t>
      </w:r>
      <w:r w:rsidR="00BB3655" w:rsidRPr="00ED4D49">
        <w:rPr>
          <w:rFonts w:cs="Calibri"/>
          <w:lang w:val="en-US"/>
        </w:rPr>
        <w:t>subprojects</w:t>
      </w:r>
      <w:r w:rsidR="001F32A5" w:rsidRPr="00ED4D49">
        <w:rPr>
          <w:rFonts w:cs="Calibri"/>
          <w:lang w:val="en-US"/>
        </w:rPr>
        <w:t xml:space="preserve"> which may involve involuntary land acquisition</w:t>
      </w:r>
      <w:r w:rsidR="002D0A5C" w:rsidRPr="00ED4D49">
        <w:rPr>
          <w:rFonts w:cs="Calibri"/>
          <w:lang w:val="en-US" w:eastAsia="x-none"/>
        </w:rPr>
        <w:t>.</w:t>
      </w:r>
      <w:r w:rsidR="00C102AE" w:rsidRPr="00ED4D49">
        <w:rPr>
          <w:rFonts w:cs="Calibri"/>
          <w:lang w:val="en-US" w:eastAsia="x-none"/>
        </w:rPr>
        <w:t xml:space="preserve">  </w:t>
      </w:r>
    </w:p>
    <w:p w14:paraId="2DC11311" w14:textId="77777777" w:rsidR="00F57E67" w:rsidRPr="00ED4D49" w:rsidRDefault="00E548FB" w:rsidP="00F57E67">
      <w:pPr>
        <w:spacing w:after="0"/>
        <w:jc w:val="both"/>
        <w:rPr>
          <w:rFonts w:cs="Calibri"/>
          <w:color w:val="1F497D"/>
          <w:lang w:val="en-US" w:eastAsia="x-none"/>
        </w:rPr>
      </w:pPr>
      <w:r w:rsidRPr="00ED4D49">
        <w:rPr>
          <w:rFonts w:cs="Calibri"/>
          <w:noProof/>
          <w:color w:val="1F497D"/>
          <w:szCs w:val="20"/>
          <w:lang w:val="bs-Latn-BA" w:eastAsia="bs-Latn-BA"/>
        </w:rPr>
        <w:drawing>
          <wp:anchor distT="0" distB="0" distL="114300" distR="114300" simplePos="0" relativeHeight="7" behindDoc="0" locked="0" layoutInCell="1" allowOverlap="1" wp14:anchorId="34FE6403" wp14:editId="462C6848">
            <wp:simplePos x="0" y="0"/>
            <wp:positionH relativeFrom="column">
              <wp:posOffset>-76200</wp:posOffset>
            </wp:positionH>
            <wp:positionV relativeFrom="paragraph">
              <wp:posOffset>69215</wp:posOffset>
            </wp:positionV>
            <wp:extent cx="400050" cy="400050"/>
            <wp:effectExtent l="0" t="0" r="0" b="0"/>
            <wp:wrapSquare wrapText="bothSides"/>
            <wp:docPr id="38" name="Picture 37" descr="Checklis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 descr="Checklist"/>
                    <pic:cNvPicPr>
                      <a:picLocks/>
                    </pic:cNvPicPr>
                  </pic:nvPicPr>
                  <pic:blipFill>
                    <a:blip r:embed="rId37" cstate="screen">
                      <a:extLst>
                        <a:ext uri="{28A0092B-C50C-407E-A947-70E740481C1C}">
                          <a14:useLocalDpi xmlns:a14="http://schemas.microsoft.com/office/drawing/2010/main"/>
                        </a:ext>
                      </a:extLst>
                    </a:blip>
                    <a:srcRect l="-17867" t="-4034" r="-18134" b="-4247"/>
                    <a:stretch>
                      <a:fillRect/>
                    </a:stretch>
                  </pic:blipFill>
                  <pic:spPr bwMode="auto">
                    <a:xfrm>
                      <a:off x="0" y="0"/>
                      <a:ext cx="400050" cy="400050"/>
                    </a:xfrm>
                    <a:prstGeom prst="rect">
                      <a:avLst/>
                    </a:prstGeom>
                    <a:noFill/>
                  </pic:spPr>
                </pic:pic>
              </a:graphicData>
            </a:graphic>
            <wp14:sizeRelH relativeFrom="page">
              <wp14:pctWidth>0</wp14:pctWidth>
            </wp14:sizeRelH>
            <wp14:sizeRelV relativeFrom="page">
              <wp14:pctHeight>0</wp14:pctHeight>
            </wp14:sizeRelV>
          </wp:anchor>
        </w:drawing>
      </w:r>
      <w:r w:rsidR="00F57E67" w:rsidRPr="00ED4D49">
        <w:rPr>
          <w:rFonts w:cs="Calibri"/>
          <w:color w:val="1F497D"/>
          <w:szCs w:val="20"/>
          <w:lang w:val="en-US"/>
        </w:rPr>
        <w:t xml:space="preserve">Environmental and Social Standard 6 – Biodiversity Conservation and Sustainable Management of Living Natural Resources </w:t>
      </w:r>
      <w:r w:rsidR="00F57E67" w:rsidRPr="00ED4D49">
        <w:rPr>
          <w:rFonts w:cs="Calibri"/>
          <w:lang w:val="en-US" w:eastAsia="x-none"/>
        </w:rPr>
        <w:t>is applicable to all projects that</w:t>
      </w:r>
      <w:r w:rsidR="00F57E67" w:rsidRPr="00ED4D49">
        <w:rPr>
          <w:rFonts w:ascii="Arial" w:hAnsi="Arial" w:cs="Arial"/>
          <w:szCs w:val="20"/>
          <w:lang w:val="en-US"/>
        </w:rPr>
        <w:t xml:space="preserve"> </w:t>
      </w:r>
      <w:r w:rsidR="00F57E67" w:rsidRPr="00ED4D49">
        <w:rPr>
          <w:rFonts w:cs="Calibri"/>
          <w:lang w:val="en-US" w:eastAsia="x-none"/>
        </w:rPr>
        <w:t>potentially affect biodiversity or habitats, either positively or negatively, directly or indirectly, or that depend upon biodiversity for their success It is also applied to projects that involve primary production and/or harvesting of living natural resources</w:t>
      </w:r>
      <w:r w:rsidR="00F57E67" w:rsidRPr="00ED4D49">
        <w:rPr>
          <w:rStyle w:val="FootnoteReference"/>
          <w:rFonts w:cs="Calibri"/>
          <w:lang w:val="en-US" w:eastAsia="x-none"/>
        </w:rPr>
        <w:footnoteReference w:id="37"/>
      </w:r>
      <w:r w:rsidR="00F57E67" w:rsidRPr="00ED4D49">
        <w:rPr>
          <w:rFonts w:cs="Calibri"/>
          <w:lang w:val="en-US" w:eastAsia="x-none"/>
        </w:rPr>
        <w:t>.</w:t>
      </w:r>
    </w:p>
    <w:p w14:paraId="5932749F" w14:textId="6AE112F3" w:rsidR="00F57E67" w:rsidRPr="00ED4D49" w:rsidRDefault="00F57E67" w:rsidP="00D67A74">
      <w:pPr>
        <w:jc w:val="both"/>
        <w:rPr>
          <w:rFonts w:cs="Calibri"/>
          <w:color w:val="1F497D"/>
          <w:szCs w:val="20"/>
          <w:lang w:val="en-US"/>
        </w:rPr>
      </w:pPr>
      <w:r w:rsidRPr="00ED4D49">
        <w:rPr>
          <w:rFonts w:ascii="Arial" w:hAnsi="Arial" w:cs="Arial"/>
          <w:szCs w:val="20"/>
          <w:lang w:val="en-US"/>
        </w:rPr>
        <w:t>T</w:t>
      </w:r>
      <w:r w:rsidRPr="00ED4D49">
        <w:rPr>
          <w:rFonts w:cs="Calibri"/>
          <w:lang w:val="en-US" w:eastAsia="x-none"/>
        </w:rPr>
        <w:t>he Borrower is obliged to avoid adverse impacts on bio-diversity and habitats.</w:t>
      </w:r>
      <w:r w:rsidR="00855D67" w:rsidRPr="00ED4D49">
        <w:rPr>
          <w:rFonts w:cs="Calibri"/>
          <w:lang w:val="en-US" w:eastAsia="x-none"/>
        </w:rPr>
        <w:t xml:space="preserve"> </w:t>
      </w:r>
      <w:r w:rsidRPr="00ED4D49">
        <w:rPr>
          <w:rFonts w:cs="Calibri"/>
          <w:lang w:val="en-US" w:eastAsia="x-none"/>
        </w:rPr>
        <w:t>When avoidance of adverse impacts is not possible, the Borrower will implement measures to minimize adverse impacts and restore biodiversity in accordance with the mitigation hierarchy provided in ESS1 and with the requirements of this ESS. Where significant risks and adverse impacts on biodiversity have been identified, the Borrower will develop and implement a Biodiversity Management Plan</w:t>
      </w:r>
      <w:r w:rsidRPr="00ED4D49">
        <w:rPr>
          <w:rStyle w:val="FootnoteReference"/>
          <w:rFonts w:cs="Calibri"/>
          <w:lang w:val="en-US" w:eastAsia="x-none"/>
        </w:rPr>
        <w:footnoteReference w:id="38"/>
      </w:r>
      <w:r w:rsidRPr="00ED4D49">
        <w:rPr>
          <w:rFonts w:cs="Calibri"/>
          <w:lang w:val="en-US" w:eastAsia="x-none"/>
        </w:rPr>
        <w:t xml:space="preserve">. </w:t>
      </w:r>
    </w:p>
    <w:p w14:paraId="7FB0DC03" w14:textId="2F85E851" w:rsidR="00F57E67" w:rsidRPr="00ED4D49" w:rsidRDefault="00E548FB" w:rsidP="00F57E67">
      <w:pPr>
        <w:spacing w:after="0"/>
        <w:jc w:val="both"/>
        <w:rPr>
          <w:rFonts w:cs="Calibri"/>
          <w:lang w:val="en-US" w:eastAsia="x-none"/>
        </w:rPr>
      </w:pPr>
      <w:r w:rsidRPr="00ED4D49">
        <w:rPr>
          <w:rFonts w:cs="Calibri"/>
          <w:noProof/>
          <w:color w:val="1F497D"/>
          <w:szCs w:val="20"/>
          <w:lang w:val="bs-Latn-BA" w:eastAsia="bs-Latn-BA"/>
        </w:rPr>
        <w:drawing>
          <wp:anchor distT="0" distB="0" distL="114300" distR="114300" simplePos="0" relativeHeight="8" behindDoc="0" locked="0" layoutInCell="1" allowOverlap="1" wp14:anchorId="4978D897" wp14:editId="77C531C6">
            <wp:simplePos x="0" y="0"/>
            <wp:positionH relativeFrom="column">
              <wp:posOffset>-69850</wp:posOffset>
            </wp:positionH>
            <wp:positionV relativeFrom="paragraph">
              <wp:posOffset>60325</wp:posOffset>
            </wp:positionV>
            <wp:extent cx="400050" cy="400050"/>
            <wp:effectExtent l="0" t="0" r="0" b="0"/>
            <wp:wrapSquare wrapText="bothSides"/>
            <wp:docPr id="37" name="Picture 36" descr="Checklis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 descr="Checklist"/>
                    <pic:cNvPicPr>
                      <a:picLocks/>
                    </pic:cNvPicPr>
                  </pic:nvPicPr>
                  <pic:blipFill>
                    <a:blip r:embed="rId37" cstate="screen">
                      <a:extLst>
                        <a:ext uri="{28A0092B-C50C-407E-A947-70E740481C1C}">
                          <a14:useLocalDpi xmlns:a14="http://schemas.microsoft.com/office/drawing/2010/main"/>
                        </a:ext>
                      </a:extLst>
                    </a:blip>
                    <a:srcRect l="-17867" t="-4034" r="-18134" b="-4247"/>
                    <a:stretch>
                      <a:fillRect/>
                    </a:stretch>
                  </pic:blipFill>
                  <pic:spPr bwMode="auto">
                    <a:xfrm>
                      <a:off x="0" y="0"/>
                      <a:ext cx="400050" cy="400050"/>
                    </a:xfrm>
                    <a:prstGeom prst="rect">
                      <a:avLst/>
                    </a:prstGeom>
                    <a:noFill/>
                  </pic:spPr>
                </pic:pic>
              </a:graphicData>
            </a:graphic>
            <wp14:sizeRelH relativeFrom="page">
              <wp14:pctWidth>0</wp14:pctWidth>
            </wp14:sizeRelH>
            <wp14:sizeRelV relativeFrom="page">
              <wp14:pctHeight>0</wp14:pctHeight>
            </wp14:sizeRelV>
          </wp:anchor>
        </w:drawing>
      </w:r>
      <w:r w:rsidR="00F57E67" w:rsidRPr="00ED4D49">
        <w:rPr>
          <w:rFonts w:cs="Calibri"/>
          <w:color w:val="1F497D"/>
          <w:szCs w:val="20"/>
          <w:lang w:val="en-US"/>
        </w:rPr>
        <w:t xml:space="preserve">Environmental and Social Standard 7 – Indigenous Peoples </w:t>
      </w:r>
      <w:r w:rsidR="00F57E67" w:rsidRPr="00ED4D49">
        <w:rPr>
          <w:rFonts w:cs="Calibri"/>
          <w:lang w:val="en-US" w:eastAsia="x-none"/>
        </w:rPr>
        <w:t>is not applicable to this Project given the fact that in Bosnia and Herzegovina, there are no any social or cultural groups of specific characteristics defined in ESS7.</w:t>
      </w:r>
      <w:r w:rsidR="00C6478C" w:rsidRPr="00ED4D49">
        <w:rPr>
          <w:rFonts w:cs="Calibri"/>
          <w:lang w:val="en-US" w:eastAsia="x-none"/>
        </w:rPr>
        <w:t xml:space="preserve"> </w:t>
      </w:r>
    </w:p>
    <w:p w14:paraId="66894FAA" w14:textId="77777777" w:rsidR="00F57E67" w:rsidRPr="00ED4D49" w:rsidRDefault="00E548FB" w:rsidP="00F57E67">
      <w:pPr>
        <w:spacing w:after="0"/>
        <w:jc w:val="both"/>
        <w:rPr>
          <w:rFonts w:cs="Calibri"/>
          <w:lang w:val="en-US" w:eastAsia="x-none"/>
        </w:rPr>
      </w:pPr>
      <w:r w:rsidRPr="00ED4D49">
        <w:rPr>
          <w:rFonts w:cs="Calibri"/>
          <w:noProof/>
          <w:color w:val="1F497D"/>
          <w:szCs w:val="20"/>
          <w:lang w:val="bs-Latn-BA" w:eastAsia="bs-Latn-BA"/>
        </w:rPr>
        <w:drawing>
          <wp:anchor distT="0" distB="0" distL="114300" distR="114300" simplePos="0" relativeHeight="9" behindDoc="0" locked="0" layoutInCell="1" allowOverlap="1" wp14:anchorId="403F1749" wp14:editId="7E963BC4">
            <wp:simplePos x="0" y="0"/>
            <wp:positionH relativeFrom="column">
              <wp:posOffset>-69850</wp:posOffset>
            </wp:positionH>
            <wp:positionV relativeFrom="paragraph">
              <wp:posOffset>83820</wp:posOffset>
            </wp:positionV>
            <wp:extent cx="400050" cy="400050"/>
            <wp:effectExtent l="0" t="0" r="0" b="0"/>
            <wp:wrapSquare wrapText="bothSides"/>
            <wp:docPr id="36" name="Picture 35" descr="Checklis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 descr="Checklist"/>
                    <pic:cNvPicPr>
                      <a:picLocks/>
                    </pic:cNvPicPr>
                  </pic:nvPicPr>
                  <pic:blipFill>
                    <a:blip r:embed="rId37" cstate="screen">
                      <a:extLst>
                        <a:ext uri="{28A0092B-C50C-407E-A947-70E740481C1C}">
                          <a14:useLocalDpi xmlns:a14="http://schemas.microsoft.com/office/drawing/2010/main"/>
                        </a:ext>
                      </a:extLst>
                    </a:blip>
                    <a:srcRect l="-17867" t="-4034" r="-18134" b="-4247"/>
                    <a:stretch>
                      <a:fillRect/>
                    </a:stretch>
                  </pic:blipFill>
                  <pic:spPr bwMode="auto">
                    <a:xfrm>
                      <a:off x="0" y="0"/>
                      <a:ext cx="400050" cy="400050"/>
                    </a:xfrm>
                    <a:prstGeom prst="rect">
                      <a:avLst/>
                    </a:prstGeom>
                    <a:noFill/>
                  </pic:spPr>
                </pic:pic>
              </a:graphicData>
            </a:graphic>
            <wp14:sizeRelH relativeFrom="page">
              <wp14:pctWidth>0</wp14:pctWidth>
            </wp14:sizeRelH>
            <wp14:sizeRelV relativeFrom="page">
              <wp14:pctHeight>0</wp14:pctHeight>
            </wp14:sizeRelV>
          </wp:anchor>
        </w:drawing>
      </w:r>
      <w:r w:rsidR="00F57E67" w:rsidRPr="00ED4D49">
        <w:rPr>
          <w:rFonts w:cs="Calibri"/>
          <w:color w:val="1F497D"/>
          <w:szCs w:val="20"/>
          <w:lang w:val="en-US"/>
        </w:rPr>
        <w:t xml:space="preserve"> Environmental and Social Standard 8 – Cultural Heritage </w:t>
      </w:r>
      <w:r w:rsidR="00F57E67" w:rsidRPr="00ED4D49">
        <w:rPr>
          <w:rFonts w:cs="Calibri"/>
          <w:lang w:val="en-US" w:eastAsia="x-none"/>
        </w:rPr>
        <w:t xml:space="preserve">sets out general provisions on risks and impacts to cultural heritage from project activities. Objective of ESS 8 are the following: </w:t>
      </w:r>
    </w:p>
    <w:p w14:paraId="3CC20FAA" w14:textId="77777777" w:rsidR="00F57E67" w:rsidRPr="00ED4D49" w:rsidRDefault="00F57E67" w:rsidP="00F57E67">
      <w:pPr>
        <w:spacing w:before="0" w:after="0"/>
        <w:jc w:val="both"/>
        <w:rPr>
          <w:rFonts w:cs="Calibri"/>
          <w:lang w:val="en-US" w:eastAsia="x-none"/>
        </w:rPr>
      </w:pPr>
    </w:p>
    <w:p w14:paraId="7BDFBD9A" w14:textId="77777777" w:rsidR="00F57E67" w:rsidRPr="00ED4D49" w:rsidRDefault="00F57E67" w:rsidP="0052417D">
      <w:pPr>
        <w:pStyle w:val="ListParagraph"/>
        <w:numPr>
          <w:ilvl w:val="0"/>
          <w:numId w:val="13"/>
        </w:numPr>
        <w:spacing w:before="0" w:after="160"/>
        <w:jc w:val="both"/>
        <w:rPr>
          <w:rFonts w:cs="Calibri"/>
          <w:sz w:val="20"/>
          <w:lang w:eastAsia="x-none"/>
        </w:rPr>
      </w:pPr>
      <w:r w:rsidRPr="00ED4D49">
        <w:rPr>
          <w:rFonts w:cs="Calibri"/>
          <w:sz w:val="20"/>
          <w:lang w:eastAsia="x-none"/>
        </w:rPr>
        <w:t>To promote the equitable sharing of benefits from the use of cultural heritage.</w:t>
      </w:r>
    </w:p>
    <w:p w14:paraId="5179BCC6" w14:textId="77777777" w:rsidR="00F57E67" w:rsidRPr="00ED4D49" w:rsidRDefault="00F57E67" w:rsidP="0052417D">
      <w:pPr>
        <w:pStyle w:val="ListParagraph"/>
        <w:numPr>
          <w:ilvl w:val="0"/>
          <w:numId w:val="13"/>
        </w:numPr>
        <w:spacing w:after="160"/>
        <w:jc w:val="both"/>
        <w:rPr>
          <w:rFonts w:cs="Calibri"/>
          <w:sz w:val="20"/>
          <w:lang w:eastAsia="x-none"/>
        </w:rPr>
      </w:pPr>
      <w:r w:rsidRPr="00ED4D49">
        <w:rPr>
          <w:rFonts w:cs="Calibri"/>
          <w:sz w:val="20"/>
          <w:lang w:eastAsia="x-none"/>
        </w:rPr>
        <w:t xml:space="preserve"> To address cultural heritage as an integral aspect of sustainable development.</w:t>
      </w:r>
    </w:p>
    <w:p w14:paraId="464BCD46" w14:textId="77777777" w:rsidR="00F57E67" w:rsidRPr="00ED4D49" w:rsidRDefault="00F57E67" w:rsidP="0052417D">
      <w:pPr>
        <w:pStyle w:val="ListParagraph"/>
        <w:numPr>
          <w:ilvl w:val="0"/>
          <w:numId w:val="13"/>
        </w:numPr>
        <w:spacing w:before="0" w:after="160"/>
        <w:jc w:val="both"/>
        <w:rPr>
          <w:rFonts w:cs="Calibri"/>
          <w:sz w:val="20"/>
          <w:lang w:eastAsia="x-none"/>
        </w:rPr>
      </w:pPr>
      <w:r w:rsidRPr="00ED4D49">
        <w:rPr>
          <w:rFonts w:cs="Calibri"/>
          <w:sz w:val="20"/>
          <w:lang w:eastAsia="x-none"/>
        </w:rPr>
        <w:t xml:space="preserve">To promote meaningful consultation with stake-holders regarding cultural heritage. </w:t>
      </w:r>
    </w:p>
    <w:p w14:paraId="650ECBFF" w14:textId="77777777" w:rsidR="00F57E67" w:rsidRPr="00ED4D49" w:rsidRDefault="00F57E67" w:rsidP="0052417D">
      <w:pPr>
        <w:pStyle w:val="ListParagraph"/>
        <w:numPr>
          <w:ilvl w:val="0"/>
          <w:numId w:val="13"/>
        </w:numPr>
        <w:spacing w:before="0" w:after="160"/>
        <w:jc w:val="both"/>
        <w:rPr>
          <w:rFonts w:cs="Calibri"/>
          <w:sz w:val="20"/>
          <w:lang w:eastAsia="x-none"/>
        </w:rPr>
      </w:pPr>
      <w:r w:rsidRPr="00ED4D49">
        <w:rPr>
          <w:rFonts w:cs="Calibri"/>
          <w:sz w:val="20"/>
          <w:lang w:eastAsia="x-none"/>
        </w:rPr>
        <w:t>To protect cultural heritage from the adverse impacts of project activities and support its preservation.</w:t>
      </w:r>
    </w:p>
    <w:p w14:paraId="4D067048" w14:textId="290580B2" w:rsidR="00F57E67" w:rsidRPr="00ED4D49" w:rsidRDefault="00F57E67" w:rsidP="00D67A74">
      <w:pPr>
        <w:autoSpaceDE w:val="0"/>
        <w:autoSpaceDN w:val="0"/>
        <w:adjustRightInd w:val="0"/>
        <w:spacing w:before="0" w:after="0"/>
        <w:jc w:val="both"/>
        <w:rPr>
          <w:rFonts w:cs="Calibri"/>
          <w:szCs w:val="20"/>
          <w:lang w:val="en-US" w:eastAsia="hr-HR"/>
        </w:rPr>
      </w:pPr>
      <w:r w:rsidRPr="00ED4D49">
        <w:rPr>
          <w:rFonts w:cs="Calibri"/>
          <w:lang w:val="en-US" w:eastAsia="x-none"/>
        </w:rPr>
        <w:t xml:space="preserve">The requirements of this ESS8 will apply to all projects that are likely to have risks or impacts on cultural </w:t>
      </w:r>
      <w:r w:rsidR="005A70F2" w:rsidRPr="00ED4D49">
        <w:rPr>
          <w:rFonts w:cs="Calibri"/>
          <w:lang w:val="en-US" w:eastAsia="x-none"/>
        </w:rPr>
        <w:t>heritage.</w:t>
      </w:r>
      <w:r w:rsidRPr="00ED4D49">
        <w:rPr>
          <w:rFonts w:cs="Calibri"/>
          <w:lang w:val="en-US" w:eastAsia="x-none"/>
        </w:rPr>
        <w:t xml:space="preserve"> This will include a project which</w:t>
      </w:r>
      <w:r w:rsidRPr="00ED4D49">
        <w:rPr>
          <w:rFonts w:ascii="Arial" w:hAnsi="Arial" w:cs="Arial"/>
          <w:szCs w:val="20"/>
          <w:lang w:val="en-US"/>
        </w:rPr>
        <w:t>:</w:t>
      </w:r>
    </w:p>
    <w:p w14:paraId="408825FF" w14:textId="77777777" w:rsidR="00F57E67" w:rsidRPr="00ED4D49" w:rsidRDefault="00F57E67" w:rsidP="0052417D">
      <w:pPr>
        <w:numPr>
          <w:ilvl w:val="0"/>
          <w:numId w:val="14"/>
        </w:numPr>
        <w:autoSpaceDE w:val="0"/>
        <w:autoSpaceDN w:val="0"/>
        <w:adjustRightInd w:val="0"/>
        <w:spacing w:before="0" w:after="0"/>
        <w:jc w:val="both"/>
        <w:rPr>
          <w:rFonts w:cs="Calibri"/>
          <w:lang w:val="en-US" w:eastAsia="x-none"/>
        </w:rPr>
      </w:pPr>
      <w:r w:rsidRPr="00ED4D49">
        <w:rPr>
          <w:rFonts w:cs="Calibri"/>
          <w:lang w:val="en-US" w:eastAsia="x-none"/>
        </w:rPr>
        <w:t xml:space="preserve">Involves excavations, demolition, movement of earth, flooding or other changes in the physical environment; </w:t>
      </w:r>
    </w:p>
    <w:p w14:paraId="42268B37" w14:textId="77777777" w:rsidR="00F57E67" w:rsidRPr="00ED4D49" w:rsidRDefault="00F57E67" w:rsidP="0052417D">
      <w:pPr>
        <w:numPr>
          <w:ilvl w:val="0"/>
          <w:numId w:val="14"/>
        </w:numPr>
        <w:autoSpaceDE w:val="0"/>
        <w:autoSpaceDN w:val="0"/>
        <w:adjustRightInd w:val="0"/>
        <w:spacing w:before="0" w:after="0"/>
        <w:jc w:val="both"/>
        <w:rPr>
          <w:rFonts w:cs="Calibri"/>
          <w:lang w:val="en-US" w:eastAsia="x-none"/>
        </w:rPr>
      </w:pPr>
      <w:r w:rsidRPr="00ED4D49">
        <w:rPr>
          <w:rFonts w:cs="Calibri"/>
          <w:lang w:val="en-US" w:eastAsia="x-none"/>
        </w:rPr>
        <w:t xml:space="preserve">Is located within a legally protected area or a legally defined buffer zone </w:t>
      </w:r>
    </w:p>
    <w:p w14:paraId="5BB7A62E" w14:textId="77777777" w:rsidR="00F57E67" w:rsidRPr="00ED4D49" w:rsidRDefault="00F57E67" w:rsidP="0052417D">
      <w:pPr>
        <w:numPr>
          <w:ilvl w:val="0"/>
          <w:numId w:val="14"/>
        </w:numPr>
        <w:autoSpaceDE w:val="0"/>
        <w:autoSpaceDN w:val="0"/>
        <w:adjustRightInd w:val="0"/>
        <w:spacing w:before="0" w:after="0"/>
        <w:jc w:val="both"/>
        <w:rPr>
          <w:rFonts w:cs="Calibri"/>
          <w:lang w:val="en-US" w:eastAsia="x-none"/>
        </w:rPr>
      </w:pPr>
      <w:r w:rsidRPr="00ED4D49">
        <w:rPr>
          <w:rFonts w:cs="Calibri"/>
          <w:lang w:val="en-US" w:eastAsia="x-none"/>
        </w:rPr>
        <w:t xml:space="preserve">Is located in, or in the vicinity of, a recognized cultural heritage site </w:t>
      </w:r>
    </w:p>
    <w:p w14:paraId="2F6F0D73" w14:textId="77777777" w:rsidR="00F57E67" w:rsidRPr="00ED4D49" w:rsidRDefault="00F57E67" w:rsidP="0052417D">
      <w:pPr>
        <w:numPr>
          <w:ilvl w:val="0"/>
          <w:numId w:val="14"/>
        </w:numPr>
        <w:autoSpaceDE w:val="0"/>
        <w:autoSpaceDN w:val="0"/>
        <w:adjustRightInd w:val="0"/>
        <w:spacing w:before="0" w:after="0"/>
        <w:jc w:val="both"/>
        <w:rPr>
          <w:rFonts w:cs="Calibri"/>
          <w:szCs w:val="20"/>
          <w:lang w:val="en-US" w:eastAsia="hr-HR"/>
        </w:rPr>
      </w:pPr>
      <w:r w:rsidRPr="00ED4D49">
        <w:rPr>
          <w:rFonts w:cs="Calibri"/>
          <w:lang w:val="en-US" w:eastAsia="x-none"/>
        </w:rPr>
        <w:t>Is specifically designed to support the conservation, management and use of cultural heritage</w:t>
      </w:r>
      <w:r w:rsidRPr="00ED4D49">
        <w:rPr>
          <w:rFonts w:cs="Calibri"/>
          <w:szCs w:val="20"/>
          <w:lang w:val="en-US" w:eastAsia="hr-HR"/>
        </w:rPr>
        <w:t xml:space="preserve">. </w:t>
      </w:r>
    </w:p>
    <w:p w14:paraId="59C97744" w14:textId="77777777" w:rsidR="00F57E67" w:rsidRPr="00ED4D49" w:rsidRDefault="00E548FB" w:rsidP="00F57E67">
      <w:pPr>
        <w:spacing w:after="0"/>
        <w:rPr>
          <w:rFonts w:cs="Calibri"/>
          <w:lang w:val="en-US" w:eastAsia="x-none"/>
        </w:rPr>
      </w:pPr>
      <w:r w:rsidRPr="00ED4D49">
        <w:rPr>
          <w:rFonts w:cs="Calibri"/>
          <w:noProof/>
          <w:color w:val="1F497D"/>
          <w:szCs w:val="20"/>
          <w:lang w:val="bs-Latn-BA" w:eastAsia="bs-Latn-BA"/>
        </w:rPr>
        <w:drawing>
          <wp:anchor distT="0" distB="0" distL="114300" distR="114300" simplePos="0" relativeHeight="10" behindDoc="0" locked="0" layoutInCell="1" allowOverlap="1" wp14:anchorId="17AAC924" wp14:editId="085449ED">
            <wp:simplePos x="0" y="0"/>
            <wp:positionH relativeFrom="column">
              <wp:posOffset>-57150</wp:posOffset>
            </wp:positionH>
            <wp:positionV relativeFrom="paragraph">
              <wp:posOffset>59690</wp:posOffset>
            </wp:positionV>
            <wp:extent cx="400050" cy="400050"/>
            <wp:effectExtent l="0" t="0" r="0" b="0"/>
            <wp:wrapSquare wrapText="bothSides"/>
            <wp:docPr id="35" name="Picture 34" descr="Checklis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descr="Checklist"/>
                    <pic:cNvPicPr>
                      <a:picLocks/>
                    </pic:cNvPicPr>
                  </pic:nvPicPr>
                  <pic:blipFill>
                    <a:blip r:embed="rId37" cstate="screen">
                      <a:extLst>
                        <a:ext uri="{28A0092B-C50C-407E-A947-70E740481C1C}">
                          <a14:useLocalDpi xmlns:a14="http://schemas.microsoft.com/office/drawing/2010/main"/>
                        </a:ext>
                      </a:extLst>
                    </a:blip>
                    <a:srcRect l="-17867" t="-4034" r="-18134" b="-4247"/>
                    <a:stretch>
                      <a:fillRect/>
                    </a:stretch>
                  </pic:blipFill>
                  <pic:spPr bwMode="auto">
                    <a:xfrm>
                      <a:off x="0" y="0"/>
                      <a:ext cx="400050" cy="400050"/>
                    </a:xfrm>
                    <a:prstGeom prst="rect">
                      <a:avLst/>
                    </a:prstGeom>
                    <a:noFill/>
                  </pic:spPr>
                </pic:pic>
              </a:graphicData>
            </a:graphic>
            <wp14:sizeRelH relativeFrom="page">
              <wp14:pctWidth>0</wp14:pctWidth>
            </wp14:sizeRelH>
            <wp14:sizeRelV relativeFrom="page">
              <wp14:pctHeight>0</wp14:pctHeight>
            </wp14:sizeRelV>
          </wp:anchor>
        </w:drawing>
      </w:r>
      <w:r w:rsidR="00F57E67" w:rsidRPr="00ED4D49">
        <w:rPr>
          <w:rFonts w:cs="Calibri"/>
          <w:color w:val="1F497D"/>
          <w:szCs w:val="20"/>
          <w:lang w:val="en-US"/>
        </w:rPr>
        <w:t xml:space="preserve"> Environmental and Social Standard 9 – Financial Intermediaries </w:t>
      </w:r>
      <w:r w:rsidR="00F57E67" w:rsidRPr="00ED4D49">
        <w:rPr>
          <w:rFonts w:cs="Calibri"/>
          <w:lang w:val="en-US" w:eastAsia="x-none"/>
        </w:rPr>
        <w:t xml:space="preserve">is not applicable to this Project. </w:t>
      </w:r>
    </w:p>
    <w:p w14:paraId="6B5F8A07" w14:textId="77777777" w:rsidR="002D0A5C" w:rsidRPr="00ED4D49" w:rsidRDefault="002D0A5C" w:rsidP="00F57E67">
      <w:pPr>
        <w:spacing w:after="0"/>
        <w:jc w:val="both"/>
        <w:rPr>
          <w:rFonts w:cs="Calibri"/>
          <w:color w:val="1F497D"/>
          <w:szCs w:val="20"/>
          <w:lang w:val="en-US"/>
        </w:rPr>
      </w:pPr>
    </w:p>
    <w:p w14:paraId="67B4613D" w14:textId="4B3F20F5" w:rsidR="00F57E67" w:rsidRPr="00ED4D49" w:rsidRDefault="00E548FB" w:rsidP="00F57E67">
      <w:pPr>
        <w:spacing w:after="0"/>
        <w:jc w:val="both"/>
        <w:rPr>
          <w:rFonts w:cs="Calibri"/>
          <w:lang w:val="en-US" w:eastAsia="x-none"/>
        </w:rPr>
      </w:pPr>
      <w:r w:rsidRPr="00ED4D49">
        <w:rPr>
          <w:rFonts w:cs="Calibri"/>
          <w:noProof/>
          <w:color w:val="1F497D"/>
          <w:szCs w:val="20"/>
          <w:lang w:val="bs-Latn-BA" w:eastAsia="bs-Latn-BA"/>
        </w:rPr>
        <w:drawing>
          <wp:anchor distT="0" distB="0" distL="114300" distR="114300" simplePos="0" relativeHeight="11" behindDoc="0" locked="0" layoutInCell="1" allowOverlap="1" wp14:anchorId="0D86C4D1" wp14:editId="03BBB078">
            <wp:simplePos x="0" y="0"/>
            <wp:positionH relativeFrom="column">
              <wp:posOffset>-50800</wp:posOffset>
            </wp:positionH>
            <wp:positionV relativeFrom="paragraph">
              <wp:posOffset>108585</wp:posOffset>
            </wp:positionV>
            <wp:extent cx="400050" cy="400050"/>
            <wp:effectExtent l="0" t="0" r="0" b="0"/>
            <wp:wrapSquare wrapText="bothSides"/>
            <wp:docPr id="34" name="Picture 33" descr="Checklis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 descr="Checklist"/>
                    <pic:cNvPicPr>
                      <a:picLocks/>
                    </pic:cNvPicPr>
                  </pic:nvPicPr>
                  <pic:blipFill>
                    <a:blip r:embed="rId37" cstate="screen">
                      <a:extLst>
                        <a:ext uri="{28A0092B-C50C-407E-A947-70E740481C1C}">
                          <a14:useLocalDpi xmlns:a14="http://schemas.microsoft.com/office/drawing/2010/main"/>
                        </a:ext>
                      </a:extLst>
                    </a:blip>
                    <a:srcRect l="-17867" t="-4034" r="-18134" b="-4247"/>
                    <a:stretch>
                      <a:fillRect/>
                    </a:stretch>
                  </pic:blipFill>
                  <pic:spPr bwMode="auto">
                    <a:xfrm>
                      <a:off x="0" y="0"/>
                      <a:ext cx="400050" cy="400050"/>
                    </a:xfrm>
                    <a:prstGeom prst="rect">
                      <a:avLst/>
                    </a:prstGeom>
                    <a:noFill/>
                  </pic:spPr>
                </pic:pic>
              </a:graphicData>
            </a:graphic>
            <wp14:sizeRelH relativeFrom="page">
              <wp14:pctWidth>0</wp14:pctWidth>
            </wp14:sizeRelH>
            <wp14:sizeRelV relativeFrom="page">
              <wp14:pctHeight>0</wp14:pctHeight>
            </wp14:sizeRelV>
          </wp:anchor>
        </w:drawing>
      </w:r>
      <w:r w:rsidR="00F57E67" w:rsidRPr="00ED4D49">
        <w:rPr>
          <w:rFonts w:cs="Calibri"/>
          <w:color w:val="1F497D"/>
          <w:szCs w:val="20"/>
          <w:lang w:val="en-US"/>
        </w:rPr>
        <w:t xml:space="preserve">Environmental and Social Standard 10 – Stakeholder Engagement and Information Disclosure </w:t>
      </w:r>
      <w:r w:rsidR="00F57E67" w:rsidRPr="00ED4D49">
        <w:rPr>
          <w:rFonts w:cs="Calibri"/>
          <w:szCs w:val="20"/>
          <w:lang w:val="en-US" w:eastAsia="x-none"/>
        </w:rPr>
        <w:t xml:space="preserve">recognizes the importance of open and transparent engagement between the Borrower and project stakeholders as an essential element of good international practice. Effective stakeholder engagement </w:t>
      </w:r>
      <w:r w:rsidR="00F57E67" w:rsidRPr="00ED4D49">
        <w:rPr>
          <w:rFonts w:cs="Calibri"/>
          <w:szCs w:val="20"/>
          <w:lang w:val="en-US" w:eastAsia="x-none"/>
        </w:rPr>
        <w:lastRenderedPageBreak/>
        <w:t>can improve the environmental and social sustainability of projects, enhance project acceptance, and make a significant contribution to successful project design and implementation.</w:t>
      </w:r>
      <w:r w:rsidR="00F57E67" w:rsidRPr="00ED4D49">
        <w:rPr>
          <w:rFonts w:cs="Calibri"/>
          <w:lang w:val="en-US" w:eastAsia="x-none"/>
        </w:rPr>
        <w:t xml:space="preserve"> </w:t>
      </w:r>
    </w:p>
    <w:p w14:paraId="0E03426C" w14:textId="77777777" w:rsidR="00F57E67" w:rsidRPr="00ED4D49" w:rsidRDefault="00F57E67" w:rsidP="00F57E67">
      <w:pPr>
        <w:spacing w:before="0"/>
        <w:jc w:val="both"/>
        <w:rPr>
          <w:rFonts w:cs="Calibri"/>
          <w:lang w:val="en-US" w:eastAsia="x-none"/>
        </w:rPr>
      </w:pPr>
      <w:r w:rsidRPr="00ED4D49">
        <w:rPr>
          <w:rFonts w:cs="Calibri"/>
          <w:lang w:val="en-US" w:eastAsia="x-none"/>
        </w:rPr>
        <w:t xml:space="preserve">ESS10 objectives are the following: </w:t>
      </w:r>
    </w:p>
    <w:p w14:paraId="6327D30C" w14:textId="77777777" w:rsidR="00F57E67" w:rsidRPr="00ED4D49" w:rsidRDefault="00F57E67" w:rsidP="0052417D">
      <w:pPr>
        <w:pStyle w:val="ListParagraph"/>
        <w:numPr>
          <w:ilvl w:val="0"/>
          <w:numId w:val="13"/>
        </w:numPr>
        <w:spacing w:before="0" w:after="160"/>
        <w:jc w:val="both"/>
        <w:rPr>
          <w:rFonts w:cs="Calibri"/>
          <w:sz w:val="20"/>
          <w:szCs w:val="20"/>
          <w:lang w:eastAsia="x-none"/>
        </w:rPr>
      </w:pPr>
      <w:r w:rsidRPr="00ED4D49">
        <w:rPr>
          <w:rFonts w:cs="Calibri"/>
          <w:sz w:val="20"/>
          <w:szCs w:val="20"/>
          <w:lang w:eastAsia="x-none"/>
        </w:rPr>
        <w:t xml:space="preserve">To establish a systematic approach for stakeholder engagement that will help Borrowers identify stakeholders and build and maintain a constructive relationship with them, in particular project-affected parties </w:t>
      </w:r>
    </w:p>
    <w:p w14:paraId="09D866AD" w14:textId="77777777" w:rsidR="00F57E67" w:rsidRPr="00ED4D49" w:rsidRDefault="00F57E67" w:rsidP="0052417D">
      <w:pPr>
        <w:pStyle w:val="ListParagraph"/>
        <w:numPr>
          <w:ilvl w:val="0"/>
          <w:numId w:val="13"/>
        </w:numPr>
        <w:spacing w:before="0" w:after="160"/>
        <w:jc w:val="both"/>
        <w:rPr>
          <w:rFonts w:cs="Calibri"/>
          <w:sz w:val="20"/>
          <w:szCs w:val="20"/>
          <w:lang w:eastAsia="x-none"/>
        </w:rPr>
      </w:pPr>
      <w:r w:rsidRPr="00ED4D49">
        <w:rPr>
          <w:rFonts w:cs="Calibri"/>
          <w:sz w:val="20"/>
          <w:szCs w:val="20"/>
          <w:lang w:eastAsia="x-none"/>
        </w:rPr>
        <w:t xml:space="preserve">To assess the level of stakeholder interest and support for the project and to enable stake-holders’ views to be taken into account in project design and environmental and social performance. </w:t>
      </w:r>
    </w:p>
    <w:p w14:paraId="4DE7C33A" w14:textId="50D11280" w:rsidR="00F57E67" w:rsidRPr="00ED4D49" w:rsidRDefault="00F57E67" w:rsidP="0052417D">
      <w:pPr>
        <w:pStyle w:val="ListParagraph"/>
        <w:numPr>
          <w:ilvl w:val="0"/>
          <w:numId w:val="13"/>
        </w:numPr>
        <w:spacing w:before="0" w:after="160"/>
        <w:jc w:val="both"/>
        <w:rPr>
          <w:rFonts w:cs="Calibri"/>
          <w:sz w:val="20"/>
          <w:szCs w:val="20"/>
          <w:lang w:eastAsia="x-none"/>
        </w:rPr>
      </w:pPr>
      <w:r w:rsidRPr="00ED4D49">
        <w:rPr>
          <w:rFonts w:cs="Calibri"/>
          <w:sz w:val="20"/>
          <w:szCs w:val="20"/>
          <w:lang w:eastAsia="x-none"/>
        </w:rPr>
        <w:t>To promote and provide means for effective and inclusive engagement with project-affected par-ties throughout the project life cycle on issues that could potentially affect them</w:t>
      </w:r>
    </w:p>
    <w:p w14:paraId="4F3973BE" w14:textId="77777777" w:rsidR="00F57E67" w:rsidRPr="00ED4D49" w:rsidRDefault="00F57E67" w:rsidP="0052417D">
      <w:pPr>
        <w:pStyle w:val="ListParagraph"/>
        <w:numPr>
          <w:ilvl w:val="0"/>
          <w:numId w:val="13"/>
        </w:numPr>
        <w:spacing w:before="0" w:after="160"/>
        <w:jc w:val="both"/>
        <w:rPr>
          <w:rFonts w:cs="Calibri"/>
          <w:sz w:val="20"/>
          <w:szCs w:val="20"/>
          <w:lang w:eastAsia="x-none"/>
        </w:rPr>
      </w:pPr>
      <w:r w:rsidRPr="00ED4D49">
        <w:rPr>
          <w:rFonts w:cs="Calibri"/>
          <w:sz w:val="20"/>
          <w:szCs w:val="20"/>
          <w:lang w:eastAsia="x-none"/>
        </w:rPr>
        <w:t xml:space="preserve">To ensure that appropriate project information on environmental and social risks and impacts is disclosed to stakeholders in a timely, understandable, accessible and appropriate manner and format. </w:t>
      </w:r>
    </w:p>
    <w:p w14:paraId="6A1A1A89" w14:textId="72D9AB39" w:rsidR="00F57E67" w:rsidRPr="00ED4D49" w:rsidRDefault="00F57E67" w:rsidP="0052417D">
      <w:pPr>
        <w:pStyle w:val="ListParagraph"/>
        <w:numPr>
          <w:ilvl w:val="0"/>
          <w:numId w:val="13"/>
        </w:numPr>
        <w:spacing w:before="0" w:after="160"/>
        <w:jc w:val="both"/>
        <w:rPr>
          <w:rFonts w:cs="Calibri"/>
          <w:sz w:val="20"/>
          <w:szCs w:val="20"/>
          <w:lang w:eastAsia="x-none"/>
        </w:rPr>
      </w:pPr>
      <w:r w:rsidRPr="00ED4D49">
        <w:rPr>
          <w:rFonts w:cs="Calibri"/>
          <w:sz w:val="20"/>
          <w:szCs w:val="20"/>
          <w:lang w:eastAsia="x-none"/>
        </w:rPr>
        <w:t>To provide project-affected parties with accessible and inclusive means to raise issues and grievances, and allow Borrowers to respond to and manage such grievances</w:t>
      </w:r>
      <w:r w:rsidR="00587FF3" w:rsidRPr="00ED4D49">
        <w:rPr>
          <w:rFonts w:cs="Calibri"/>
          <w:sz w:val="20"/>
          <w:szCs w:val="20"/>
          <w:lang w:eastAsia="x-none"/>
        </w:rPr>
        <w:t>.</w:t>
      </w:r>
    </w:p>
    <w:p w14:paraId="0678E3CC" w14:textId="505ED3F4" w:rsidR="00F57E67" w:rsidRPr="00ED4D49" w:rsidRDefault="00F57E67" w:rsidP="0023292C">
      <w:pPr>
        <w:pStyle w:val="Heading3"/>
      </w:pPr>
      <w:bookmarkStart w:id="173" w:name="_Toc19223870"/>
      <w:bookmarkStart w:id="174" w:name="_Toc31811086"/>
      <w:bookmarkEnd w:id="171"/>
      <w:r w:rsidRPr="00ED4D49">
        <w:rPr>
          <w:rStyle w:val="tlid-translation"/>
        </w:rPr>
        <w:t xml:space="preserve">Other </w:t>
      </w:r>
      <w:r w:rsidR="00857724" w:rsidRPr="00ED4D49">
        <w:rPr>
          <w:rStyle w:val="tlid-translation"/>
        </w:rPr>
        <w:t xml:space="preserve">Applicable </w:t>
      </w:r>
      <w:r w:rsidRPr="00ED4D49">
        <w:rPr>
          <w:rStyle w:val="tlid-translation"/>
        </w:rPr>
        <w:t>Criteria and Guidelines</w:t>
      </w:r>
      <w:bookmarkEnd w:id="173"/>
      <w:bookmarkEnd w:id="174"/>
      <w:r w:rsidRPr="00ED4D49">
        <w:rPr>
          <w:rStyle w:val="tlid-translation"/>
        </w:rPr>
        <w:t xml:space="preserve"> </w:t>
      </w:r>
    </w:p>
    <w:p w14:paraId="5DD2E971" w14:textId="02375922" w:rsidR="00F57E67" w:rsidRPr="00ED4D49" w:rsidRDefault="00855D67" w:rsidP="00F57E67">
      <w:pPr>
        <w:jc w:val="both"/>
        <w:rPr>
          <w:lang w:val="en-US"/>
        </w:rPr>
      </w:pPr>
      <w:bookmarkStart w:id="175" w:name="_Hlk25264367"/>
      <w:r w:rsidRPr="00ED4D49">
        <w:rPr>
          <w:b/>
          <w:bCs/>
          <w:lang w:val="en-US"/>
        </w:rPr>
        <w:t>OP 7.50 – Projects on international waterways</w:t>
      </w:r>
      <w:r w:rsidRPr="00ED4D49">
        <w:rPr>
          <w:lang w:val="en-US"/>
        </w:rPr>
        <w:t xml:space="preserve"> applies to various international waterways, such as: any river, lake, canal or similar water body that forms the border between two units; any river or surface water body that flows through two or more countries; any tributary or other surface water body that is a component of any waterway and any creek, bay, gorge or canal connecting two or more countries. Or, if within one state, that is recognized as a necessary communication canal between the open sea and other states and any river that flows into such waters. Required action involves respecting the notification procedure. The project details attached to the notification letter usually relies on </w:t>
      </w:r>
      <w:r w:rsidR="00C6478C" w:rsidRPr="00ED4D49">
        <w:rPr>
          <w:rFonts w:cs="Calibri"/>
          <w:szCs w:val="24"/>
          <w:lang w:val="en-US"/>
        </w:rPr>
        <w:t>environmental impact assessment</w:t>
      </w:r>
      <w:r w:rsidRPr="00ED4D49">
        <w:rPr>
          <w:lang w:val="en-US"/>
        </w:rPr>
        <w:t xml:space="preserve"> and/or environmental assessment, to make determination that the Bank financed Project will not cause damage to riparian countries.</w:t>
      </w:r>
      <w:r w:rsidR="007B11F5" w:rsidRPr="00ED4D49">
        <w:rPr>
          <w:lang w:val="en-US"/>
        </w:rPr>
        <w:t xml:space="preserve"> For the purposes of this project the activities will be communicated to the </w:t>
      </w:r>
      <w:proofErr w:type="spellStart"/>
      <w:r w:rsidR="007B11F5" w:rsidRPr="00ED4D49">
        <w:rPr>
          <w:lang w:val="en-US"/>
        </w:rPr>
        <w:t>riparians</w:t>
      </w:r>
      <w:proofErr w:type="spellEnd"/>
      <w:r w:rsidR="007B11F5" w:rsidRPr="00ED4D49">
        <w:rPr>
          <w:lang w:val="en-US"/>
        </w:rPr>
        <w:t xml:space="preserve"> through The International Commission for the Protection of the Danube River (ICPDR), upon request of the borrower countries, as noted in the session of the Sava River Commission.</w:t>
      </w:r>
    </w:p>
    <w:p w14:paraId="7F528CC2" w14:textId="3FD99F45" w:rsidR="00F57E67" w:rsidRPr="00ED4D49" w:rsidRDefault="00F57E67" w:rsidP="0063606C">
      <w:pPr>
        <w:pStyle w:val="Heading2"/>
      </w:pPr>
      <w:bookmarkStart w:id="176" w:name="_Toc19223871"/>
      <w:bookmarkStart w:id="177" w:name="_Ref22286181"/>
      <w:bookmarkStart w:id="178" w:name="_Ref22286202"/>
      <w:bookmarkStart w:id="179" w:name="_Toc31811087"/>
      <w:bookmarkEnd w:id="175"/>
      <w:r w:rsidRPr="00ED4D49">
        <w:t>Overview of Environmental and Social Requirements in B</w:t>
      </w:r>
      <w:r w:rsidR="00827A60" w:rsidRPr="00ED4D49">
        <w:t>i</w:t>
      </w:r>
      <w:r w:rsidRPr="00ED4D49">
        <w:t>H</w:t>
      </w:r>
      <w:bookmarkEnd w:id="176"/>
      <w:bookmarkEnd w:id="177"/>
      <w:bookmarkEnd w:id="178"/>
      <w:bookmarkEnd w:id="179"/>
      <w:r w:rsidRPr="00ED4D49">
        <w:t xml:space="preserve"> </w:t>
      </w:r>
    </w:p>
    <w:p w14:paraId="1CEEE038" w14:textId="77777777" w:rsidR="00F57E67" w:rsidRPr="00ED4D49" w:rsidRDefault="00F57E67" w:rsidP="0023292C">
      <w:pPr>
        <w:pStyle w:val="Heading3"/>
      </w:pPr>
      <w:bookmarkStart w:id="180" w:name="_Toc19223872"/>
      <w:bookmarkStart w:id="181" w:name="_Ref22298726"/>
      <w:bookmarkStart w:id="182" w:name="_Ref22298730"/>
      <w:bookmarkStart w:id="183" w:name="_Toc31811088"/>
      <w:bookmarkStart w:id="184" w:name="_Ref3199173"/>
      <w:r w:rsidRPr="00ED4D49">
        <w:t>Environmental Assessment Procedure</w:t>
      </w:r>
      <w:bookmarkEnd w:id="180"/>
      <w:bookmarkEnd w:id="181"/>
      <w:bookmarkEnd w:id="182"/>
      <w:bookmarkEnd w:id="183"/>
      <w:r w:rsidRPr="00ED4D49">
        <w:t xml:space="preserve"> </w:t>
      </w:r>
      <w:bookmarkEnd w:id="184"/>
    </w:p>
    <w:p w14:paraId="0446B0DE" w14:textId="36AA00E5" w:rsidR="0095474C" w:rsidRPr="00ED4D49" w:rsidRDefault="0095474C" w:rsidP="0095474C">
      <w:pPr>
        <w:spacing w:after="0"/>
        <w:jc w:val="both"/>
        <w:rPr>
          <w:rFonts w:cs="Calibri"/>
          <w:color w:val="1F497D"/>
          <w:lang w:val="en-US"/>
        </w:rPr>
      </w:pPr>
      <w:r w:rsidRPr="00ED4D49">
        <w:rPr>
          <w:rFonts w:cs="Calibri"/>
          <w:color w:val="1F497D"/>
          <w:lang w:val="en-US"/>
        </w:rPr>
        <w:t xml:space="preserve">Environmental Assessment Procedure in </w:t>
      </w:r>
      <w:r w:rsidR="00387D38" w:rsidRPr="00ED4D49">
        <w:rPr>
          <w:rFonts w:cs="Calibri"/>
          <w:color w:val="1F497D"/>
          <w:lang w:val="en-US"/>
        </w:rPr>
        <w:t>FBiH</w:t>
      </w:r>
      <w:r w:rsidRPr="00ED4D49">
        <w:rPr>
          <w:rFonts w:cs="Calibri"/>
          <w:color w:val="1F497D"/>
          <w:lang w:val="en-US"/>
        </w:rPr>
        <w:t xml:space="preserve"> </w:t>
      </w:r>
    </w:p>
    <w:p w14:paraId="26FBD53E" w14:textId="4BDBA041" w:rsidR="0095474C" w:rsidRPr="00ED4D49" w:rsidRDefault="0095474C" w:rsidP="0095474C">
      <w:pPr>
        <w:spacing w:before="0" w:after="0"/>
        <w:jc w:val="both"/>
        <w:rPr>
          <w:rFonts w:cs="Calibri"/>
          <w:szCs w:val="24"/>
          <w:lang w:val="en-US"/>
        </w:rPr>
      </w:pPr>
      <w:r w:rsidRPr="00ED4D49">
        <w:rPr>
          <w:rFonts w:cs="Calibri"/>
          <w:szCs w:val="24"/>
          <w:lang w:val="en-US"/>
        </w:rPr>
        <w:t xml:space="preserve">Responsibility for the </w:t>
      </w:r>
      <w:r w:rsidR="00C6478C" w:rsidRPr="00ED4D49">
        <w:rPr>
          <w:rFonts w:cs="Calibri"/>
          <w:szCs w:val="24"/>
          <w:lang w:val="en-US"/>
        </w:rPr>
        <w:t>Environmental Impact Assessment (</w:t>
      </w:r>
      <w:r w:rsidRPr="00ED4D49">
        <w:rPr>
          <w:rFonts w:cs="Calibri"/>
          <w:szCs w:val="24"/>
          <w:lang w:val="en-US"/>
        </w:rPr>
        <w:t>EIA) procedure in FBiH is shared between the Federation and Cantonal Ministries responsible for the environment (for the list of cantonal ministries responsible for environmental issues, please refer to Annex</w:t>
      </w:r>
      <w:r w:rsidR="00A32F87" w:rsidRPr="00ED4D49">
        <w:rPr>
          <w:rFonts w:cs="Calibri"/>
          <w:szCs w:val="24"/>
          <w:lang w:val="en-US"/>
        </w:rPr>
        <w:t xml:space="preserve"> </w:t>
      </w:r>
      <w:r w:rsidR="00A32F87" w:rsidRPr="00ED4D49">
        <w:rPr>
          <w:rFonts w:cs="Calibri"/>
          <w:szCs w:val="24"/>
          <w:lang w:val="en-US"/>
        </w:rPr>
        <w:fldChar w:fldCharType="begin"/>
      </w:r>
      <w:r w:rsidR="00A32F87" w:rsidRPr="00ED4D49">
        <w:rPr>
          <w:rFonts w:cs="Calibri"/>
          <w:szCs w:val="24"/>
          <w:lang w:val="en-US"/>
        </w:rPr>
        <w:instrText xml:space="preserve"> REF _Ref22584504 \r \h </w:instrText>
      </w:r>
      <w:r w:rsidR="00ED4D49">
        <w:rPr>
          <w:rFonts w:cs="Calibri"/>
          <w:szCs w:val="24"/>
          <w:lang w:val="en-US"/>
        </w:rPr>
        <w:instrText xml:space="preserve"> \* MERGEFORMAT </w:instrText>
      </w:r>
      <w:r w:rsidR="00A32F87" w:rsidRPr="00ED4D49">
        <w:rPr>
          <w:rFonts w:cs="Calibri"/>
          <w:szCs w:val="24"/>
          <w:lang w:val="en-US"/>
        </w:rPr>
      </w:r>
      <w:r w:rsidR="00A32F87" w:rsidRPr="00ED4D49">
        <w:rPr>
          <w:rFonts w:cs="Calibri"/>
          <w:szCs w:val="24"/>
          <w:lang w:val="en-US"/>
        </w:rPr>
        <w:fldChar w:fldCharType="separate"/>
      </w:r>
      <w:r w:rsidR="00F60130" w:rsidRPr="00ED4D49">
        <w:rPr>
          <w:rFonts w:cs="Calibri"/>
          <w:szCs w:val="24"/>
          <w:lang w:val="en-US"/>
        </w:rPr>
        <w:t>C</w:t>
      </w:r>
      <w:r w:rsidR="00A32F87" w:rsidRPr="00ED4D49">
        <w:rPr>
          <w:rFonts w:cs="Calibri"/>
          <w:szCs w:val="24"/>
          <w:lang w:val="en-US"/>
        </w:rPr>
        <w:fldChar w:fldCharType="end"/>
      </w:r>
      <w:r w:rsidRPr="00ED4D49">
        <w:rPr>
          <w:rFonts w:cs="Calibri"/>
          <w:szCs w:val="24"/>
          <w:lang w:val="en-US"/>
        </w:rPr>
        <w:t xml:space="preserve">). In FBiH, the procedure for issuing Environmental Permits is prescribed by: </w:t>
      </w:r>
    </w:p>
    <w:p w14:paraId="263085E4" w14:textId="77777777" w:rsidR="0095474C" w:rsidRPr="00ED4D49" w:rsidRDefault="0095474C" w:rsidP="0095474C">
      <w:pPr>
        <w:pStyle w:val="ListParagraph"/>
        <w:numPr>
          <w:ilvl w:val="0"/>
          <w:numId w:val="15"/>
        </w:numPr>
        <w:spacing w:after="160"/>
        <w:jc w:val="both"/>
        <w:rPr>
          <w:rFonts w:cs="Calibri"/>
          <w:sz w:val="20"/>
          <w:szCs w:val="20"/>
        </w:rPr>
      </w:pPr>
      <w:r w:rsidRPr="00ED4D49">
        <w:rPr>
          <w:rFonts w:cs="Calibri"/>
          <w:sz w:val="20"/>
          <w:szCs w:val="20"/>
        </w:rPr>
        <w:t>the Law on Environmental Protection</w:t>
      </w:r>
      <w:r w:rsidRPr="00ED4D49">
        <w:rPr>
          <w:rStyle w:val="FootnoteReference"/>
          <w:rFonts w:cs="Calibri"/>
          <w:sz w:val="20"/>
          <w:szCs w:val="20"/>
        </w:rPr>
        <w:footnoteReference w:id="39"/>
      </w:r>
      <w:r w:rsidRPr="00ED4D49">
        <w:rPr>
          <w:rFonts w:cs="Calibri"/>
          <w:sz w:val="20"/>
          <w:szCs w:val="20"/>
        </w:rPr>
        <w:t>,</w:t>
      </w:r>
    </w:p>
    <w:p w14:paraId="2E8D318E" w14:textId="76664333" w:rsidR="0095474C" w:rsidRPr="00ED4D49" w:rsidRDefault="0095474C" w:rsidP="0095474C">
      <w:pPr>
        <w:pStyle w:val="ListParagraph"/>
        <w:numPr>
          <w:ilvl w:val="0"/>
          <w:numId w:val="15"/>
        </w:numPr>
        <w:spacing w:after="160"/>
        <w:jc w:val="both"/>
        <w:rPr>
          <w:rFonts w:cs="Calibri"/>
          <w:sz w:val="20"/>
          <w:szCs w:val="20"/>
        </w:rPr>
      </w:pPr>
      <w:r w:rsidRPr="00ED4D49">
        <w:rPr>
          <w:rFonts w:cs="Calibri"/>
          <w:sz w:val="20"/>
          <w:szCs w:val="20"/>
        </w:rPr>
        <w:t xml:space="preserve">the </w:t>
      </w:r>
      <w:r w:rsidR="001932CA" w:rsidRPr="00ED4D49">
        <w:rPr>
          <w:rFonts w:cs="Calibri"/>
          <w:sz w:val="20"/>
          <w:szCs w:val="20"/>
        </w:rPr>
        <w:t>Regulation</w:t>
      </w:r>
      <w:r w:rsidRPr="00ED4D49">
        <w:rPr>
          <w:rFonts w:cs="Calibri"/>
          <w:sz w:val="20"/>
          <w:szCs w:val="20"/>
        </w:rPr>
        <w:t xml:space="preserve"> on Plants and Facilities Subject to EIA, and Plants and Facilities which May Be Constructed and Commissioned Only If They Have an Environmental Permit</w:t>
      </w:r>
      <w:r w:rsidRPr="00ED4D49">
        <w:rPr>
          <w:rStyle w:val="FootnoteReference"/>
          <w:rFonts w:cs="Calibri"/>
          <w:sz w:val="20"/>
          <w:szCs w:val="20"/>
        </w:rPr>
        <w:footnoteReference w:id="40"/>
      </w:r>
      <w:r w:rsidRPr="00ED4D49">
        <w:rPr>
          <w:rFonts w:cs="Calibri"/>
          <w:sz w:val="20"/>
          <w:szCs w:val="20"/>
        </w:rPr>
        <w:t xml:space="preserve"> (the</w:t>
      </w:r>
      <w:r w:rsidR="00ED5B2D" w:rsidRPr="00ED4D49">
        <w:rPr>
          <w:rFonts w:cs="Calibri"/>
          <w:sz w:val="20"/>
          <w:szCs w:val="20"/>
        </w:rPr>
        <w:t xml:space="preserve"> FBiH</w:t>
      </w:r>
      <w:r w:rsidRPr="00ED4D49">
        <w:rPr>
          <w:rFonts w:cs="Calibri"/>
          <w:sz w:val="20"/>
          <w:szCs w:val="20"/>
        </w:rPr>
        <w:t xml:space="preserve"> </w:t>
      </w:r>
      <w:r w:rsidR="001932CA" w:rsidRPr="00ED4D49">
        <w:rPr>
          <w:rFonts w:cs="Calibri"/>
          <w:sz w:val="20"/>
          <w:szCs w:val="20"/>
        </w:rPr>
        <w:t>Regulation</w:t>
      </w:r>
      <w:r w:rsidRPr="00ED4D49">
        <w:rPr>
          <w:rFonts w:cs="Calibri"/>
          <w:sz w:val="20"/>
          <w:szCs w:val="20"/>
        </w:rPr>
        <w:t>).</w:t>
      </w:r>
    </w:p>
    <w:p w14:paraId="79B2D120" w14:textId="726941C8" w:rsidR="0095474C" w:rsidRPr="00ED4D49" w:rsidRDefault="0095474C" w:rsidP="0095474C">
      <w:pPr>
        <w:spacing w:after="0"/>
        <w:jc w:val="both"/>
        <w:rPr>
          <w:rFonts w:cs="Calibri"/>
          <w:szCs w:val="24"/>
          <w:lang w:val="en-US"/>
        </w:rPr>
      </w:pPr>
      <w:r w:rsidRPr="00ED4D49">
        <w:rPr>
          <w:rFonts w:cs="Calibri"/>
          <w:szCs w:val="24"/>
          <w:lang w:val="en-US"/>
        </w:rPr>
        <w:t xml:space="preserve">The </w:t>
      </w:r>
      <w:r w:rsidR="00ED5B2D" w:rsidRPr="00ED4D49">
        <w:rPr>
          <w:rFonts w:cs="Calibri"/>
          <w:szCs w:val="24"/>
          <w:lang w:val="en-US"/>
        </w:rPr>
        <w:t xml:space="preserve">FBiH </w:t>
      </w:r>
      <w:r w:rsidR="001932CA" w:rsidRPr="00ED4D49">
        <w:rPr>
          <w:rFonts w:cs="Calibri"/>
          <w:szCs w:val="24"/>
          <w:lang w:val="en-US"/>
        </w:rPr>
        <w:t>Regulation</w:t>
      </w:r>
      <w:r w:rsidRPr="00ED4D49">
        <w:rPr>
          <w:rFonts w:cs="Calibri"/>
          <w:szCs w:val="24"/>
          <w:lang w:val="en-US"/>
        </w:rPr>
        <w:t xml:space="preserve"> specifies the following: </w:t>
      </w:r>
    </w:p>
    <w:p w14:paraId="5C0DAFD6" w14:textId="6966DE70" w:rsidR="0095474C" w:rsidRPr="00ED4D49" w:rsidRDefault="0095474C" w:rsidP="0095474C">
      <w:pPr>
        <w:pStyle w:val="ListParagraph"/>
        <w:numPr>
          <w:ilvl w:val="0"/>
          <w:numId w:val="16"/>
        </w:numPr>
        <w:spacing w:after="160"/>
        <w:jc w:val="both"/>
        <w:rPr>
          <w:rFonts w:cs="Calibri"/>
          <w:sz w:val="20"/>
          <w:szCs w:val="20"/>
        </w:rPr>
      </w:pPr>
      <w:r w:rsidRPr="00ED4D49">
        <w:rPr>
          <w:rFonts w:cs="Calibri"/>
          <w:sz w:val="20"/>
          <w:szCs w:val="20"/>
        </w:rPr>
        <w:t>Plants and facilities subject to EIA,</w:t>
      </w:r>
      <w:r w:rsidR="00C6478C" w:rsidRPr="00ED4D49">
        <w:rPr>
          <w:rFonts w:cs="Calibri"/>
          <w:sz w:val="20"/>
          <w:szCs w:val="20"/>
        </w:rPr>
        <w:t xml:space="preserve"> </w:t>
      </w:r>
      <w:r w:rsidRPr="00ED4D49">
        <w:rPr>
          <w:rFonts w:cs="Calibri"/>
          <w:sz w:val="20"/>
          <w:szCs w:val="20"/>
        </w:rPr>
        <w:t xml:space="preserve"> </w:t>
      </w:r>
    </w:p>
    <w:p w14:paraId="141F7E49" w14:textId="34F96268" w:rsidR="0095474C" w:rsidRPr="00ED4D49" w:rsidRDefault="0095474C" w:rsidP="0095474C">
      <w:pPr>
        <w:pStyle w:val="ListParagraph"/>
        <w:numPr>
          <w:ilvl w:val="0"/>
          <w:numId w:val="16"/>
        </w:numPr>
        <w:spacing w:after="160"/>
        <w:jc w:val="both"/>
        <w:rPr>
          <w:rFonts w:cs="Calibri"/>
          <w:sz w:val="20"/>
          <w:szCs w:val="20"/>
        </w:rPr>
      </w:pPr>
      <w:r w:rsidRPr="00ED4D49">
        <w:rPr>
          <w:rFonts w:cs="Calibri"/>
          <w:sz w:val="20"/>
          <w:szCs w:val="20"/>
        </w:rPr>
        <w:t>Plants and facilities for which the Federal Ministry of Environment and Tourism (FMET) determines whether an EIA must be conducted, as well as</w:t>
      </w:r>
      <w:r w:rsidR="00C6478C" w:rsidRPr="00ED4D49">
        <w:rPr>
          <w:rFonts w:cs="Calibri"/>
          <w:sz w:val="20"/>
          <w:szCs w:val="20"/>
        </w:rPr>
        <w:t xml:space="preserve"> </w:t>
      </w:r>
    </w:p>
    <w:p w14:paraId="173C6C52" w14:textId="77777777" w:rsidR="0095474C" w:rsidRPr="00ED4D49" w:rsidRDefault="0095474C" w:rsidP="0095474C">
      <w:pPr>
        <w:pStyle w:val="ListParagraph"/>
        <w:numPr>
          <w:ilvl w:val="0"/>
          <w:numId w:val="16"/>
        </w:numPr>
        <w:spacing w:after="160"/>
        <w:jc w:val="both"/>
        <w:rPr>
          <w:rFonts w:cs="Calibri"/>
          <w:sz w:val="20"/>
          <w:szCs w:val="20"/>
        </w:rPr>
      </w:pPr>
      <w:r w:rsidRPr="00ED4D49">
        <w:rPr>
          <w:rFonts w:cs="Calibri"/>
          <w:sz w:val="20"/>
          <w:szCs w:val="20"/>
        </w:rPr>
        <w:lastRenderedPageBreak/>
        <w:t>Plant and facilities which do not need an EIA, and for which the Federal Ministry issues the Environmental Permit.</w:t>
      </w:r>
    </w:p>
    <w:p w14:paraId="0414494E" w14:textId="060153E3" w:rsidR="0095474C" w:rsidRPr="00ED4D49" w:rsidRDefault="0095474C" w:rsidP="0095474C">
      <w:pPr>
        <w:spacing w:after="0"/>
        <w:jc w:val="both"/>
        <w:rPr>
          <w:rFonts w:cs="Calibri"/>
          <w:szCs w:val="24"/>
          <w:lang w:val="en-US"/>
        </w:rPr>
      </w:pPr>
      <w:r w:rsidRPr="00ED4D49">
        <w:rPr>
          <w:rFonts w:cs="Calibri"/>
          <w:szCs w:val="24"/>
          <w:u w:val="single"/>
          <w:lang w:val="en-US"/>
        </w:rPr>
        <w:t xml:space="preserve">For plants and facilities subject to an EIA </w:t>
      </w:r>
      <w:r w:rsidRPr="00ED4D49">
        <w:rPr>
          <w:rFonts w:cs="Calibri"/>
          <w:szCs w:val="24"/>
          <w:lang w:val="en-US"/>
        </w:rPr>
        <w:t xml:space="preserve">the assessment procedure begins by submitting an Environmental Impact Assessment Study (EIA Study) to FMET. FMET publicly disclosed the EIA Study through its website, informs and invites the general public to public consultation, and appoints an expert committee to evaluate the EIA Study. After completion of the public consultation process and evaluation by the expert committee, FMET issues a Decision on Approval or Rejection of the EIA Study. In case of approval, FMET issues a Decision on Granting of the Environmental Permit. In case of rejection, the procedure is terminated. </w:t>
      </w:r>
    </w:p>
    <w:p w14:paraId="194CDBB4" w14:textId="0142FD1E" w:rsidR="0095474C" w:rsidRPr="00ED4D49" w:rsidRDefault="0095474C" w:rsidP="0095474C">
      <w:pPr>
        <w:spacing w:after="0"/>
        <w:jc w:val="both"/>
        <w:rPr>
          <w:rFonts w:cs="Calibri"/>
          <w:szCs w:val="24"/>
          <w:lang w:val="en-US"/>
        </w:rPr>
      </w:pPr>
      <w:r w:rsidRPr="00ED4D49">
        <w:rPr>
          <w:rFonts w:cs="Calibri"/>
          <w:szCs w:val="24"/>
          <w:u w:val="single"/>
          <w:lang w:val="en-US"/>
        </w:rPr>
        <w:t xml:space="preserve">For plants and facilities for which FMET determines whether they need an EIA </w:t>
      </w:r>
      <w:r w:rsidRPr="00ED4D49">
        <w:rPr>
          <w:rFonts w:cs="Calibri"/>
          <w:szCs w:val="24"/>
          <w:lang w:val="en-US"/>
        </w:rPr>
        <w:t>the procedure begins by development and submission of an Application for Obtaining an Environmental Permit. FMET forwards the Application accompanied by supporting documentation to the responsible authorities and interested stakeholders to obtain their opinions. When considering the Application, FMET takes into account the following criteria:</w:t>
      </w:r>
      <w:r w:rsidR="00C6478C" w:rsidRPr="00ED4D49">
        <w:rPr>
          <w:rFonts w:cs="Calibri"/>
          <w:szCs w:val="24"/>
          <w:lang w:val="en-US"/>
        </w:rPr>
        <w:t xml:space="preserve"> </w:t>
      </w:r>
    </w:p>
    <w:p w14:paraId="34953BDE" w14:textId="77777777" w:rsidR="0095474C" w:rsidRPr="00ED4D49" w:rsidRDefault="0095474C" w:rsidP="0095474C">
      <w:pPr>
        <w:pStyle w:val="ListParagraph"/>
        <w:numPr>
          <w:ilvl w:val="0"/>
          <w:numId w:val="17"/>
        </w:numPr>
        <w:spacing w:after="160"/>
        <w:jc w:val="both"/>
        <w:rPr>
          <w:rFonts w:cs="Calibri"/>
          <w:sz w:val="20"/>
          <w:szCs w:val="20"/>
        </w:rPr>
      </w:pPr>
      <w:r w:rsidRPr="00ED4D49">
        <w:rPr>
          <w:rFonts w:cs="Calibri"/>
          <w:sz w:val="20"/>
          <w:szCs w:val="20"/>
        </w:rPr>
        <w:t xml:space="preserve">Project characteristics (size, relations with other facilities, use of natural resources, waste generation, risk of accidents…), </w:t>
      </w:r>
    </w:p>
    <w:p w14:paraId="5C268552" w14:textId="77777777" w:rsidR="0095474C" w:rsidRPr="00ED4D49" w:rsidRDefault="0095474C" w:rsidP="0095474C">
      <w:pPr>
        <w:pStyle w:val="ListParagraph"/>
        <w:numPr>
          <w:ilvl w:val="0"/>
          <w:numId w:val="17"/>
        </w:numPr>
        <w:spacing w:after="160"/>
        <w:jc w:val="both"/>
        <w:rPr>
          <w:rFonts w:cs="Calibri"/>
          <w:sz w:val="20"/>
          <w:szCs w:val="20"/>
        </w:rPr>
      </w:pPr>
      <w:r w:rsidRPr="00ED4D49">
        <w:rPr>
          <w:rFonts w:cs="Calibri"/>
          <w:sz w:val="20"/>
          <w:szCs w:val="20"/>
        </w:rPr>
        <w:t xml:space="preserve">Project location and sensitivity of adjacent geographic area which is likely to be affected by the project (current use of land, availability, quality and regeneration capacity of natural resources, absorption capacity of surrounding nature: wetland, coastal zone, protected area, etc.), </w:t>
      </w:r>
    </w:p>
    <w:p w14:paraId="4CD5742E" w14:textId="77777777" w:rsidR="0095474C" w:rsidRPr="00ED4D49" w:rsidRDefault="0095474C" w:rsidP="0095474C">
      <w:pPr>
        <w:pStyle w:val="ListParagraph"/>
        <w:numPr>
          <w:ilvl w:val="0"/>
          <w:numId w:val="17"/>
        </w:numPr>
        <w:spacing w:after="160"/>
        <w:jc w:val="both"/>
        <w:rPr>
          <w:rFonts w:cs="Calibri"/>
          <w:sz w:val="20"/>
          <w:szCs w:val="20"/>
        </w:rPr>
      </w:pPr>
      <w:r w:rsidRPr="00ED4D49">
        <w:rPr>
          <w:rFonts w:cs="Calibri"/>
          <w:sz w:val="20"/>
          <w:szCs w:val="20"/>
        </w:rPr>
        <w:t>Characteristics of potential impacts (scope of impact, trans-boundary nature of impact, magnitude and complexity, likelihood, duration, frequency and reversibility).</w:t>
      </w:r>
    </w:p>
    <w:p w14:paraId="33D6D6F0" w14:textId="77777777" w:rsidR="0095474C" w:rsidRPr="00ED4D49" w:rsidRDefault="0095474C" w:rsidP="0095474C">
      <w:pPr>
        <w:spacing w:after="0"/>
        <w:jc w:val="both"/>
        <w:rPr>
          <w:rFonts w:cs="Calibri"/>
          <w:szCs w:val="24"/>
          <w:lang w:val="en-US"/>
        </w:rPr>
      </w:pPr>
      <w:r w:rsidRPr="00ED4D49">
        <w:rPr>
          <w:rFonts w:cs="Calibri"/>
          <w:szCs w:val="24"/>
          <w:lang w:val="en-US"/>
        </w:rPr>
        <w:t>In case the project site is within a zone under any type of protection regime as regulated by the Law on Waters (water protection zone) or Law on Nature Protection, then the assessment is mandatory in order to check compliance of the proposed activities with protection regimes and potential impacts.</w:t>
      </w:r>
    </w:p>
    <w:p w14:paraId="540080F0" w14:textId="32B7E898" w:rsidR="0095474C" w:rsidRPr="00ED4D49" w:rsidRDefault="0095474C" w:rsidP="0095474C">
      <w:pPr>
        <w:spacing w:after="0"/>
        <w:jc w:val="both"/>
        <w:rPr>
          <w:rFonts w:cs="Calibri"/>
          <w:szCs w:val="24"/>
          <w:lang w:val="en-US"/>
        </w:rPr>
      </w:pPr>
      <w:r w:rsidRPr="00ED4D49">
        <w:rPr>
          <w:rFonts w:cs="Calibri"/>
          <w:szCs w:val="24"/>
          <w:lang w:val="en-US"/>
        </w:rPr>
        <w:t>If it is established, based on the Environmental Permit and the attached evidence, that there is no need for an EIA Study, FMET issues a Decision on Granting the Environmental Permit. Otherwise, it issues a Conclusion on the Need to Develop an EIA Study. The EIA Study development involves mandatory public consultations, and the study is evaluated by a technical committee.</w:t>
      </w:r>
      <w:r w:rsidR="00C6478C" w:rsidRPr="00ED4D49">
        <w:rPr>
          <w:rFonts w:cs="Calibri"/>
          <w:szCs w:val="24"/>
          <w:lang w:val="en-US"/>
        </w:rPr>
        <w:t xml:space="preserve"> </w:t>
      </w:r>
    </w:p>
    <w:p w14:paraId="325F6987" w14:textId="77777777" w:rsidR="0095474C" w:rsidRPr="00ED4D49" w:rsidRDefault="0095474C" w:rsidP="0095474C">
      <w:pPr>
        <w:spacing w:after="0"/>
        <w:jc w:val="both"/>
        <w:rPr>
          <w:rFonts w:cs="Calibri"/>
          <w:szCs w:val="24"/>
          <w:lang w:val="en-US"/>
        </w:rPr>
      </w:pPr>
      <w:r w:rsidRPr="00ED4D49">
        <w:rPr>
          <w:rFonts w:cs="Calibri"/>
          <w:szCs w:val="24"/>
          <w:u w:val="single"/>
          <w:lang w:val="en-US"/>
        </w:rPr>
        <w:t>For plants and facilities which do not need an EIA, and for which FMET issues an Environmental Permit</w:t>
      </w:r>
      <w:r w:rsidRPr="00ED4D49">
        <w:rPr>
          <w:rFonts w:cs="Calibri"/>
          <w:szCs w:val="24"/>
          <w:lang w:val="en-US"/>
        </w:rPr>
        <w:t>, the environmental permitting procedure begins by submitting to FMET an Application for Obtaining an Environmental Permit, and FMET is obliged to issue the Permit within 120 days.</w:t>
      </w:r>
    </w:p>
    <w:p w14:paraId="116040EE" w14:textId="77777777" w:rsidR="0095474C" w:rsidRPr="00ED4D49" w:rsidRDefault="0095474C" w:rsidP="0095474C">
      <w:pPr>
        <w:spacing w:after="0"/>
        <w:jc w:val="both"/>
        <w:rPr>
          <w:rFonts w:cs="Calibri"/>
          <w:szCs w:val="24"/>
          <w:lang w:val="en-US"/>
        </w:rPr>
      </w:pPr>
      <w:r w:rsidRPr="00ED4D49">
        <w:rPr>
          <w:rFonts w:cs="Calibri"/>
          <w:szCs w:val="24"/>
          <w:lang w:val="en-US"/>
        </w:rPr>
        <w:t>For projects, plants and facilities which can be constructed and commissioned only if they have an Environmental Permit, and which fall under Cantonal level responsibility based on their capacity and size, it is necessary to prepare an Application for Obtaining an Environmental Permit. The Application is submitted to the responsible Cantonal Ministry of Environment, which is obliged to disclose the Application on its website, and to forward copies of the Application to interested stakeholders for suggestions and comments in order to ensure public participation. The Environmental Permit is issued based on the Application.</w:t>
      </w:r>
    </w:p>
    <w:p w14:paraId="34A7989E" w14:textId="588F73BD" w:rsidR="0095474C" w:rsidRPr="00ED4D49" w:rsidRDefault="0095474C" w:rsidP="0095474C">
      <w:pPr>
        <w:spacing w:after="0"/>
        <w:jc w:val="both"/>
        <w:rPr>
          <w:rFonts w:cs="Calibri"/>
          <w:color w:val="1F497D"/>
          <w:lang w:val="en-US"/>
        </w:rPr>
      </w:pPr>
      <w:r w:rsidRPr="00ED4D49">
        <w:rPr>
          <w:rFonts w:cs="Calibri"/>
          <w:color w:val="1F497D"/>
          <w:lang w:val="en-US"/>
        </w:rPr>
        <w:t xml:space="preserve">Environmental Assessment Procedure in </w:t>
      </w:r>
      <w:r w:rsidR="00387D38" w:rsidRPr="00ED4D49">
        <w:rPr>
          <w:rFonts w:cs="Calibri"/>
          <w:color w:val="1F497D"/>
          <w:lang w:val="en-US"/>
        </w:rPr>
        <w:t>RS</w:t>
      </w:r>
      <w:r w:rsidRPr="00ED4D49">
        <w:rPr>
          <w:rFonts w:cs="Calibri"/>
          <w:color w:val="1F497D"/>
          <w:lang w:val="en-US"/>
        </w:rPr>
        <w:t xml:space="preserve"> </w:t>
      </w:r>
    </w:p>
    <w:p w14:paraId="1C96BB0B" w14:textId="77777777" w:rsidR="0095474C" w:rsidRPr="00ED4D49" w:rsidRDefault="0095474C" w:rsidP="0095474C">
      <w:pPr>
        <w:spacing w:before="0" w:after="0"/>
        <w:jc w:val="both"/>
        <w:rPr>
          <w:rFonts w:cs="Calibri"/>
          <w:szCs w:val="24"/>
          <w:lang w:val="en-US"/>
        </w:rPr>
      </w:pPr>
      <w:r w:rsidRPr="00ED4D49">
        <w:rPr>
          <w:rFonts w:cs="Calibri"/>
          <w:szCs w:val="24"/>
          <w:lang w:val="en-US"/>
        </w:rPr>
        <w:t xml:space="preserve">In RS, the procedure for issuing an Environmental Permit and the Environmental Impact Assessment (EIA) procedure is prescribed by: </w:t>
      </w:r>
    </w:p>
    <w:p w14:paraId="5D926013" w14:textId="716352F1" w:rsidR="0095474C" w:rsidRPr="00ED4D49" w:rsidRDefault="001932CA" w:rsidP="0095474C">
      <w:pPr>
        <w:pStyle w:val="ListParagraph"/>
        <w:numPr>
          <w:ilvl w:val="0"/>
          <w:numId w:val="18"/>
        </w:numPr>
        <w:spacing w:after="160"/>
        <w:jc w:val="both"/>
        <w:rPr>
          <w:rFonts w:cs="Calibri"/>
          <w:sz w:val="20"/>
          <w:szCs w:val="20"/>
        </w:rPr>
      </w:pPr>
      <w:r w:rsidRPr="00ED4D49">
        <w:rPr>
          <w:rFonts w:cs="Calibri"/>
          <w:sz w:val="20"/>
          <w:szCs w:val="20"/>
        </w:rPr>
        <w:t xml:space="preserve">the </w:t>
      </w:r>
      <w:r w:rsidR="0095474C" w:rsidRPr="00ED4D49">
        <w:rPr>
          <w:rFonts w:cs="Calibri"/>
          <w:sz w:val="20"/>
          <w:szCs w:val="20"/>
        </w:rPr>
        <w:t>Law on Environmental Protection</w:t>
      </w:r>
      <w:r w:rsidR="0095474C" w:rsidRPr="00ED4D49">
        <w:rPr>
          <w:rStyle w:val="FootnoteReference"/>
          <w:rFonts w:cs="Calibri"/>
          <w:sz w:val="20"/>
          <w:szCs w:val="20"/>
        </w:rPr>
        <w:footnoteReference w:id="41"/>
      </w:r>
      <w:r w:rsidR="0095474C" w:rsidRPr="00ED4D49">
        <w:rPr>
          <w:rFonts w:cs="Calibri"/>
          <w:sz w:val="20"/>
          <w:szCs w:val="20"/>
        </w:rPr>
        <w:t>,</w:t>
      </w:r>
    </w:p>
    <w:p w14:paraId="72C2E39F" w14:textId="7668CC43" w:rsidR="001932CA" w:rsidRPr="00ED4D49" w:rsidRDefault="001932CA" w:rsidP="0095474C">
      <w:pPr>
        <w:pStyle w:val="ListParagraph"/>
        <w:numPr>
          <w:ilvl w:val="0"/>
          <w:numId w:val="18"/>
        </w:numPr>
        <w:spacing w:after="160"/>
        <w:jc w:val="both"/>
        <w:rPr>
          <w:rFonts w:cs="Calibri"/>
          <w:sz w:val="20"/>
          <w:szCs w:val="20"/>
        </w:rPr>
      </w:pPr>
      <w:r w:rsidRPr="00ED4D49">
        <w:rPr>
          <w:rFonts w:cs="Calibri"/>
          <w:sz w:val="20"/>
          <w:szCs w:val="20"/>
        </w:rPr>
        <w:t>the Regulation</w:t>
      </w:r>
      <w:r w:rsidR="0095474C" w:rsidRPr="00ED4D49">
        <w:rPr>
          <w:rFonts w:cs="Calibri"/>
          <w:sz w:val="20"/>
          <w:szCs w:val="20"/>
        </w:rPr>
        <w:t xml:space="preserve"> on Projects Subject to EIA and Criteria for Determining if EIA is Needed and Its Scope</w:t>
      </w:r>
      <w:r w:rsidR="0095474C" w:rsidRPr="00ED4D49">
        <w:rPr>
          <w:rStyle w:val="FootnoteReference"/>
          <w:rFonts w:cs="Calibri"/>
          <w:sz w:val="20"/>
          <w:szCs w:val="20"/>
        </w:rPr>
        <w:footnoteReference w:id="42"/>
      </w:r>
      <w:r w:rsidR="0095474C" w:rsidRPr="00ED4D49">
        <w:rPr>
          <w:rFonts w:cs="Calibri"/>
          <w:sz w:val="20"/>
          <w:szCs w:val="20"/>
        </w:rPr>
        <w:t xml:space="preserve"> (hereinafter: the </w:t>
      </w:r>
      <w:r w:rsidR="00ED5B2D" w:rsidRPr="00ED4D49">
        <w:rPr>
          <w:rFonts w:cs="Calibri"/>
          <w:sz w:val="20"/>
          <w:szCs w:val="20"/>
        </w:rPr>
        <w:t xml:space="preserve">RS </w:t>
      </w:r>
      <w:r w:rsidRPr="00ED4D49">
        <w:rPr>
          <w:rFonts w:cs="Calibri"/>
          <w:sz w:val="20"/>
          <w:szCs w:val="20"/>
        </w:rPr>
        <w:t>Regulation on EIA</w:t>
      </w:r>
      <w:r w:rsidR="0095474C" w:rsidRPr="00ED4D49">
        <w:rPr>
          <w:rFonts w:cs="Calibri"/>
          <w:sz w:val="20"/>
          <w:szCs w:val="20"/>
        </w:rPr>
        <w:t>)</w:t>
      </w:r>
    </w:p>
    <w:p w14:paraId="537C92E4" w14:textId="6E92B1B6" w:rsidR="0095474C" w:rsidRPr="00ED4D49" w:rsidRDefault="001932CA" w:rsidP="0095474C">
      <w:pPr>
        <w:pStyle w:val="ListParagraph"/>
        <w:numPr>
          <w:ilvl w:val="0"/>
          <w:numId w:val="18"/>
        </w:numPr>
        <w:spacing w:after="160"/>
        <w:jc w:val="both"/>
        <w:rPr>
          <w:rFonts w:cs="Calibri"/>
          <w:sz w:val="20"/>
          <w:szCs w:val="20"/>
        </w:rPr>
      </w:pPr>
      <w:r w:rsidRPr="00ED4D49">
        <w:rPr>
          <w:rFonts w:cs="Calibri"/>
          <w:sz w:val="20"/>
          <w:szCs w:val="20"/>
        </w:rPr>
        <w:lastRenderedPageBreak/>
        <w:t>the Regulation on Plants and Facilities that May be Constructed and Operated Only with a Valid Environmental Permit</w:t>
      </w:r>
      <w:r w:rsidRPr="00ED4D49">
        <w:rPr>
          <w:rStyle w:val="FootnoteReference"/>
          <w:szCs w:val="20"/>
        </w:rPr>
        <w:footnoteReference w:id="43"/>
      </w:r>
      <w:r w:rsidRPr="00ED4D49">
        <w:rPr>
          <w:rFonts w:cs="Calibri"/>
          <w:sz w:val="20"/>
          <w:szCs w:val="20"/>
        </w:rPr>
        <w:t xml:space="preserve"> (the RS Regulation on permitting)</w:t>
      </w:r>
      <w:r w:rsidR="0095474C" w:rsidRPr="00ED4D49">
        <w:rPr>
          <w:rFonts w:cs="Calibri"/>
          <w:sz w:val="20"/>
          <w:szCs w:val="20"/>
        </w:rPr>
        <w:t>.</w:t>
      </w:r>
      <w:r w:rsidR="00C6478C" w:rsidRPr="00ED4D49">
        <w:rPr>
          <w:rFonts w:cs="Calibri"/>
          <w:sz w:val="20"/>
          <w:szCs w:val="20"/>
        </w:rPr>
        <w:t xml:space="preserve"> </w:t>
      </w:r>
    </w:p>
    <w:p w14:paraId="6D1C146F" w14:textId="759A3CE3" w:rsidR="0095474C" w:rsidRPr="00ED4D49" w:rsidRDefault="0095474C" w:rsidP="0095474C">
      <w:pPr>
        <w:spacing w:after="0"/>
        <w:jc w:val="both"/>
        <w:rPr>
          <w:rFonts w:cs="Calibri"/>
          <w:szCs w:val="24"/>
          <w:lang w:val="en-US"/>
        </w:rPr>
      </w:pPr>
      <w:r w:rsidRPr="00ED4D49">
        <w:rPr>
          <w:rFonts w:cs="Calibri"/>
          <w:szCs w:val="20"/>
          <w:lang w:val="en-US"/>
        </w:rPr>
        <w:t xml:space="preserve">The </w:t>
      </w:r>
      <w:r w:rsidR="001932CA" w:rsidRPr="00ED4D49">
        <w:rPr>
          <w:rFonts w:cs="Calibri"/>
          <w:szCs w:val="20"/>
          <w:lang w:val="en-US"/>
        </w:rPr>
        <w:t>RS Regulations on EIA</w:t>
      </w:r>
      <w:r w:rsidRPr="00ED4D49">
        <w:rPr>
          <w:rFonts w:cs="Calibri"/>
          <w:szCs w:val="20"/>
          <w:lang w:val="en-US"/>
        </w:rPr>
        <w:t xml:space="preserve"> defines projects for which an EIA is mandatory, projects for which the RS Ministry of Physical Planning, Civil Engineering and Ecology </w:t>
      </w:r>
      <w:r w:rsidRPr="00ED4D49">
        <w:rPr>
          <w:rFonts w:cs="Calibri"/>
          <w:lang w:val="en-US"/>
        </w:rPr>
        <w:t xml:space="preserve">(RS MPPCEE) </w:t>
      </w:r>
      <w:r w:rsidRPr="00ED4D49">
        <w:rPr>
          <w:rFonts w:cs="Calibri"/>
          <w:szCs w:val="20"/>
          <w:lang w:val="en-US"/>
        </w:rPr>
        <w:t xml:space="preserve">determines whether an EIA is needed, and the criteria based on which RS MPPCEE determines in individual cases whether EIA is needed and the scope of EIA. </w:t>
      </w:r>
      <w:r w:rsidR="001932CA" w:rsidRPr="00ED4D49">
        <w:rPr>
          <w:rFonts w:cs="Calibri"/>
          <w:szCs w:val="20"/>
          <w:lang w:val="en-US"/>
        </w:rPr>
        <w:t>The RS Regulation on permitting defines projects for which EIA is not needed but environmental permit is mandatory.</w:t>
      </w:r>
    </w:p>
    <w:p w14:paraId="6948DDD5" w14:textId="77777777" w:rsidR="0095474C" w:rsidRPr="00ED4D49" w:rsidRDefault="0095474C" w:rsidP="0095474C">
      <w:pPr>
        <w:spacing w:after="0"/>
        <w:jc w:val="both"/>
        <w:rPr>
          <w:rFonts w:cs="Calibri"/>
          <w:szCs w:val="24"/>
          <w:lang w:val="en-US"/>
        </w:rPr>
      </w:pPr>
      <w:r w:rsidRPr="00ED4D49">
        <w:rPr>
          <w:rFonts w:cs="Calibri"/>
          <w:szCs w:val="20"/>
          <w:lang w:val="en-US"/>
        </w:rPr>
        <w:t xml:space="preserve">The EIA procedure is conducted in two phases: </w:t>
      </w:r>
    </w:p>
    <w:p w14:paraId="2B7329CB" w14:textId="77777777" w:rsidR="0095474C" w:rsidRPr="00ED4D49" w:rsidRDefault="0095474C" w:rsidP="0095474C">
      <w:pPr>
        <w:numPr>
          <w:ilvl w:val="0"/>
          <w:numId w:val="5"/>
        </w:numPr>
        <w:spacing w:after="0"/>
        <w:jc w:val="both"/>
        <w:rPr>
          <w:rFonts w:cs="Calibri"/>
          <w:szCs w:val="24"/>
          <w:lang w:val="en-US"/>
        </w:rPr>
      </w:pPr>
      <w:r w:rsidRPr="00ED4D49">
        <w:rPr>
          <w:rFonts w:cs="Calibri"/>
          <w:szCs w:val="24"/>
          <w:lang w:val="en-US"/>
        </w:rPr>
        <w:t xml:space="preserve">Preliminary EIA procedure, determining: </w:t>
      </w:r>
    </w:p>
    <w:p w14:paraId="7C171C6C" w14:textId="77777777" w:rsidR="0095474C" w:rsidRPr="00ED4D49" w:rsidRDefault="0095474C" w:rsidP="0095474C">
      <w:pPr>
        <w:numPr>
          <w:ilvl w:val="0"/>
          <w:numId w:val="6"/>
        </w:numPr>
        <w:spacing w:before="0" w:after="0"/>
        <w:jc w:val="both"/>
        <w:rPr>
          <w:rFonts w:cs="Calibri"/>
          <w:szCs w:val="24"/>
          <w:lang w:val="en-US"/>
        </w:rPr>
      </w:pPr>
      <w:r w:rsidRPr="00ED4D49">
        <w:rPr>
          <w:rFonts w:cs="Calibri"/>
          <w:szCs w:val="24"/>
          <w:lang w:val="en-US"/>
        </w:rPr>
        <w:t xml:space="preserve">whether an assessment is needed, </w:t>
      </w:r>
    </w:p>
    <w:p w14:paraId="1DAA469C" w14:textId="77777777" w:rsidR="0095474C" w:rsidRPr="00ED4D49" w:rsidRDefault="0095474C" w:rsidP="0095474C">
      <w:pPr>
        <w:numPr>
          <w:ilvl w:val="0"/>
          <w:numId w:val="6"/>
        </w:numPr>
        <w:spacing w:before="0"/>
        <w:jc w:val="both"/>
        <w:rPr>
          <w:rFonts w:cs="Calibri"/>
          <w:szCs w:val="24"/>
          <w:lang w:val="en-US"/>
        </w:rPr>
      </w:pPr>
      <w:r w:rsidRPr="00ED4D49">
        <w:rPr>
          <w:rFonts w:cs="Calibri"/>
          <w:szCs w:val="24"/>
          <w:lang w:val="en-US"/>
        </w:rPr>
        <w:t>the scope of the assessment, in case it is needed.</w:t>
      </w:r>
    </w:p>
    <w:p w14:paraId="28638D63" w14:textId="77777777" w:rsidR="0095474C" w:rsidRPr="00ED4D49" w:rsidRDefault="0095474C" w:rsidP="0095474C">
      <w:pPr>
        <w:numPr>
          <w:ilvl w:val="0"/>
          <w:numId w:val="5"/>
        </w:numPr>
        <w:spacing w:after="0"/>
        <w:jc w:val="both"/>
        <w:rPr>
          <w:rFonts w:cs="Calibri"/>
          <w:szCs w:val="24"/>
          <w:lang w:val="en-US"/>
        </w:rPr>
      </w:pPr>
      <w:r w:rsidRPr="00ED4D49">
        <w:rPr>
          <w:rFonts w:cs="Calibri"/>
          <w:szCs w:val="24"/>
          <w:lang w:val="en-US"/>
        </w:rPr>
        <w:t xml:space="preserve">EIA procedure </w:t>
      </w:r>
    </w:p>
    <w:p w14:paraId="0E33EA15" w14:textId="77777777" w:rsidR="0095474C" w:rsidRPr="00ED4D49" w:rsidRDefault="0095474C" w:rsidP="0095474C">
      <w:pPr>
        <w:spacing w:after="0"/>
        <w:jc w:val="both"/>
        <w:rPr>
          <w:rFonts w:cs="Calibri"/>
          <w:szCs w:val="24"/>
          <w:lang w:val="en-US"/>
        </w:rPr>
      </w:pPr>
      <w:r w:rsidRPr="00ED4D49">
        <w:rPr>
          <w:rFonts w:cs="Calibri"/>
          <w:szCs w:val="24"/>
          <w:u w:val="single"/>
          <w:lang w:val="en-US"/>
        </w:rPr>
        <w:t xml:space="preserve">The preliminary EIA procedure </w:t>
      </w:r>
      <w:r w:rsidRPr="00ED4D49">
        <w:rPr>
          <w:rFonts w:cs="Calibri"/>
          <w:szCs w:val="24"/>
          <w:lang w:val="en-US"/>
        </w:rPr>
        <w:t xml:space="preserve">is launched by the Application submitted by the applicant to </w:t>
      </w:r>
      <w:r w:rsidRPr="00ED4D49">
        <w:rPr>
          <w:rFonts w:cs="Calibri"/>
          <w:lang w:val="en-US"/>
        </w:rPr>
        <w:t>RS MPPCEE</w:t>
      </w:r>
      <w:r w:rsidRPr="00ED4D49">
        <w:rPr>
          <w:rFonts w:cs="Calibri"/>
          <w:szCs w:val="24"/>
          <w:lang w:val="en-US"/>
        </w:rPr>
        <w:t>, which is obliged to forward a copy of the Application to and enable review of the accompanying documentation by the following entities: administrative authority responsible for construction in the local self-governance units in which the project would be implemented</w:t>
      </w:r>
      <w:r w:rsidRPr="00ED4D49">
        <w:rPr>
          <w:rStyle w:val="FootnoteReference"/>
          <w:rFonts w:cs="Calibri"/>
          <w:szCs w:val="24"/>
          <w:lang w:val="en-US"/>
        </w:rPr>
        <w:footnoteReference w:id="44"/>
      </w:r>
      <w:r w:rsidRPr="00ED4D49">
        <w:rPr>
          <w:rFonts w:cs="Calibri"/>
          <w:szCs w:val="24"/>
          <w:lang w:val="en-US"/>
        </w:rPr>
        <w:t>; administrative authorities and organizations responsible for environmental protection, authorities and organizations which may be affected significantly by the project</w:t>
      </w:r>
      <w:r w:rsidRPr="00ED4D49">
        <w:rPr>
          <w:rStyle w:val="FootnoteReference"/>
          <w:rFonts w:cs="Calibri"/>
          <w:szCs w:val="24"/>
          <w:lang w:val="en-US"/>
        </w:rPr>
        <w:footnoteReference w:id="45"/>
      </w:r>
      <w:r w:rsidRPr="00ED4D49">
        <w:rPr>
          <w:rFonts w:cs="Calibri"/>
          <w:szCs w:val="24"/>
          <w:lang w:val="en-US"/>
        </w:rPr>
        <w:t xml:space="preserve">, FBiH and BD or another country’s authority responsible of environment, in case of a project with significant environmental impacts in FBiH, DB or another country. Such authorities are entitled to provide their opinions within 30 days after receiving a copy of the Application in written form. </w:t>
      </w:r>
    </w:p>
    <w:p w14:paraId="78A7D64E" w14:textId="77777777" w:rsidR="0095474C" w:rsidRPr="00ED4D49" w:rsidRDefault="0095474C" w:rsidP="0095474C">
      <w:pPr>
        <w:spacing w:after="0"/>
        <w:jc w:val="both"/>
        <w:rPr>
          <w:rFonts w:cs="Calibri"/>
          <w:szCs w:val="24"/>
          <w:lang w:val="en-US"/>
        </w:rPr>
      </w:pPr>
      <w:r w:rsidRPr="00ED4D49">
        <w:rPr>
          <w:rFonts w:cs="Calibri"/>
          <w:szCs w:val="24"/>
          <w:lang w:val="en-US"/>
        </w:rPr>
        <w:t xml:space="preserve">RS MPPCEE shall decide on the Application by issuing a Decision which: </w:t>
      </w:r>
    </w:p>
    <w:p w14:paraId="59D574C2" w14:textId="77777777" w:rsidR="0095474C" w:rsidRPr="00ED4D49" w:rsidRDefault="0095474C" w:rsidP="0095474C">
      <w:pPr>
        <w:numPr>
          <w:ilvl w:val="0"/>
          <w:numId w:val="7"/>
        </w:numPr>
        <w:spacing w:before="0" w:after="0"/>
        <w:ind w:left="1170" w:hanging="450"/>
        <w:jc w:val="both"/>
        <w:rPr>
          <w:rFonts w:cs="Calibri"/>
          <w:szCs w:val="24"/>
          <w:lang w:val="en-US"/>
        </w:rPr>
      </w:pPr>
      <w:r w:rsidRPr="00ED4D49">
        <w:rPr>
          <w:rFonts w:cs="Calibri"/>
          <w:szCs w:val="24"/>
          <w:lang w:val="en-US"/>
        </w:rPr>
        <w:t xml:space="preserve">Establishes the applicant’s obligation to conduct an EIA and develop an EIA Study and </w:t>
      </w:r>
    </w:p>
    <w:p w14:paraId="6CED0B38" w14:textId="1CDC4670" w:rsidR="0095474C" w:rsidRPr="00ED4D49" w:rsidRDefault="0095474C" w:rsidP="0095474C">
      <w:pPr>
        <w:numPr>
          <w:ilvl w:val="0"/>
          <w:numId w:val="7"/>
        </w:numPr>
        <w:spacing w:before="0" w:after="0"/>
        <w:ind w:left="1134" w:hanging="414"/>
        <w:jc w:val="both"/>
        <w:rPr>
          <w:rFonts w:cs="Calibri"/>
          <w:szCs w:val="24"/>
          <w:lang w:val="en-US"/>
        </w:rPr>
      </w:pPr>
      <w:r w:rsidRPr="00ED4D49">
        <w:rPr>
          <w:rFonts w:cs="Calibri"/>
          <w:szCs w:val="24"/>
          <w:lang w:val="en-US"/>
        </w:rPr>
        <w:t>Defines the tentative scope and content of the study or</w:t>
      </w:r>
      <w:r w:rsidR="00C6478C" w:rsidRPr="00ED4D49">
        <w:rPr>
          <w:rFonts w:cs="Calibri"/>
          <w:szCs w:val="24"/>
          <w:lang w:val="en-US"/>
        </w:rPr>
        <w:t xml:space="preserve"> </w:t>
      </w:r>
    </w:p>
    <w:p w14:paraId="5CD44DE4" w14:textId="77777777" w:rsidR="0095474C" w:rsidRPr="00ED4D49" w:rsidRDefault="0095474C" w:rsidP="0095474C">
      <w:pPr>
        <w:numPr>
          <w:ilvl w:val="0"/>
          <w:numId w:val="7"/>
        </w:numPr>
        <w:spacing w:before="0" w:after="0"/>
        <w:ind w:left="1134" w:hanging="414"/>
        <w:jc w:val="both"/>
        <w:rPr>
          <w:rFonts w:cs="Calibri"/>
          <w:szCs w:val="24"/>
          <w:lang w:val="en-US"/>
        </w:rPr>
      </w:pPr>
      <w:r w:rsidRPr="00ED4D49">
        <w:rPr>
          <w:rFonts w:cs="Calibri"/>
          <w:szCs w:val="24"/>
          <w:lang w:val="en-US"/>
        </w:rPr>
        <w:t xml:space="preserve">Establishes that an EIA and study are not necessary. </w:t>
      </w:r>
    </w:p>
    <w:p w14:paraId="57BD090E" w14:textId="1FD13F34" w:rsidR="0095474C" w:rsidRPr="00ED4D49" w:rsidRDefault="0095474C" w:rsidP="0095474C">
      <w:pPr>
        <w:spacing w:after="0"/>
        <w:jc w:val="both"/>
        <w:rPr>
          <w:rFonts w:cs="Calibri"/>
          <w:szCs w:val="24"/>
          <w:lang w:val="en-US"/>
        </w:rPr>
      </w:pPr>
      <w:r w:rsidRPr="00ED4D49">
        <w:rPr>
          <w:rFonts w:cs="Calibri"/>
          <w:lang w:val="en-US"/>
        </w:rPr>
        <w:t>RS MPPCEE</w:t>
      </w:r>
      <w:r w:rsidRPr="00ED4D49">
        <w:rPr>
          <w:rFonts w:cs="Calibri"/>
          <w:szCs w:val="24"/>
          <w:lang w:val="en-US"/>
        </w:rPr>
        <w:t xml:space="preserve"> decides on the need to conduct an impact assessment for projects bases on the following criteria specified in the </w:t>
      </w:r>
      <w:r w:rsidR="00ED5B2D" w:rsidRPr="00ED4D49">
        <w:rPr>
          <w:rFonts w:cs="Calibri"/>
          <w:szCs w:val="24"/>
          <w:lang w:val="en-US"/>
        </w:rPr>
        <w:t xml:space="preserve">RS </w:t>
      </w:r>
      <w:r w:rsidR="001932CA" w:rsidRPr="00ED4D49">
        <w:rPr>
          <w:rFonts w:cs="Calibri"/>
          <w:szCs w:val="24"/>
          <w:lang w:val="en-US"/>
        </w:rPr>
        <w:t>Regulation</w:t>
      </w:r>
      <w:r w:rsidRPr="00ED4D49">
        <w:rPr>
          <w:rFonts w:cs="Calibri"/>
          <w:szCs w:val="24"/>
          <w:lang w:val="en-US"/>
        </w:rPr>
        <w:t>:</w:t>
      </w:r>
    </w:p>
    <w:p w14:paraId="0A114724" w14:textId="77777777" w:rsidR="0095474C" w:rsidRPr="00ED4D49" w:rsidRDefault="0095474C" w:rsidP="0095474C">
      <w:pPr>
        <w:pStyle w:val="ListParagraph"/>
        <w:numPr>
          <w:ilvl w:val="0"/>
          <w:numId w:val="19"/>
        </w:numPr>
        <w:spacing w:after="160"/>
        <w:jc w:val="both"/>
        <w:rPr>
          <w:rFonts w:cs="Calibri"/>
          <w:sz w:val="20"/>
          <w:szCs w:val="20"/>
        </w:rPr>
      </w:pPr>
      <w:r w:rsidRPr="00ED4D49">
        <w:rPr>
          <w:rFonts w:cs="Calibri"/>
          <w:sz w:val="20"/>
          <w:szCs w:val="20"/>
        </w:rPr>
        <w:t>Project characteristics (project size, cumulative impact with other projects, use of natural resources, waste generation, adverse environmental effects);</w:t>
      </w:r>
    </w:p>
    <w:p w14:paraId="53E2D684" w14:textId="77777777" w:rsidR="0095474C" w:rsidRPr="00ED4D49" w:rsidRDefault="0095474C" w:rsidP="0095474C">
      <w:pPr>
        <w:pStyle w:val="ListParagraph"/>
        <w:numPr>
          <w:ilvl w:val="0"/>
          <w:numId w:val="19"/>
        </w:numPr>
        <w:spacing w:after="160"/>
        <w:jc w:val="both"/>
        <w:rPr>
          <w:rFonts w:cs="Calibri"/>
          <w:sz w:val="20"/>
          <w:szCs w:val="20"/>
        </w:rPr>
      </w:pPr>
      <w:r w:rsidRPr="00ED4D49">
        <w:rPr>
          <w:rFonts w:cs="Calibri"/>
          <w:sz w:val="20"/>
          <w:szCs w:val="20"/>
        </w:rPr>
        <w:t>Risk of accidents given the materials used and technology applied;</w:t>
      </w:r>
    </w:p>
    <w:p w14:paraId="404C66C3" w14:textId="77777777" w:rsidR="0095474C" w:rsidRPr="00ED4D49" w:rsidRDefault="0095474C" w:rsidP="0095474C">
      <w:pPr>
        <w:pStyle w:val="ListParagraph"/>
        <w:numPr>
          <w:ilvl w:val="0"/>
          <w:numId w:val="19"/>
        </w:numPr>
        <w:spacing w:after="160"/>
        <w:jc w:val="both"/>
        <w:rPr>
          <w:rFonts w:cs="Calibri"/>
          <w:sz w:val="20"/>
          <w:szCs w:val="20"/>
        </w:rPr>
      </w:pPr>
      <w:r w:rsidRPr="00ED4D49">
        <w:rPr>
          <w:rFonts w:cs="Calibri"/>
          <w:sz w:val="20"/>
          <w:szCs w:val="20"/>
        </w:rPr>
        <w:t>Project location and sensitivity of the local environment which may be affected by the projects, particularly in terms of:</w:t>
      </w:r>
    </w:p>
    <w:p w14:paraId="4E0F1464" w14:textId="77777777" w:rsidR="0095474C" w:rsidRPr="00ED4D49" w:rsidRDefault="0095474C" w:rsidP="0095474C">
      <w:pPr>
        <w:pStyle w:val="ListParagraph"/>
        <w:numPr>
          <w:ilvl w:val="1"/>
          <w:numId w:val="4"/>
        </w:numPr>
        <w:spacing w:after="160"/>
        <w:ind w:left="993" w:hanging="284"/>
        <w:jc w:val="both"/>
        <w:rPr>
          <w:rFonts w:cs="Calibri"/>
          <w:sz w:val="20"/>
          <w:szCs w:val="20"/>
        </w:rPr>
      </w:pPr>
      <w:r w:rsidRPr="00ED4D49">
        <w:rPr>
          <w:rFonts w:cs="Calibri"/>
          <w:sz w:val="20"/>
          <w:szCs w:val="20"/>
        </w:rPr>
        <w:t>Existing use of land</w:t>
      </w:r>
    </w:p>
    <w:p w14:paraId="338E1A18" w14:textId="77777777" w:rsidR="0095474C" w:rsidRPr="00ED4D49" w:rsidRDefault="0095474C" w:rsidP="0095474C">
      <w:pPr>
        <w:pStyle w:val="ListParagraph"/>
        <w:numPr>
          <w:ilvl w:val="1"/>
          <w:numId w:val="4"/>
        </w:numPr>
        <w:spacing w:after="160"/>
        <w:ind w:left="993" w:hanging="284"/>
        <w:jc w:val="both"/>
        <w:rPr>
          <w:rFonts w:cs="Calibri"/>
          <w:sz w:val="20"/>
          <w:szCs w:val="20"/>
        </w:rPr>
      </w:pPr>
      <w:r w:rsidRPr="00ED4D49">
        <w:rPr>
          <w:rFonts w:cs="Calibri"/>
          <w:sz w:val="20"/>
          <w:szCs w:val="20"/>
        </w:rPr>
        <w:t xml:space="preserve">Relative availability, quality and regeneration capacity of natural resources in the area, and </w:t>
      </w:r>
    </w:p>
    <w:p w14:paraId="6D8BD56B" w14:textId="77777777" w:rsidR="0095474C" w:rsidRPr="00ED4D49" w:rsidRDefault="0095474C" w:rsidP="0095474C">
      <w:pPr>
        <w:pStyle w:val="ListParagraph"/>
        <w:numPr>
          <w:ilvl w:val="1"/>
          <w:numId w:val="4"/>
        </w:numPr>
        <w:spacing w:after="160"/>
        <w:ind w:left="993" w:hanging="284"/>
        <w:jc w:val="both"/>
        <w:rPr>
          <w:rFonts w:cs="Calibri"/>
          <w:sz w:val="20"/>
          <w:szCs w:val="20"/>
        </w:rPr>
      </w:pPr>
      <w:r w:rsidRPr="00ED4D49">
        <w:rPr>
          <w:rFonts w:cs="Calibri"/>
          <w:sz w:val="20"/>
          <w:szCs w:val="20"/>
        </w:rPr>
        <w:t xml:space="preserve">Absorption capacity of the nature, with particular attention to wetlands, costal and water protection zones, karst areas, mountain and forest areas, areas of rare and endangered flora and fauna, protected nature areas and national parks, monuments of nature and protected landscape, areas where environment quality standards have been exceeded by existing facilities and activities, areas with high density of population, landscape of historical, cultural and archeological importance; </w:t>
      </w:r>
    </w:p>
    <w:p w14:paraId="28876DBF" w14:textId="77777777" w:rsidR="0095474C" w:rsidRPr="00ED4D49" w:rsidRDefault="0095474C" w:rsidP="0095474C">
      <w:pPr>
        <w:pStyle w:val="ListParagraph"/>
        <w:numPr>
          <w:ilvl w:val="0"/>
          <w:numId w:val="4"/>
        </w:numPr>
        <w:spacing w:after="160"/>
        <w:jc w:val="both"/>
        <w:rPr>
          <w:rFonts w:cs="Calibri"/>
          <w:sz w:val="20"/>
          <w:szCs w:val="20"/>
        </w:rPr>
      </w:pPr>
      <w:r w:rsidRPr="00ED4D49">
        <w:rPr>
          <w:rFonts w:cs="Calibri"/>
          <w:sz w:val="20"/>
          <w:szCs w:val="20"/>
        </w:rPr>
        <w:lastRenderedPageBreak/>
        <w:t xml:space="preserve">Characteristics of the potential impact (scope of impact (particularly in terms of geographic area and population density), likelihood, duration, frequency, complexity, intensity and reversibility of the impact). </w:t>
      </w:r>
    </w:p>
    <w:p w14:paraId="6E8A063C" w14:textId="1041931F" w:rsidR="0095474C" w:rsidRPr="00ED4D49" w:rsidRDefault="0095474C" w:rsidP="0095474C">
      <w:pPr>
        <w:spacing w:after="0"/>
        <w:jc w:val="both"/>
        <w:rPr>
          <w:rFonts w:cs="Calibri"/>
          <w:szCs w:val="24"/>
          <w:lang w:val="en-US"/>
        </w:rPr>
      </w:pPr>
      <w:r w:rsidRPr="00ED4D49">
        <w:rPr>
          <w:rFonts w:cs="Calibri"/>
          <w:szCs w:val="24"/>
          <w:lang w:val="en-US"/>
        </w:rPr>
        <w:t>When determining the scope of the impact assessment,</w:t>
      </w:r>
      <w:r w:rsidR="00482AD6" w:rsidRPr="00ED4D49">
        <w:rPr>
          <w:rFonts w:cs="Calibri"/>
          <w:szCs w:val="24"/>
          <w:lang w:val="en-US"/>
        </w:rPr>
        <w:t xml:space="preserve"> the</w:t>
      </w:r>
      <w:r w:rsidRPr="00ED4D49">
        <w:rPr>
          <w:rFonts w:cs="Calibri"/>
          <w:szCs w:val="24"/>
          <w:lang w:val="en-US"/>
        </w:rPr>
        <w:t xml:space="preserve"> RS MPPCEE takes into account, for each individual case, the following factors: site description, presentation of the environment, project description, description of potential impacts, specification and description of mitigation measures, reduction and/or elimination of environmental impact, specification and description of impact monitoring measures and activities, description of the considered alternatives and reason of choosing particular alternative, description of potential environmental impact in FBiH, BD or another country, as well as their inter-relations. </w:t>
      </w:r>
    </w:p>
    <w:p w14:paraId="401E216F" w14:textId="587037D1" w:rsidR="0095474C" w:rsidRPr="00ED4D49" w:rsidRDefault="0095474C" w:rsidP="0095474C">
      <w:pPr>
        <w:spacing w:after="0"/>
        <w:jc w:val="both"/>
        <w:rPr>
          <w:rFonts w:cs="Calibri"/>
          <w:szCs w:val="24"/>
          <w:lang w:val="en-US"/>
        </w:rPr>
      </w:pPr>
      <w:r w:rsidRPr="00ED4D49">
        <w:rPr>
          <w:rFonts w:cs="Calibri"/>
          <w:lang w:val="en-US"/>
        </w:rPr>
        <w:t>Within 15 days upon sending to the applicant the Decision which determines an obligation to conducts the assessment and the scope of the assessment, RS MPPCEE shall forward the Decision to other responsible authorities and post it on its website or RS Government website for a period of 30 days.</w:t>
      </w:r>
      <w:r w:rsidR="00C6478C" w:rsidRPr="00ED4D49">
        <w:rPr>
          <w:rFonts w:cs="Calibri"/>
          <w:lang w:val="en-US"/>
        </w:rPr>
        <w:t xml:space="preserve"> </w:t>
      </w:r>
    </w:p>
    <w:p w14:paraId="67F78E3C" w14:textId="5AC3D992" w:rsidR="00F57E67" w:rsidRPr="00ED4D49" w:rsidRDefault="0095474C" w:rsidP="0095474C">
      <w:pPr>
        <w:spacing w:after="0"/>
        <w:jc w:val="both"/>
        <w:rPr>
          <w:rFonts w:cs="Calibri"/>
          <w:szCs w:val="24"/>
          <w:lang w:val="en-US"/>
        </w:rPr>
      </w:pPr>
      <w:r w:rsidRPr="00ED4D49">
        <w:rPr>
          <w:rFonts w:cs="Calibri"/>
          <w:szCs w:val="24"/>
          <w:u w:val="single"/>
          <w:lang w:val="en-US"/>
        </w:rPr>
        <w:t>EIA Procedure.</w:t>
      </w:r>
      <w:r w:rsidR="00C6478C" w:rsidRPr="00ED4D49">
        <w:rPr>
          <w:rFonts w:cs="Calibri"/>
          <w:szCs w:val="24"/>
          <w:u w:val="single"/>
          <w:lang w:val="en-US"/>
        </w:rPr>
        <w:t xml:space="preserve"> </w:t>
      </w:r>
      <w:r w:rsidRPr="00ED4D49">
        <w:rPr>
          <w:rFonts w:cs="Calibri"/>
          <w:szCs w:val="24"/>
          <w:lang w:val="en-US"/>
        </w:rPr>
        <w:t>After receiving the Decision on the obligation to conduct the EIA, the applicant shall be obliged to submit to the authorized legal entity a request for developing the EIA Study. Within 15 days upon receiving the Application for Approval of the EIA Study</w:t>
      </w:r>
      <w:r w:rsidR="00482AD6" w:rsidRPr="00ED4D49">
        <w:rPr>
          <w:rFonts w:cs="Calibri"/>
          <w:szCs w:val="24"/>
          <w:lang w:val="en-US"/>
        </w:rPr>
        <w:t xml:space="preserve"> (including the EIA Study)</w:t>
      </w:r>
      <w:r w:rsidRPr="00ED4D49">
        <w:rPr>
          <w:rFonts w:cs="Calibri"/>
          <w:szCs w:val="24"/>
          <w:lang w:val="en-US"/>
        </w:rPr>
        <w:t>, RS MPPCEE shall be obliged to forward a copy of the Application to other responsible authorities, which shall provide their written opinions on both the Application and particularly on the study, within 30 days. The EIA procedure also includes an obligation to carry out public consultations, as well as an audit of the study which should verify the technical quality of the Study. RS MPPCEE shall issue the Decision on Approval of the EIA Study within 60 days upon receipt of the final version of the study.</w:t>
      </w:r>
      <w:r w:rsidR="00F57E67" w:rsidRPr="00ED4D49">
        <w:rPr>
          <w:rFonts w:cs="Calibri"/>
          <w:szCs w:val="24"/>
          <w:lang w:val="en-US"/>
        </w:rPr>
        <w:t xml:space="preserve"> </w:t>
      </w:r>
    </w:p>
    <w:p w14:paraId="7272A4C4" w14:textId="417EB888" w:rsidR="001932CA" w:rsidRPr="00ED4D49" w:rsidRDefault="001932CA" w:rsidP="008025DE">
      <w:pPr>
        <w:spacing w:after="0"/>
        <w:jc w:val="both"/>
        <w:rPr>
          <w:rFonts w:cs="Calibri"/>
          <w:szCs w:val="24"/>
          <w:u w:val="single"/>
          <w:lang w:val="en-US"/>
        </w:rPr>
      </w:pPr>
      <w:r w:rsidRPr="00ED4D49">
        <w:rPr>
          <w:rFonts w:cs="Calibri"/>
          <w:szCs w:val="24"/>
          <w:u w:val="single"/>
          <w:lang w:val="en-US"/>
        </w:rPr>
        <w:t>Environmental permitting procedure.</w:t>
      </w:r>
      <w:r w:rsidR="00DA2BEB" w:rsidRPr="00ED4D49">
        <w:rPr>
          <w:rFonts w:cs="Calibri"/>
          <w:szCs w:val="24"/>
          <w:lang w:val="en-US"/>
        </w:rPr>
        <w:t xml:space="preserve"> For the facilities </w:t>
      </w:r>
      <w:r w:rsidR="008025DE" w:rsidRPr="00ED4D49">
        <w:rPr>
          <w:rFonts w:cs="Calibri"/>
          <w:szCs w:val="24"/>
          <w:lang w:val="en-US"/>
        </w:rPr>
        <w:t xml:space="preserve">that do not require </w:t>
      </w:r>
      <w:r w:rsidR="00F3213F" w:rsidRPr="00ED4D49">
        <w:rPr>
          <w:rFonts w:cs="Calibri"/>
          <w:szCs w:val="24"/>
          <w:lang w:val="en-US"/>
        </w:rPr>
        <w:t xml:space="preserve">an </w:t>
      </w:r>
      <w:r w:rsidR="008025DE" w:rsidRPr="00ED4D49">
        <w:rPr>
          <w:rFonts w:cs="Calibri"/>
          <w:szCs w:val="24"/>
          <w:lang w:val="en-US"/>
        </w:rPr>
        <w:t xml:space="preserve">EIA, RS </w:t>
      </w:r>
      <w:r w:rsidR="00DA2BEB" w:rsidRPr="00ED4D49">
        <w:rPr>
          <w:rFonts w:cs="Calibri"/>
          <w:szCs w:val="24"/>
          <w:lang w:val="en-US"/>
        </w:rPr>
        <w:t>M</w:t>
      </w:r>
      <w:r w:rsidR="008025DE" w:rsidRPr="00ED4D49">
        <w:rPr>
          <w:rFonts w:cs="Calibri"/>
          <w:szCs w:val="24"/>
          <w:lang w:val="en-US"/>
        </w:rPr>
        <w:t>P</w:t>
      </w:r>
      <w:r w:rsidR="00DA2BEB" w:rsidRPr="00ED4D49">
        <w:rPr>
          <w:rFonts w:cs="Calibri"/>
          <w:szCs w:val="24"/>
          <w:lang w:val="en-US"/>
        </w:rPr>
        <w:t>PCE</w:t>
      </w:r>
      <w:r w:rsidR="008025DE" w:rsidRPr="00ED4D49">
        <w:rPr>
          <w:rFonts w:cs="Calibri"/>
          <w:szCs w:val="24"/>
          <w:lang w:val="en-US"/>
        </w:rPr>
        <w:t>E</w:t>
      </w:r>
      <w:r w:rsidR="00DA2BEB" w:rsidRPr="00ED4D49">
        <w:rPr>
          <w:rFonts w:cs="Calibri"/>
          <w:szCs w:val="24"/>
          <w:lang w:val="en-US"/>
        </w:rPr>
        <w:t xml:space="preserve"> issues Environmental Permit on the basis of the Application for Environmental Permit and Proofs submitted with</w:t>
      </w:r>
      <w:r w:rsidR="008025DE" w:rsidRPr="00ED4D49">
        <w:rPr>
          <w:rFonts w:cs="Calibri"/>
          <w:szCs w:val="24"/>
          <w:lang w:val="en-US"/>
        </w:rPr>
        <w:t xml:space="preserve"> the</w:t>
      </w:r>
      <w:r w:rsidR="00DA2BEB" w:rsidRPr="00ED4D49">
        <w:rPr>
          <w:rFonts w:cs="Calibri"/>
          <w:szCs w:val="24"/>
          <w:lang w:val="en-US"/>
        </w:rPr>
        <w:t xml:space="preserve"> Application. </w:t>
      </w:r>
      <w:r w:rsidR="008025DE" w:rsidRPr="00ED4D49">
        <w:rPr>
          <w:rFonts w:cs="Calibri"/>
          <w:szCs w:val="24"/>
          <w:lang w:val="en-US"/>
        </w:rPr>
        <w:t xml:space="preserve">RS MPPCEE shall notify the public and the relevant stakeholders about the content of the Application in one of the daily newspapers in the RS. In case of transboundary issues, the Application will also be sent to the concerned entity, </w:t>
      </w:r>
      <w:r w:rsidR="00F3213F" w:rsidRPr="00ED4D49">
        <w:rPr>
          <w:rFonts w:cs="Calibri"/>
          <w:szCs w:val="24"/>
          <w:lang w:val="en-US"/>
        </w:rPr>
        <w:t>Brcko District</w:t>
      </w:r>
      <w:r w:rsidR="008025DE" w:rsidRPr="00ED4D49">
        <w:rPr>
          <w:rFonts w:cs="Calibri"/>
          <w:szCs w:val="24"/>
          <w:lang w:val="en-US"/>
        </w:rPr>
        <w:t xml:space="preserve"> or other country. The public may submit a written opinion on the application and the supporting documentation within 30 days from the date of publishing of the notification</w:t>
      </w:r>
      <w:r w:rsidR="00DA2BEB" w:rsidRPr="00ED4D49">
        <w:rPr>
          <w:rFonts w:cs="Calibri"/>
          <w:szCs w:val="24"/>
          <w:lang w:val="en-US"/>
        </w:rPr>
        <w:t>.</w:t>
      </w:r>
      <w:r w:rsidR="008025DE" w:rsidRPr="00ED4D49">
        <w:rPr>
          <w:rFonts w:cs="Calibri"/>
          <w:szCs w:val="24"/>
          <w:lang w:val="en-US"/>
        </w:rPr>
        <w:t xml:space="preserve"> RS MPPCEE shall issue a Decision on the Issuance of Environmental Permit or Decision on </w:t>
      </w:r>
      <w:r w:rsidR="00F3213F" w:rsidRPr="00ED4D49">
        <w:rPr>
          <w:rFonts w:cs="Calibri"/>
          <w:szCs w:val="24"/>
          <w:lang w:val="en-US"/>
        </w:rPr>
        <w:t>R</w:t>
      </w:r>
      <w:r w:rsidR="008025DE" w:rsidRPr="00ED4D49">
        <w:rPr>
          <w:rFonts w:cs="Calibri"/>
          <w:szCs w:val="24"/>
          <w:lang w:val="en-US"/>
        </w:rPr>
        <w:t xml:space="preserve">ejecting the </w:t>
      </w:r>
      <w:r w:rsidR="00F3213F" w:rsidRPr="00ED4D49">
        <w:rPr>
          <w:rFonts w:cs="Calibri"/>
          <w:szCs w:val="24"/>
          <w:lang w:val="en-US"/>
        </w:rPr>
        <w:t>A</w:t>
      </w:r>
      <w:r w:rsidR="008025DE" w:rsidRPr="00ED4D49">
        <w:rPr>
          <w:rFonts w:cs="Calibri"/>
          <w:szCs w:val="24"/>
          <w:lang w:val="en-US"/>
        </w:rPr>
        <w:t>pplication within 60 days following the receipt of the complete application for environmental permit. Environmental permit is valid for five years.</w:t>
      </w:r>
    </w:p>
    <w:p w14:paraId="18E73629" w14:textId="3C31834E" w:rsidR="00ED57DC" w:rsidRPr="00ED4D49" w:rsidRDefault="00ED57DC" w:rsidP="00ED57DC">
      <w:pPr>
        <w:spacing w:after="0"/>
        <w:jc w:val="both"/>
        <w:rPr>
          <w:rFonts w:cs="Calibri"/>
          <w:color w:val="1F497D"/>
          <w:lang w:val="en-US"/>
        </w:rPr>
      </w:pPr>
      <w:r w:rsidRPr="00ED4D49">
        <w:rPr>
          <w:rFonts w:cs="Calibri"/>
          <w:color w:val="1F497D"/>
          <w:lang w:val="en-US"/>
        </w:rPr>
        <w:t xml:space="preserve">Environmental Assessment Procedure in </w:t>
      </w:r>
      <w:r w:rsidR="00387D38" w:rsidRPr="00ED4D49">
        <w:rPr>
          <w:rFonts w:cs="Calibri"/>
          <w:color w:val="1F497D"/>
          <w:lang w:val="en-US"/>
        </w:rPr>
        <w:t>BD</w:t>
      </w:r>
    </w:p>
    <w:p w14:paraId="79157A57" w14:textId="13E6399E" w:rsidR="00ED57DC" w:rsidRPr="00ED4D49" w:rsidRDefault="00ED57DC" w:rsidP="00ED57DC">
      <w:pPr>
        <w:spacing w:before="0" w:after="0"/>
        <w:jc w:val="both"/>
        <w:rPr>
          <w:rFonts w:cs="Calibri"/>
          <w:szCs w:val="24"/>
          <w:lang w:val="en-US"/>
        </w:rPr>
      </w:pPr>
      <w:r w:rsidRPr="00ED4D49">
        <w:rPr>
          <w:rFonts w:cs="Calibri"/>
          <w:szCs w:val="24"/>
          <w:lang w:val="en-US"/>
        </w:rPr>
        <w:t xml:space="preserve">In </w:t>
      </w:r>
      <w:r w:rsidR="00185228" w:rsidRPr="00ED4D49">
        <w:rPr>
          <w:rFonts w:cs="Calibri"/>
          <w:szCs w:val="24"/>
          <w:lang w:val="en-US"/>
        </w:rPr>
        <w:t>BD</w:t>
      </w:r>
      <w:r w:rsidR="00387D38" w:rsidRPr="00ED4D49">
        <w:rPr>
          <w:rFonts w:cs="Calibri"/>
          <w:szCs w:val="24"/>
          <w:lang w:val="en-US"/>
        </w:rPr>
        <w:t>,</w:t>
      </w:r>
      <w:r w:rsidRPr="00ED4D49">
        <w:rPr>
          <w:rFonts w:cs="Calibri"/>
          <w:szCs w:val="24"/>
          <w:lang w:val="en-US"/>
        </w:rPr>
        <w:t xml:space="preserve"> the</w:t>
      </w:r>
      <w:r w:rsidRPr="00ED4D49">
        <w:rPr>
          <w:rFonts w:cs="Calibri"/>
          <w:szCs w:val="20"/>
          <w:lang w:val="en-US"/>
        </w:rPr>
        <w:t xml:space="preserve"> Department of Spatial Planning and Property Affairs is responsible for the EIA procedure and for </w:t>
      </w:r>
      <w:r w:rsidR="00387D38" w:rsidRPr="00ED4D49">
        <w:rPr>
          <w:rFonts w:cs="Calibri"/>
          <w:szCs w:val="20"/>
          <w:lang w:val="en-US"/>
        </w:rPr>
        <w:t>issuing</w:t>
      </w:r>
      <w:r w:rsidRPr="00ED4D49">
        <w:rPr>
          <w:rFonts w:cs="Calibri"/>
          <w:szCs w:val="20"/>
          <w:lang w:val="en-US"/>
        </w:rPr>
        <w:t xml:space="preserve"> Environmental Permits. </w:t>
      </w:r>
      <w:r w:rsidRPr="00ED4D49">
        <w:rPr>
          <w:rFonts w:cs="Calibri"/>
          <w:szCs w:val="24"/>
          <w:lang w:val="en-US"/>
        </w:rPr>
        <w:t>The environmental permitting procedure in BD is regulated by:</w:t>
      </w:r>
    </w:p>
    <w:p w14:paraId="48034554" w14:textId="05D4AD8A" w:rsidR="00ED57DC" w:rsidRPr="00ED4D49" w:rsidRDefault="00387D38" w:rsidP="00530056">
      <w:pPr>
        <w:numPr>
          <w:ilvl w:val="0"/>
          <w:numId w:val="22"/>
        </w:numPr>
        <w:spacing w:before="0" w:after="0"/>
        <w:jc w:val="both"/>
        <w:rPr>
          <w:rFonts w:cs="Calibri"/>
          <w:szCs w:val="24"/>
          <w:lang w:val="en-US"/>
        </w:rPr>
      </w:pPr>
      <w:r w:rsidRPr="00ED4D49">
        <w:rPr>
          <w:rFonts w:cs="Calibri"/>
          <w:szCs w:val="24"/>
          <w:lang w:val="en-US"/>
        </w:rPr>
        <w:t xml:space="preserve">The </w:t>
      </w:r>
      <w:r w:rsidR="00ED57DC" w:rsidRPr="00ED4D49">
        <w:rPr>
          <w:rFonts w:cs="Calibri"/>
          <w:szCs w:val="24"/>
          <w:lang w:val="en-US"/>
        </w:rPr>
        <w:t>Law on Environmental Protection</w:t>
      </w:r>
      <w:r w:rsidR="00ED57DC" w:rsidRPr="00ED4D49">
        <w:rPr>
          <w:rFonts w:cs="Calibri"/>
          <w:szCs w:val="24"/>
          <w:vertAlign w:val="superscript"/>
          <w:lang w:val="en-US"/>
        </w:rPr>
        <w:footnoteReference w:id="46"/>
      </w:r>
      <w:r w:rsidR="00ED57DC" w:rsidRPr="00ED4D49">
        <w:rPr>
          <w:rFonts w:cs="Calibri"/>
          <w:szCs w:val="24"/>
          <w:lang w:val="en-US"/>
        </w:rPr>
        <w:t>,</w:t>
      </w:r>
    </w:p>
    <w:p w14:paraId="40878CBE" w14:textId="1A6900FC" w:rsidR="00ED57DC" w:rsidRPr="00ED4D49" w:rsidRDefault="00387D38" w:rsidP="00530056">
      <w:pPr>
        <w:numPr>
          <w:ilvl w:val="0"/>
          <w:numId w:val="22"/>
        </w:numPr>
        <w:spacing w:before="0" w:after="0"/>
        <w:jc w:val="both"/>
        <w:rPr>
          <w:rFonts w:cs="Calibri"/>
          <w:szCs w:val="24"/>
          <w:lang w:val="en-US"/>
        </w:rPr>
      </w:pPr>
      <w:r w:rsidRPr="00ED4D49">
        <w:rPr>
          <w:rFonts w:cs="Calibri"/>
          <w:szCs w:val="24"/>
          <w:lang w:val="en-US"/>
        </w:rPr>
        <w:t>The Regulation</w:t>
      </w:r>
      <w:r w:rsidR="00ED57DC" w:rsidRPr="00ED4D49">
        <w:rPr>
          <w:rFonts w:cs="Calibri"/>
          <w:szCs w:val="24"/>
          <w:lang w:val="en-US"/>
        </w:rPr>
        <w:t xml:space="preserve"> on Facilities Subject to Obligatory Environmental Impact Assessment and Facilities Which May be Constructed and Operated Only with a Valid Environmental Permit</w:t>
      </w:r>
      <w:r w:rsidR="00ED57DC" w:rsidRPr="00ED4D49">
        <w:rPr>
          <w:rFonts w:cs="Calibri"/>
          <w:szCs w:val="24"/>
          <w:vertAlign w:val="superscript"/>
          <w:lang w:val="en-US"/>
        </w:rPr>
        <w:footnoteReference w:id="47"/>
      </w:r>
      <w:r w:rsidR="00ED57DC" w:rsidRPr="00ED4D49">
        <w:rPr>
          <w:rFonts w:cs="Calibri"/>
          <w:szCs w:val="24"/>
          <w:lang w:val="en-US"/>
        </w:rPr>
        <w:t xml:space="preserve">. </w:t>
      </w:r>
    </w:p>
    <w:p w14:paraId="2B2F3E13" w14:textId="5E82D7D2" w:rsidR="00ED57DC" w:rsidRPr="00ED4D49" w:rsidRDefault="00ED57DC" w:rsidP="00ED57DC">
      <w:pPr>
        <w:spacing w:after="0"/>
        <w:jc w:val="both"/>
        <w:rPr>
          <w:rFonts w:cs="Calibri"/>
          <w:szCs w:val="24"/>
          <w:lang w:val="en-US"/>
        </w:rPr>
      </w:pPr>
      <w:r w:rsidRPr="00ED4D49">
        <w:rPr>
          <w:rFonts w:cs="Calibri"/>
          <w:szCs w:val="24"/>
          <w:lang w:val="en-US"/>
        </w:rPr>
        <w:t xml:space="preserve">The </w:t>
      </w:r>
      <w:r w:rsidR="00ED5B2D" w:rsidRPr="00ED4D49">
        <w:rPr>
          <w:rFonts w:cs="Calibri"/>
          <w:szCs w:val="24"/>
          <w:lang w:val="en-US"/>
        </w:rPr>
        <w:t>Regulation</w:t>
      </w:r>
      <w:r w:rsidRPr="00ED4D49">
        <w:rPr>
          <w:rFonts w:cs="Calibri"/>
          <w:szCs w:val="24"/>
          <w:lang w:val="en-US"/>
        </w:rPr>
        <w:t xml:space="preserve"> specifies the following: </w:t>
      </w:r>
    </w:p>
    <w:p w14:paraId="4E6D2BB4" w14:textId="63BDF5BD" w:rsidR="00ED57DC" w:rsidRPr="00ED4D49" w:rsidRDefault="00ED57DC" w:rsidP="00ED57DC">
      <w:pPr>
        <w:pStyle w:val="ListParagraph"/>
        <w:numPr>
          <w:ilvl w:val="0"/>
          <w:numId w:val="16"/>
        </w:numPr>
        <w:spacing w:after="160"/>
        <w:jc w:val="both"/>
        <w:rPr>
          <w:rFonts w:cs="Calibri"/>
          <w:sz w:val="20"/>
          <w:szCs w:val="20"/>
        </w:rPr>
      </w:pPr>
      <w:r w:rsidRPr="00ED4D49">
        <w:rPr>
          <w:rFonts w:cs="Calibri"/>
          <w:sz w:val="20"/>
          <w:szCs w:val="20"/>
        </w:rPr>
        <w:t>Plants and facilities subject to EIA,</w:t>
      </w:r>
      <w:r w:rsidR="00C6478C" w:rsidRPr="00ED4D49">
        <w:rPr>
          <w:rFonts w:cs="Calibri"/>
          <w:sz w:val="20"/>
          <w:szCs w:val="20"/>
        </w:rPr>
        <w:t xml:space="preserve"> </w:t>
      </w:r>
      <w:r w:rsidRPr="00ED4D49">
        <w:rPr>
          <w:rFonts w:cs="Calibri"/>
          <w:sz w:val="20"/>
          <w:szCs w:val="20"/>
        </w:rPr>
        <w:t xml:space="preserve"> </w:t>
      </w:r>
    </w:p>
    <w:p w14:paraId="4D327933" w14:textId="73A27F9E" w:rsidR="00ED57DC" w:rsidRPr="00ED4D49" w:rsidRDefault="00ED57DC" w:rsidP="00ED57DC">
      <w:pPr>
        <w:pStyle w:val="ListParagraph"/>
        <w:numPr>
          <w:ilvl w:val="0"/>
          <w:numId w:val="16"/>
        </w:numPr>
        <w:spacing w:after="160"/>
        <w:jc w:val="both"/>
        <w:rPr>
          <w:rFonts w:cs="Calibri"/>
          <w:sz w:val="20"/>
          <w:szCs w:val="20"/>
        </w:rPr>
      </w:pPr>
      <w:r w:rsidRPr="00ED4D49">
        <w:rPr>
          <w:rFonts w:cs="Calibri"/>
          <w:sz w:val="20"/>
          <w:szCs w:val="20"/>
        </w:rPr>
        <w:t>Plants and facilities for which the Department of Spatial Planning and Property Affairs</w:t>
      </w:r>
      <w:r w:rsidR="006D467A" w:rsidRPr="00ED4D49">
        <w:rPr>
          <w:rFonts w:cs="Calibri"/>
          <w:sz w:val="20"/>
          <w:szCs w:val="20"/>
        </w:rPr>
        <w:t xml:space="preserve"> of Brcko District</w:t>
      </w:r>
      <w:r w:rsidRPr="00ED4D49">
        <w:rPr>
          <w:rFonts w:cs="Calibri"/>
          <w:sz w:val="20"/>
          <w:szCs w:val="20"/>
        </w:rPr>
        <w:t xml:space="preserve"> (DSPPA BD) determines whether an EIA must be conducted, as well as</w:t>
      </w:r>
      <w:r w:rsidR="00C6478C" w:rsidRPr="00ED4D49">
        <w:rPr>
          <w:rFonts w:cs="Calibri"/>
          <w:sz w:val="20"/>
          <w:szCs w:val="20"/>
        </w:rPr>
        <w:t xml:space="preserve"> </w:t>
      </w:r>
    </w:p>
    <w:p w14:paraId="24606715" w14:textId="77777777" w:rsidR="00ED57DC" w:rsidRPr="00ED4D49" w:rsidRDefault="00ED57DC" w:rsidP="00ED57DC">
      <w:pPr>
        <w:pStyle w:val="ListParagraph"/>
        <w:numPr>
          <w:ilvl w:val="0"/>
          <w:numId w:val="16"/>
        </w:numPr>
        <w:spacing w:after="160"/>
        <w:jc w:val="both"/>
        <w:rPr>
          <w:rFonts w:cs="Calibri"/>
          <w:sz w:val="20"/>
          <w:szCs w:val="20"/>
        </w:rPr>
      </w:pPr>
      <w:r w:rsidRPr="00ED4D49">
        <w:rPr>
          <w:rFonts w:cs="Calibri"/>
          <w:sz w:val="20"/>
          <w:szCs w:val="20"/>
        </w:rPr>
        <w:t>Plant and facilities which do not need an EIA, and for which the DSPPA BD issues the Environmental Permit.</w:t>
      </w:r>
    </w:p>
    <w:p w14:paraId="215F4408" w14:textId="77777777" w:rsidR="00ED57DC" w:rsidRPr="00ED4D49" w:rsidRDefault="00ED57DC" w:rsidP="00ED57DC">
      <w:pPr>
        <w:spacing w:after="0"/>
        <w:jc w:val="both"/>
        <w:rPr>
          <w:rFonts w:cs="Calibri"/>
          <w:szCs w:val="24"/>
          <w:lang w:val="en-US"/>
        </w:rPr>
      </w:pPr>
      <w:r w:rsidRPr="00ED4D49">
        <w:rPr>
          <w:rFonts w:cs="Calibri"/>
          <w:szCs w:val="24"/>
          <w:lang w:val="en-US"/>
        </w:rPr>
        <w:t>EIA can be carried out in two phases: Preliminary EIA procedure and EIA procedure.</w:t>
      </w:r>
    </w:p>
    <w:p w14:paraId="5EC1B19C" w14:textId="023D1A13" w:rsidR="00ED57DC" w:rsidRPr="00ED4D49" w:rsidRDefault="00ED57DC" w:rsidP="00ED57DC">
      <w:pPr>
        <w:spacing w:after="0"/>
        <w:jc w:val="both"/>
        <w:rPr>
          <w:rFonts w:cs="Calibri"/>
          <w:szCs w:val="24"/>
          <w:lang w:val="en-US"/>
        </w:rPr>
      </w:pPr>
      <w:r w:rsidRPr="00ED4D49">
        <w:rPr>
          <w:rFonts w:cs="Calibri"/>
          <w:szCs w:val="24"/>
          <w:u w:val="single"/>
          <w:lang w:val="en-US"/>
        </w:rPr>
        <w:lastRenderedPageBreak/>
        <w:t xml:space="preserve">For plants and facilities subject to an EIA, </w:t>
      </w:r>
      <w:r w:rsidRPr="00ED4D49">
        <w:rPr>
          <w:rFonts w:cs="Calibri"/>
          <w:szCs w:val="24"/>
          <w:lang w:val="en-US"/>
        </w:rPr>
        <w:t xml:space="preserve">the assessment procedure begins by submitting an Environmental Impact Assessment Study (EIA Study) to </w:t>
      </w:r>
      <w:r w:rsidRPr="00ED4D49">
        <w:rPr>
          <w:rFonts w:cs="Calibri"/>
          <w:szCs w:val="20"/>
          <w:lang w:val="en-US"/>
        </w:rPr>
        <w:t>DSPPA BD</w:t>
      </w:r>
      <w:r w:rsidRPr="00ED4D49">
        <w:rPr>
          <w:rFonts w:cs="Calibri"/>
          <w:szCs w:val="24"/>
          <w:lang w:val="en-US"/>
        </w:rPr>
        <w:t xml:space="preserve">. After the Investor submits the EIA Study to the </w:t>
      </w:r>
      <w:r w:rsidRPr="00ED4D49">
        <w:rPr>
          <w:rFonts w:cs="Calibri"/>
          <w:szCs w:val="20"/>
          <w:lang w:val="en-US"/>
        </w:rPr>
        <w:t>DSPPA BD</w:t>
      </w:r>
      <w:r w:rsidRPr="00ED4D49">
        <w:rPr>
          <w:rFonts w:cs="Calibri"/>
          <w:szCs w:val="24"/>
          <w:lang w:val="en-US"/>
        </w:rPr>
        <w:t xml:space="preserve">, the Department makes the EIA Study available to the public, allowing 30 days for receiving comments. The Department of Spatial Planning and Property Affairs is obliged to organize a public hearing as near as possible to the </w:t>
      </w:r>
      <w:r w:rsidR="0099422A" w:rsidRPr="00ED4D49">
        <w:rPr>
          <w:rFonts w:cs="Calibri"/>
          <w:szCs w:val="24"/>
          <w:lang w:val="en-US"/>
        </w:rPr>
        <w:t>subproject</w:t>
      </w:r>
      <w:r w:rsidR="00185228" w:rsidRPr="00ED4D49">
        <w:rPr>
          <w:rFonts w:cs="Calibri"/>
          <w:szCs w:val="24"/>
          <w:lang w:val="en-US"/>
        </w:rPr>
        <w:t xml:space="preserve"> </w:t>
      </w:r>
      <w:r w:rsidRPr="00ED4D49">
        <w:rPr>
          <w:rFonts w:cs="Calibri"/>
          <w:szCs w:val="24"/>
          <w:lang w:val="en-US"/>
        </w:rPr>
        <w:t>location, and to invite the public to consultations. After completion of the public consultation and after the EIA Study is evaluated and all the relevant comments received form interested parties incorporated, the DSPPA BD approves the EIA Study within 30 days from EIA Study receipt</w:t>
      </w:r>
      <w:r w:rsidR="00C6478C" w:rsidRPr="00ED4D49">
        <w:rPr>
          <w:rFonts w:cs="Calibri"/>
          <w:szCs w:val="24"/>
          <w:lang w:val="en-US"/>
        </w:rPr>
        <w:t xml:space="preserve"> </w:t>
      </w:r>
      <w:r w:rsidRPr="00ED4D49">
        <w:rPr>
          <w:rFonts w:cs="Calibri"/>
          <w:szCs w:val="24"/>
          <w:lang w:val="en-US"/>
        </w:rPr>
        <w:t xml:space="preserve">and issues the Environmental Permit (within 30 days following the approval of the EIA Study). DSPPA BD issues the Environmental Permit within 60 days from EIA Study receipt. Environmental permits are valid for five years. </w:t>
      </w:r>
    </w:p>
    <w:p w14:paraId="47C78B2F" w14:textId="77777777" w:rsidR="00ED57DC" w:rsidRPr="00ED4D49" w:rsidRDefault="00ED57DC" w:rsidP="00ED57DC">
      <w:pPr>
        <w:spacing w:after="0"/>
        <w:jc w:val="both"/>
        <w:rPr>
          <w:rFonts w:cs="Calibri"/>
          <w:szCs w:val="24"/>
          <w:lang w:val="en-US"/>
        </w:rPr>
      </w:pPr>
      <w:r w:rsidRPr="00ED4D49">
        <w:rPr>
          <w:rFonts w:cs="Calibri"/>
          <w:szCs w:val="24"/>
          <w:u w:val="single"/>
          <w:lang w:val="en-US"/>
        </w:rPr>
        <w:t xml:space="preserve">For plants and facilities for which DSPPA BD determines whether they need an EIA, </w:t>
      </w:r>
      <w:r w:rsidRPr="00ED4D49">
        <w:rPr>
          <w:rFonts w:cs="Calibri"/>
          <w:szCs w:val="24"/>
          <w:lang w:val="en-US"/>
        </w:rPr>
        <w:t>the assessment procedure begins by submitting the Request for a Preliminary EIA to DSPPA BD. This Department submits the Request to interested parties to give their opinions and comments.</w:t>
      </w:r>
      <w:r w:rsidRPr="00ED4D49">
        <w:rPr>
          <w:lang w:val="en-US"/>
        </w:rPr>
        <w:t xml:space="preserve"> The deadline for submission of opinions and comments is 30 days after receipt of the request. The investor and the public are informed about the Preliminary EIA. </w:t>
      </w:r>
      <w:r w:rsidRPr="00ED4D49">
        <w:rPr>
          <w:rFonts w:cs="Calibri"/>
          <w:szCs w:val="24"/>
          <w:lang w:val="en-US"/>
        </w:rPr>
        <w:t>DSPPA BD</w:t>
      </w:r>
      <w:r w:rsidRPr="00ED4D49">
        <w:rPr>
          <w:lang w:val="en-US"/>
        </w:rPr>
        <w:t xml:space="preserve">, based on the Preliminary EIA brings the Decision on preparation and content of the EIA Study. If the DSPPA BD decides that the EIA Study is necessary the investor shall, within six months from the date of receipt of this Decision, prepare the EIA Study by an authorized institution and submit it to the DSPPA BD for assessment. If the DSPPA BD decides that </w:t>
      </w:r>
      <w:r w:rsidRPr="00ED4D49">
        <w:rPr>
          <w:rFonts w:cs="Calibri"/>
          <w:szCs w:val="24"/>
          <w:lang w:val="en-US"/>
        </w:rPr>
        <w:t>there is no need for an EIA Study, this Department issues a Decision on Granting the Environmental Permit</w:t>
      </w:r>
    </w:p>
    <w:p w14:paraId="4D3357ED" w14:textId="14631F21" w:rsidR="00ED57DC" w:rsidRPr="00ED4D49" w:rsidRDefault="00ED57DC" w:rsidP="00ED57DC">
      <w:pPr>
        <w:spacing w:after="0"/>
        <w:jc w:val="both"/>
        <w:rPr>
          <w:rFonts w:cs="Calibri"/>
          <w:szCs w:val="24"/>
          <w:lang w:val="en-US"/>
        </w:rPr>
      </w:pPr>
      <w:r w:rsidRPr="00ED4D49">
        <w:rPr>
          <w:rFonts w:cs="Calibri"/>
          <w:szCs w:val="24"/>
          <w:u w:val="single"/>
          <w:lang w:val="en-US"/>
        </w:rPr>
        <w:t>For plants and facilities which do not need an EIA, and for which DSPPA BD issues an Environmental Permit</w:t>
      </w:r>
      <w:r w:rsidRPr="00ED4D49">
        <w:rPr>
          <w:rFonts w:cs="Calibri"/>
          <w:szCs w:val="24"/>
          <w:lang w:val="en-US"/>
        </w:rPr>
        <w:t>, the environmental permitting procedure begins by submitting to DSPPA BD the Request for Obtaining an Environmental Permit. The Request shall be publicly disclosed through the media. Opinions from public may be given no later than 30 days from the date of Request disclosure. DSPPA BD is obliged to issue the Permit within 60 days.</w:t>
      </w:r>
    </w:p>
    <w:p w14:paraId="39ADE132" w14:textId="77777777" w:rsidR="00C27BB5" w:rsidRPr="00ED4D49" w:rsidRDefault="00C27BB5" w:rsidP="00ED57DC">
      <w:pPr>
        <w:spacing w:after="0"/>
        <w:jc w:val="both"/>
        <w:rPr>
          <w:rFonts w:cs="Calibri"/>
          <w:szCs w:val="24"/>
          <w:lang w:val="en-US"/>
        </w:rPr>
      </w:pPr>
    </w:p>
    <w:p w14:paraId="1F187E1F" w14:textId="77777777" w:rsidR="00F57E67" w:rsidRPr="00ED4D49" w:rsidRDefault="00F57E67" w:rsidP="0023292C">
      <w:pPr>
        <w:pStyle w:val="Heading3"/>
      </w:pPr>
      <w:bookmarkStart w:id="185" w:name="_Toc19223873"/>
      <w:bookmarkStart w:id="186" w:name="_Toc31811089"/>
      <w:r w:rsidRPr="00ED4D49">
        <w:t>Waste Management Regulations</w:t>
      </w:r>
      <w:bookmarkEnd w:id="185"/>
      <w:bookmarkEnd w:id="186"/>
      <w:r w:rsidRPr="00ED4D49">
        <w:t xml:space="preserve"> </w:t>
      </w:r>
    </w:p>
    <w:p w14:paraId="5B3B9C04" w14:textId="7C6C6B45" w:rsidR="0095474C" w:rsidRPr="00ED4D49" w:rsidRDefault="0095474C" w:rsidP="0095474C">
      <w:pPr>
        <w:spacing w:after="0"/>
        <w:jc w:val="both"/>
        <w:rPr>
          <w:rFonts w:cs="Calibri"/>
          <w:color w:val="1F497D"/>
          <w:lang w:val="en-US"/>
        </w:rPr>
      </w:pPr>
      <w:bookmarkStart w:id="187" w:name="_Toc19223874"/>
      <w:r w:rsidRPr="00ED4D49">
        <w:rPr>
          <w:rFonts w:cs="Calibri"/>
          <w:color w:val="1F497D"/>
          <w:lang w:val="en-US"/>
        </w:rPr>
        <w:t xml:space="preserve">Waste Management Regulations in </w:t>
      </w:r>
      <w:r w:rsidR="00387D38" w:rsidRPr="00ED4D49">
        <w:rPr>
          <w:rFonts w:cs="Calibri"/>
          <w:color w:val="1F497D"/>
          <w:lang w:val="en-US"/>
        </w:rPr>
        <w:t>FBiH</w:t>
      </w:r>
      <w:r w:rsidRPr="00ED4D49">
        <w:rPr>
          <w:rFonts w:cs="Calibri"/>
          <w:color w:val="1F497D"/>
          <w:lang w:val="en-US"/>
        </w:rPr>
        <w:t xml:space="preserve"> </w:t>
      </w:r>
    </w:p>
    <w:p w14:paraId="18DD3B2B" w14:textId="73FE5D0F" w:rsidR="0095474C" w:rsidRPr="00ED4D49" w:rsidRDefault="0095474C" w:rsidP="0095474C">
      <w:pPr>
        <w:spacing w:before="0" w:after="0"/>
        <w:jc w:val="both"/>
        <w:rPr>
          <w:rFonts w:cs="Calibri"/>
          <w:szCs w:val="24"/>
          <w:lang w:val="en-US"/>
        </w:rPr>
      </w:pPr>
      <w:r w:rsidRPr="00ED4D49">
        <w:rPr>
          <w:rFonts w:cs="Calibri"/>
          <w:szCs w:val="24"/>
          <w:lang w:val="en-US"/>
        </w:rPr>
        <w:t xml:space="preserve">In FBiH, pursuant to the </w:t>
      </w:r>
      <w:r w:rsidRPr="00ED4D49">
        <w:rPr>
          <w:rFonts w:cs="Calibri"/>
          <w:i/>
          <w:iCs/>
          <w:szCs w:val="24"/>
          <w:lang w:val="en-US"/>
        </w:rPr>
        <w:t>Law on Waste Management</w:t>
      </w:r>
      <w:r w:rsidRPr="00ED4D49">
        <w:rPr>
          <w:rStyle w:val="FootnoteReference"/>
          <w:rFonts w:cs="Calibri"/>
          <w:szCs w:val="24"/>
          <w:lang w:val="en-US"/>
        </w:rPr>
        <w:footnoteReference w:id="48"/>
      </w:r>
      <w:r w:rsidRPr="00ED4D49">
        <w:rPr>
          <w:rFonts w:cs="Calibri"/>
          <w:szCs w:val="24"/>
          <w:lang w:val="en-US"/>
        </w:rPr>
        <w:t xml:space="preserve">, the Environmental Permit Application </w:t>
      </w:r>
      <w:r w:rsidR="00185228" w:rsidRPr="00ED4D49">
        <w:rPr>
          <w:rFonts w:cs="Calibri"/>
          <w:szCs w:val="24"/>
          <w:lang w:val="en-US"/>
        </w:rPr>
        <w:t>must</w:t>
      </w:r>
      <w:r w:rsidRPr="00ED4D49">
        <w:rPr>
          <w:rFonts w:cs="Calibri"/>
          <w:szCs w:val="24"/>
          <w:lang w:val="en-US"/>
        </w:rPr>
        <w:t xml:space="preserve"> be accompanied by </w:t>
      </w:r>
      <w:r w:rsidR="00185228" w:rsidRPr="00ED4D49">
        <w:rPr>
          <w:rFonts w:cs="Calibri"/>
          <w:szCs w:val="24"/>
          <w:lang w:val="en-US"/>
        </w:rPr>
        <w:t xml:space="preserve">a </w:t>
      </w:r>
      <w:r w:rsidRPr="00ED4D49">
        <w:rPr>
          <w:rFonts w:cs="Calibri"/>
          <w:szCs w:val="24"/>
          <w:lang w:val="en-US"/>
        </w:rPr>
        <w:t>Waste Management Plan. The Plan contain</w:t>
      </w:r>
      <w:r w:rsidR="00185228" w:rsidRPr="00ED4D49">
        <w:rPr>
          <w:rFonts w:cs="Calibri"/>
          <w:szCs w:val="24"/>
          <w:lang w:val="en-US"/>
        </w:rPr>
        <w:t>s</w:t>
      </w:r>
      <w:r w:rsidRPr="00ED4D49">
        <w:rPr>
          <w:rFonts w:cs="Calibri"/>
          <w:szCs w:val="24"/>
          <w:lang w:val="en-US"/>
        </w:rPr>
        <w:t xml:space="preserve"> the following: </w:t>
      </w:r>
    </w:p>
    <w:p w14:paraId="7A33A1CE" w14:textId="77777777" w:rsidR="0095474C" w:rsidRPr="00ED4D49" w:rsidRDefault="0095474C" w:rsidP="0095474C">
      <w:pPr>
        <w:pStyle w:val="ListParagraph"/>
        <w:numPr>
          <w:ilvl w:val="0"/>
          <w:numId w:val="4"/>
        </w:numPr>
        <w:spacing w:after="160"/>
        <w:jc w:val="both"/>
        <w:rPr>
          <w:rFonts w:cs="Calibri"/>
          <w:sz w:val="20"/>
          <w:szCs w:val="20"/>
        </w:rPr>
      </w:pPr>
      <w:r w:rsidRPr="00ED4D49">
        <w:rPr>
          <w:rFonts w:cs="Calibri"/>
          <w:sz w:val="20"/>
          <w:szCs w:val="20"/>
        </w:rPr>
        <w:t xml:space="preserve">Documentation on the waste generated by the company (origin, type of waste pursuant to waste classification list, composition, volume), </w:t>
      </w:r>
    </w:p>
    <w:p w14:paraId="29D35D17" w14:textId="77777777" w:rsidR="0095474C" w:rsidRPr="00ED4D49" w:rsidRDefault="0095474C" w:rsidP="0095474C">
      <w:pPr>
        <w:pStyle w:val="ListParagraph"/>
        <w:numPr>
          <w:ilvl w:val="0"/>
          <w:numId w:val="4"/>
        </w:numPr>
        <w:spacing w:after="160"/>
        <w:jc w:val="both"/>
        <w:rPr>
          <w:rFonts w:cs="Calibri"/>
          <w:sz w:val="20"/>
          <w:szCs w:val="20"/>
        </w:rPr>
      </w:pPr>
      <w:r w:rsidRPr="00ED4D49">
        <w:rPr>
          <w:rFonts w:cs="Calibri"/>
          <w:sz w:val="20"/>
          <w:szCs w:val="20"/>
        </w:rPr>
        <w:t xml:space="preserve">Measures to be taken to limit waste generation, particularly in case of hazardous waste, </w:t>
      </w:r>
    </w:p>
    <w:p w14:paraId="2CA6FB92" w14:textId="77777777" w:rsidR="0095474C" w:rsidRPr="00ED4D49" w:rsidRDefault="0095474C" w:rsidP="0095474C">
      <w:pPr>
        <w:pStyle w:val="ListParagraph"/>
        <w:numPr>
          <w:ilvl w:val="0"/>
          <w:numId w:val="4"/>
        </w:numPr>
        <w:spacing w:after="160"/>
        <w:jc w:val="both"/>
        <w:rPr>
          <w:rFonts w:cs="Calibri"/>
          <w:sz w:val="20"/>
          <w:szCs w:val="20"/>
        </w:rPr>
      </w:pPr>
      <w:r w:rsidRPr="00ED4D49">
        <w:rPr>
          <w:rFonts w:cs="Calibri"/>
          <w:sz w:val="20"/>
          <w:szCs w:val="20"/>
        </w:rPr>
        <w:t xml:space="preserve">Separation of waste, particularly separation of hazardous waste from other types of waste and from recyclables, </w:t>
      </w:r>
    </w:p>
    <w:p w14:paraId="1D0DDD11" w14:textId="77777777" w:rsidR="0095474C" w:rsidRPr="00ED4D49" w:rsidRDefault="0095474C" w:rsidP="0095474C">
      <w:pPr>
        <w:pStyle w:val="ListParagraph"/>
        <w:numPr>
          <w:ilvl w:val="0"/>
          <w:numId w:val="4"/>
        </w:numPr>
        <w:spacing w:after="160"/>
        <w:jc w:val="both"/>
        <w:rPr>
          <w:rFonts w:cs="Calibri"/>
          <w:sz w:val="20"/>
          <w:szCs w:val="20"/>
        </w:rPr>
      </w:pPr>
      <w:r w:rsidRPr="00ED4D49">
        <w:rPr>
          <w:rFonts w:cs="Calibri"/>
          <w:sz w:val="20"/>
          <w:szCs w:val="20"/>
        </w:rPr>
        <w:t xml:space="preserve">Waste disposal practices, </w:t>
      </w:r>
    </w:p>
    <w:p w14:paraId="37E6A487" w14:textId="77777777" w:rsidR="0095474C" w:rsidRPr="00ED4D49" w:rsidRDefault="0095474C" w:rsidP="0095474C">
      <w:pPr>
        <w:pStyle w:val="ListParagraph"/>
        <w:numPr>
          <w:ilvl w:val="0"/>
          <w:numId w:val="4"/>
        </w:numPr>
        <w:spacing w:after="160"/>
        <w:jc w:val="both"/>
        <w:rPr>
          <w:rFonts w:cs="Calibri"/>
          <w:sz w:val="20"/>
          <w:szCs w:val="20"/>
        </w:rPr>
      </w:pPr>
      <w:r w:rsidRPr="00ED4D49">
        <w:rPr>
          <w:rFonts w:cs="Calibri"/>
          <w:sz w:val="20"/>
          <w:szCs w:val="20"/>
        </w:rPr>
        <w:t xml:space="preserve">Waste treatment and/or disposal methods. </w:t>
      </w:r>
    </w:p>
    <w:p w14:paraId="2642903C" w14:textId="5BA7736C" w:rsidR="0095474C" w:rsidRPr="00ED4D49" w:rsidRDefault="00F677B5" w:rsidP="0095474C">
      <w:pPr>
        <w:spacing w:after="0"/>
        <w:jc w:val="both"/>
        <w:rPr>
          <w:rFonts w:cs="Calibri"/>
          <w:szCs w:val="24"/>
          <w:lang w:val="en-US"/>
        </w:rPr>
      </w:pPr>
      <w:r w:rsidRPr="00ED4D49">
        <w:rPr>
          <w:rFonts w:cs="Calibri"/>
          <w:szCs w:val="24"/>
          <w:lang w:val="en-US"/>
        </w:rPr>
        <w:t xml:space="preserve">The </w:t>
      </w:r>
      <w:r w:rsidR="001932CA" w:rsidRPr="00ED4D49">
        <w:rPr>
          <w:rFonts w:cs="Calibri"/>
          <w:szCs w:val="24"/>
          <w:lang w:val="en-US"/>
        </w:rPr>
        <w:t>Regulation</w:t>
      </w:r>
      <w:r w:rsidR="0095474C" w:rsidRPr="00ED4D49">
        <w:rPr>
          <w:rFonts w:cs="Calibri"/>
          <w:szCs w:val="24"/>
          <w:lang w:val="en-US"/>
        </w:rPr>
        <w:t xml:space="preserve"> on Waste Categories with Lists</w:t>
      </w:r>
      <w:r w:rsidR="0095474C" w:rsidRPr="00ED4D49">
        <w:rPr>
          <w:rStyle w:val="FootnoteReference"/>
          <w:rFonts w:cs="Calibri"/>
          <w:szCs w:val="24"/>
          <w:lang w:val="en-US"/>
        </w:rPr>
        <w:footnoteReference w:id="49"/>
      </w:r>
      <w:r w:rsidR="0095474C" w:rsidRPr="00ED4D49">
        <w:rPr>
          <w:rFonts w:cs="Calibri"/>
          <w:szCs w:val="24"/>
          <w:lang w:val="en-US"/>
        </w:rPr>
        <w:t xml:space="preserve"> defines waste categories by activities. Some waste categories which may be generated as a result of activities potentially included in this Project are provide</w:t>
      </w:r>
      <w:r w:rsidRPr="00ED4D49">
        <w:rPr>
          <w:rFonts w:cs="Calibri"/>
          <w:szCs w:val="24"/>
          <w:lang w:val="en-US"/>
        </w:rPr>
        <w:t>d</w:t>
      </w:r>
      <w:r w:rsidR="0095474C" w:rsidRPr="00ED4D49">
        <w:rPr>
          <w:rFonts w:cs="Calibri"/>
          <w:szCs w:val="24"/>
          <w:lang w:val="en-US"/>
        </w:rPr>
        <w:t xml:space="preserve"> below. </w:t>
      </w:r>
    </w:p>
    <w:p w14:paraId="62A40252" w14:textId="0BB4C17E" w:rsidR="0095474C" w:rsidRPr="00ED4D49" w:rsidRDefault="0095474C" w:rsidP="0095474C">
      <w:pPr>
        <w:pStyle w:val="Caption"/>
        <w:spacing w:line="276" w:lineRule="auto"/>
        <w:rPr>
          <w:rFonts w:cs="Calibri"/>
          <w:b w:val="0"/>
          <w:i/>
          <w:color w:val="auto"/>
          <w:sz w:val="16"/>
          <w:szCs w:val="24"/>
        </w:rPr>
      </w:pPr>
      <w:bookmarkStart w:id="188" w:name="_Toc28188041"/>
      <w:r w:rsidRPr="00ED4D49">
        <w:rPr>
          <w:rFonts w:cs="Calibri"/>
          <w:b w:val="0"/>
          <w:i/>
          <w:color w:val="1F497D"/>
          <w:sz w:val="16"/>
        </w:rPr>
        <w:t>Table</w:t>
      </w:r>
      <w:r w:rsidRPr="00ED4D49">
        <w:rPr>
          <w:rFonts w:cs="Calibri"/>
          <w:b w:val="0"/>
          <w:i/>
          <w:color w:val="1F497D"/>
          <w:sz w:val="16"/>
        </w:rPr>
        <w:fldChar w:fldCharType="begin"/>
      </w:r>
      <w:r w:rsidRPr="00ED4D49">
        <w:rPr>
          <w:rFonts w:cs="Calibri"/>
          <w:b w:val="0"/>
          <w:i/>
          <w:color w:val="1F497D"/>
          <w:sz w:val="16"/>
        </w:rPr>
        <w:instrText xml:space="preserve"> SEQ Table \* ARABIC </w:instrText>
      </w:r>
      <w:r w:rsidRPr="00ED4D49">
        <w:rPr>
          <w:rFonts w:cs="Calibri"/>
          <w:b w:val="0"/>
          <w:i/>
          <w:color w:val="1F497D"/>
          <w:sz w:val="16"/>
        </w:rPr>
        <w:fldChar w:fldCharType="separate"/>
      </w:r>
      <w:r w:rsidR="00F60130" w:rsidRPr="00ED4D49">
        <w:rPr>
          <w:rFonts w:cs="Calibri"/>
          <w:b w:val="0"/>
          <w:i/>
          <w:noProof/>
          <w:color w:val="1F497D"/>
          <w:sz w:val="16"/>
        </w:rPr>
        <w:t>16</w:t>
      </w:r>
      <w:r w:rsidRPr="00ED4D49">
        <w:rPr>
          <w:rFonts w:cs="Calibri"/>
          <w:b w:val="0"/>
          <w:i/>
          <w:color w:val="1F497D"/>
          <w:sz w:val="16"/>
        </w:rPr>
        <w:fldChar w:fldCharType="end"/>
      </w:r>
      <w:r w:rsidRPr="00ED4D49">
        <w:rPr>
          <w:rFonts w:cs="Calibri"/>
          <w:b w:val="0"/>
          <w:i/>
          <w:color w:val="1F497D"/>
          <w:sz w:val="16"/>
        </w:rPr>
        <w:t>:</w:t>
      </w:r>
      <w:r w:rsidRPr="00ED4D49">
        <w:rPr>
          <w:rFonts w:cs="Calibri"/>
          <w:b w:val="0"/>
          <w:i/>
          <w:color w:val="auto"/>
          <w:sz w:val="16"/>
        </w:rPr>
        <w:t xml:space="preserve"> Waste Generated by the Activities Potentially Included by the Project – FBiH</w:t>
      </w:r>
      <w:bookmarkEnd w:id="188"/>
      <w:r w:rsidR="00C6478C" w:rsidRPr="00ED4D49">
        <w:rPr>
          <w:rFonts w:cs="Calibri"/>
          <w:b w:val="0"/>
          <w:i/>
          <w:color w:val="auto"/>
          <w:sz w:val="16"/>
        </w:rPr>
        <w:t xml:space="preserve"> </w:t>
      </w:r>
    </w:p>
    <w:tbl>
      <w:tblPr>
        <w:tblW w:w="4998"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6686"/>
        <w:gridCol w:w="2320"/>
      </w:tblGrid>
      <w:tr w:rsidR="0095474C" w:rsidRPr="00ED4D49" w14:paraId="673E54CE" w14:textId="77777777" w:rsidTr="007500D0">
        <w:trPr>
          <w:tblHeader/>
        </w:trPr>
        <w:tc>
          <w:tcPr>
            <w:tcW w:w="3712" w:type="pct"/>
            <w:shd w:val="clear" w:color="auto" w:fill="auto"/>
          </w:tcPr>
          <w:p w14:paraId="48F9EA4A" w14:textId="77777777" w:rsidR="0095474C" w:rsidRPr="00ED4D49" w:rsidRDefault="0095474C" w:rsidP="007500D0">
            <w:pPr>
              <w:spacing w:before="0" w:after="0"/>
              <w:ind w:left="144" w:right="144"/>
              <w:jc w:val="both"/>
              <w:rPr>
                <w:rFonts w:cs="Calibri"/>
                <w:color w:val="336699"/>
                <w:sz w:val="16"/>
                <w:szCs w:val="16"/>
                <w:lang w:val="en-US"/>
              </w:rPr>
            </w:pPr>
            <w:r w:rsidRPr="00ED4D49">
              <w:rPr>
                <w:rFonts w:cs="Calibri"/>
                <w:color w:val="336699"/>
                <w:sz w:val="16"/>
                <w:szCs w:val="16"/>
                <w:lang w:val="en-US"/>
              </w:rPr>
              <w:t xml:space="preserve">Activity from which the Waste Originates </w:t>
            </w:r>
          </w:p>
        </w:tc>
        <w:tc>
          <w:tcPr>
            <w:tcW w:w="1288" w:type="pct"/>
            <w:shd w:val="clear" w:color="auto" w:fill="auto"/>
          </w:tcPr>
          <w:p w14:paraId="369E054E" w14:textId="6C2319DD" w:rsidR="0095474C" w:rsidRPr="00ED4D49" w:rsidRDefault="001932CA" w:rsidP="007500D0">
            <w:pPr>
              <w:spacing w:before="0" w:after="0"/>
              <w:ind w:left="144" w:right="144"/>
              <w:rPr>
                <w:rFonts w:cs="Calibri"/>
                <w:color w:val="336699"/>
                <w:sz w:val="16"/>
                <w:szCs w:val="16"/>
                <w:lang w:val="en-US"/>
              </w:rPr>
            </w:pPr>
            <w:r w:rsidRPr="00ED4D49">
              <w:rPr>
                <w:rFonts w:cs="Calibri"/>
                <w:color w:val="336699"/>
                <w:sz w:val="16"/>
                <w:szCs w:val="16"/>
                <w:lang w:val="en-US"/>
              </w:rPr>
              <w:t>Regulation</w:t>
            </w:r>
            <w:r w:rsidR="0095474C" w:rsidRPr="00ED4D49">
              <w:rPr>
                <w:rFonts w:cs="Calibri"/>
                <w:color w:val="336699"/>
                <w:sz w:val="16"/>
                <w:szCs w:val="16"/>
                <w:lang w:val="en-US"/>
              </w:rPr>
              <w:t xml:space="preserve"> Code </w:t>
            </w:r>
          </w:p>
        </w:tc>
      </w:tr>
      <w:tr w:rsidR="0095474C" w:rsidRPr="00ED4D49" w14:paraId="3B608A3F" w14:textId="77777777" w:rsidTr="007500D0">
        <w:tc>
          <w:tcPr>
            <w:tcW w:w="3712" w:type="pct"/>
            <w:shd w:val="clear" w:color="auto" w:fill="auto"/>
          </w:tcPr>
          <w:p w14:paraId="5D484A03" w14:textId="77777777" w:rsidR="0095474C" w:rsidRPr="00ED4D49" w:rsidRDefault="0095474C" w:rsidP="007500D0">
            <w:pPr>
              <w:spacing w:before="0" w:after="0"/>
              <w:ind w:left="144" w:right="144"/>
              <w:rPr>
                <w:rFonts w:cs="Calibri"/>
                <w:sz w:val="16"/>
                <w:szCs w:val="16"/>
                <w:lang w:val="en-US"/>
              </w:rPr>
            </w:pPr>
            <w:r w:rsidRPr="00ED4D49">
              <w:rPr>
                <w:rFonts w:cs="Calibri"/>
                <w:sz w:val="16"/>
                <w:szCs w:val="16"/>
                <w:lang w:val="en-US"/>
              </w:rPr>
              <w:t xml:space="preserve">Construction waste and demolition waste </w:t>
            </w:r>
          </w:p>
        </w:tc>
        <w:tc>
          <w:tcPr>
            <w:tcW w:w="1288" w:type="pct"/>
            <w:shd w:val="clear" w:color="auto" w:fill="auto"/>
          </w:tcPr>
          <w:p w14:paraId="394C3380" w14:textId="77777777" w:rsidR="0095474C" w:rsidRPr="00ED4D49" w:rsidRDefault="0095474C" w:rsidP="007500D0">
            <w:pPr>
              <w:spacing w:before="0" w:after="0"/>
              <w:ind w:left="144" w:right="144"/>
              <w:rPr>
                <w:rFonts w:cs="Calibri"/>
                <w:sz w:val="16"/>
                <w:szCs w:val="16"/>
                <w:lang w:val="en-US"/>
              </w:rPr>
            </w:pPr>
            <w:r w:rsidRPr="00ED4D49">
              <w:rPr>
                <w:rFonts w:cs="Calibri"/>
                <w:sz w:val="16"/>
                <w:szCs w:val="16"/>
                <w:lang w:val="en-US"/>
              </w:rPr>
              <w:t>17 00 00</w:t>
            </w:r>
          </w:p>
        </w:tc>
      </w:tr>
      <w:tr w:rsidR="0095474C" w:rsidRPr="00ED4D49" w14:paraId="477BB283" w14:textId="77777777" w:rsidTr="007500D0">
        <w:tc>
          <w:tcPr>
            <w:tcW w:w="3712" w:type="pct"/>
            <w:shd w:val="clear" w:color="auto" w:fill="auto"/>
          </w:tcPr>
          <w:p w14:paraId="01A45713" w14:textId="77777777" w:rsidR="0095474C" w:rsidRPr="00ED4D49" w:rsidRDefault="0095474C" w:rsidP="007500D0">
            <w:pPr>
              <w:spacing w:before="0" w:after="0"/>
              <w:ind w:left="144" w:right="144"/>
              <w:rPr>
                <w:rFonts w:cs="Calibri"/>
                <w:sz w:val="16"/>
                <w:szCs w:val="16"/>
                <w:lang w:val="en-US"/>
              </w:rPr>
            </w:pPr>
            <w:r w:rsidRPr="00ED4D49">
              <w:rPr>
                <w:rFonts w:cs="Calibri"/>
                <w:sz w:val="16"/>
                <w:szCs w:val="16"/>
                <w:lang w:val="en-US"/>
              </w:rPr>
              <w:t xml:space="preserve">Municipal waste and similar waste from industrial facilities and small craft, including separately collected fractions </w:t>
            </w:r>
          </w:p>
        </w:tc>
        <w:tc>
          <w:tcPr>
            <w:tcW w:w="1288" w:type="pct"/>
            <w:shd w:val="clear" w:color="auto" w:fill="auto"/>
          </w:tcPr>
          <w:p w14:paraId="18AD329F" w14:textId="77777777" w:rsidR="0095474C" w:rsidRPr="00ED4D49" w:rsidRDefault="0095474C" w:rsidP="007500D0">
            <w:pPr>
              <w:spacing w:before="0" w:after="0"/>
              <w:ind w:left="144" w:right="144"/>
              <w:rPr>
                <w:rFonts w:cs="Calibri"/>
                <w:sz w:val="16"/>
                <w:szCs w:val="16"/>
                <w:lang w:val="en-US"/>
              </w:rPr>
            </w:pPr>
            <w:r w:rsidRPr="00ED4D49">
              <w:rPr>
                <w:rFonts w:cs="Calibri"/>
                <w:sz w:val="16"/>
                <w:szCs w:val="16"/>
                <w:lang w:val="en-US"/>
              </w:rPr>
              <w:t xml:space="preserve">20 00 00 </w:t>
            </w:r>
          </w:p>
        </w:tc>
      </w:tr>
    </w:tbl>
    <w:p w14:paraId="6F7C2C22" w14:textId="77777777" w:rsidR="0095474C" w:rsidRPr="00ED4D49" w:rsidRDefault="0095474C" w:rsidP="0095474C">
      <w:pPr>
        <w:spacing w:before="0" w:after="0"/>
        <w:jc w:val="both"/>
        <w:rPr>
          <w:rFonts w:cs="Calibri"/>
          <w:color w:val="1F497D"/>
          <w:szCs w:val="24"/>
          <w:lang w:val="en-US"/>
        </w:rPr>
      </w:pPr>
    </w:p>
    <w:p w14:paraId="09B60319" w14:textId="2B0A3E2F" w:rsidR="0095474C" w:rsidRPr="00ED4D49" w:rsidRDefault="0095474C" w:rsidP="0095474C">
      <w:pPr>
        <w:spacing w:after="0"/>
        <w:jc w:val="both"/>
        <w:rPr>
          <w:rFonts w:cs="Calibri"/>
          <w:color w:val="1F497D"/>
          <w:lang w:val="en-US"/>
        </w:rPr>
      </w:pPr>
      <w:r w:rsidRPr="00ED4D49">
        <w:rPr>
          <w:rFonts w:cs="Calibri"/>
          <w:color w:val="1F497D"/>
          <w:lang w:val="en-US"/>
        </w:rPr>
        <w:lastRenderedPageBreak/>
        <w:t xml:space="preserve">Waste Management Regulations in </w:t>
      </w:r>
      <w:r w:rsidR="00387D38" w:rsidRPr="00ED4D49">
        <w:rPr>
          <w:rFonts w:cs="Calibri"/>
          <w:color w:val="1F497D"/>
          <w:lang w:val="en-US"/>
        </w:rPr>
        <w:t>RS</w:t>
      </w:r>
    </w:p>
    <w:p w14:paraId="26A19B8B" w14:textId="4203CD60" w:rsidR="0095474C" w:rsidRPr="00ED4D49" w:rsidRDefault="0095474C" w:rsidP="0095474C">
      <w:pPr>
        <w:spacing w:before="0" w:after="0"/>
        <w:jc w:val="both"/>
        <w:rPr>
          <w:rFonts w:cs="Calibri"/>
          <w:szCs w:val="24"/>
          <w:lang w:val="en-US"/>
        </w:rPr>
      </w:pPr>
      <w:r w:rsidRPr="00ED4D49">
        <w:rPr>
          <w:rFonts w:cs="Calibri"/>
          <w:szCs w:val="24"/>
          <w:lang w:val="en-US"/>
        </w:rPr>
        <w:t xml:space="preserve">In RS, pursuant to the </w:t>
      </w:r>
      <w:r w:rsidRPr="00ED4D49">
        <w:rPr>
          <w:rFonts w:cs="Calibri"/>
          <w:i/>
          <w:iCs/>
          <w:szCs w:val="24"/>
          <w:lang w:val="en-US"/>
        </w:rPr>
        <w:t>Law on Waste Management</w:t>
      </w:r>
      <w:r w:rsidRPr="00ED4D49">
        <w:rPr>
          <w:rStyle w:val="FootnoteReference"/>
          <w:rFonts w:cs="Calibri"/>
          <w:szCs w:val="24"/>
          <w:lang w:val="en-US"/>
        </w:rPr>
        <w:footnoteReference w:id="50"/>
      </w:r>
      <w:r w:rsidRPr="00ED4D49">
        <w:rPr>
          <w:rFonts w:cs="Calibri"/>
          <w:szCs w:val="24"/>
          <w:lang w:val="en-US"/>
        </w:rPr>
        <w:t xml:space="preserve">, all the subject to obtaining an Environmental Permit must prepare and adopt a Waste Management Plan, which should include: </w:t>
      </w:r>
    </w:p>
    <w:p w14:paraId="20D8E596" w14:textId="121435CE" w:rsidR="0095474C" w:rsidRPr="00ED4D49" w:rsidRDefault="0095474C" w:rsidP="0095474C">
      <w:pPr>
        <w:pStyle w:val="ListParagraph"/>
        <w:numPr>
          <w:ilvl w:val="0"/>
          <w:numId w:val="4"/>
        </w:numPr>
        <w:spacing w:after="160"/>
        <w:jc w:val="both"/>
        <w:rPr>
          <w:rFonts w:cs="Calibri"/>
          <w:sz w:val="20"/>
          <w:szCs w:val="20"/>
        </w:rPr>
      </w:pPr>
      <w:r w:rsidRPr="00ED4D49">
        <w:rPr>
          <w:rFonts w:cs="Calibri"/>
          <w:sz w:val="20"/>
          <w:szCs w:val="20"/>
        </w:rPr>
        <w:t>Documentation on waste generated during plant operating process, as well as on waste used in the plant or disposed by the plant (type, composition and volume of waste),</w:t>
      </w:r>
      <w:r w:rsidR="00C6478C" w:rsidRPr="00ED4D49">
        <w:rPr>
          <w:rFonts w:cs="Calibri"/>
          <w:sz w:val="20"/>
          <w:szCs w:val="20"/>
        </w:rPr>
        <w:t xml:space="preserve"> </w:t>
      </w:r>
    </w:p>
    <w:p w14:paraId="3BEC66E9" w14:textId="77777777" w:rsidR="0095474C" w:rsidRPr="00ED4D49" w:rsidRDefault="0095474C" w:rsidP="0095474C">
      <w:pPr>
        <w:pStyle w:val="ListParagraph"/>
        <w:numPr>
          <w:ilvl w:val="0"/>
          <w:numId w:val="4"/>
        </w:numPr>
        <w:spacing w:after="160"/>
        <w:jc w:val="both"/>
        <w:rPr>
          <w:rFonts w:cs="Calibri"/>
          <w:sz w:val="20"/>
          <w:szCs w:val="20"/>
        </w:rPr>
      </w:pPr>
      <w:r w:rsidRPr="00ED4D49">
        <w:rPr>
          <w:rFonts w:cs="Calibri"/>
          <w:sz w:val="20"/>
          <w:szCs w:val="20"/>
        </w:rPr>
        <w:t xml:space="preserve">Measures taken in order to reduce waste, particularly hazardous waste generation, </w:t>
      </w:r>
    </w:p>
    <w:p w14:paraId="7734D40E" w14:textId="77777777" w:rsidR="0095474C" w:rsidRPr="00ED4D49" w:rsidRDefault="0095474C" w:rsidP="0095474C">
      <w:pPr>
        <w:pStyle w:val="ListParagraph"/>
        <w:numPr>
          <w:ilvl w:val="0"/>
          <w:numId w:val="4"/>
        </w:numPr>
        <w:spacing w:after="160"/>
        <w:jc w:val="both"/>
        <w:rPr>
          <w:rFonts w:cs="Calibri"/>
          <w:sz w:val="20"/>
          <w:szCs w:val="20"/>
        </w:rPr>
      </w:pPr>
      <w:r w:rsidRPr="00ED4D49">
        <w:rPr>
          <w:rFonts w:cs="Calibri"/>
          <w:sz w:val="20"/>
          <w:szCs w:val="20"/>
        </w:rPr>
        <w:t xml:space="preserve">Procedures and manner of separation of various types of waste, particularly hazardous waste and recyclable waste, in order to reduce volume of waste for final disposal, and </w:t>
      </w:r>
    </w:p>
    <w:p w14:paraId="40B80E01" w14:textId="77777777" w:rsidR="0095474C" w:rsidRPr="00ED4D49" w:rsidRDefault="0095474C" w:rsidP="0095474C">
      <w:pPr>
        <w:pStyle w:val="ListParagraph"/>
        <w:numPr>
          <w:ilvl w:val="0"/>
          <w:numId w:val="4"/>
        </w:numPr>
        <w:spacing w:after="160"/>
        <w:jc w:val="both"/>
        <w:rPr>
          <w:rFonts w:cs="Calibri"/>
          <w:sz w:val="20"/>
          <w:szCs w:val="20"/>
        </w:rPr>
      </w:pPr>
      <w:r w:rsidRPr="00ED4D49">
        <w:rPr>
          <w:rFonts w:cs="Calibri"/>
          <w:sz w:val="20"/>
          <w:szCs w:val="20"/>
        </w:rPr>
        <w:t xml:space="preserve">Manner of storage, treatment and disposal of waste. </w:t>
      </w:r>
    </w:p>
    <w:p w14:paraId="6FFE0C02" w14:textId="4B04B7FB" w:rsidR="0095474C" w:rsidRPr="00ED4D49" w:rsidRDefault="0095474C" w:rsidP="0095474C">
      <w:pPr>
        <w:jc w:val="both"/>
        <w:rPr>
          <w:lang w:val="en-US"/>
        </w:rPr>
      </w:pPr>
      <w:r w:rsidRPr="00ED4D49">
        <w:rPr>
          <w:lang w:val="en-US"/>
        </w:rPr>
        <w:t xml:space="preserve">Categories of waste which may be generated as a result of the activities potentially covered by this Project, pursuant to the </w:t>
      </w:r>
      <w:r w:rsidR="001932CA" w:rsidRPr="00ED4D49">
        <w:rPr>
          <w:lang w:val="en-US"/>
        </w:rPr>
        <w:t>Regulation</w:t>
      </w:r>
      <w:r w:rsidRPr="00ED4D49">
        <w:rPr>
          <w:lang w:val="en-US"/>
        </w:rPr>
        <w:t xml:space="preserve"> on Waste Categories, Testing and Classification</w:t>
      </w:r>
      <w:r w:rsidRPr="00ED4D49">
        <w:rPr>
          <w:rStyle w:val="FootnoteReference"/>
          <w:rFonts w:cs="Calibri"/>
          <w:szCs w:val="24"/>
          <w:lang w:val="en-US"/>
        </w:rPr>
        <w:footnoteReference w:id="51"/>
      </w:r>
      <w:r w:rsidRPr="00ED4D49">
        <w:rPr>
          <w:lang w:val="en-US"/>
        </w:rPr>
        <w:t xml:space="preserve"> are specified below.</w:t>
      </w:r>
    </w:p>
    <w:p w14:paraId="001FAC28" w14:textId="416D7AF1" w:rsidR="0095474C" w:rsidRPr="00ED4D49" w:rsidRDefault="0095474C" w:rsidP="0095474C">
      <w:pPr>
        <w:pStyle w:val="Caption"/>
        <w:rPr>
          <w:rFonts w:cs="Calibri"/>
          <w:b w:val="0"/>
          <w:i/>
          <w:color w:val="auto"/>
          <w:sz w:val="16"/>
          <w:szCs w:val="24"/>
        </w:rPr>
      </w:pPr>
      <w:bookmarkStart w:id="189" w:name="_Toc28188042"/>
      <w:r w:rsidRPr="00ED4D49">
        <w:rPr>
          <w:b w:val="0"/>
          <w:bCs w:val="0"/>
          <w:i/>
          <w:iCs/>
          <w:color w:val="1F3864"/>
          <w:sz w:val="16"/>
          <w:szCs w:val="16"/>
        </w:rPr>
        <w:t xml:space="preserve">Table </w:t>
      </w:r>
      <w:r w:rsidRPr="00ED4D49">
        <w:rPr>
          <w:b w:val="0"/>
          <w:bCs w:val="0"/>
          <w:i/>
          <w:iCs/>
          <w:color w:val="1F3864"/>
          <w:sz w:val="16"/>
          <w:szCs w:val="16"/>
        </w:rPr>
        <w:fldChar w:fldCharType="begin"/>
      </w:r>
      <w:r w:rsidRPr="00ED4D49">
        <w:rPr>
          <w:b w:val="0"/>
          <w:bCs w:val="0"/>
          <w:i/>
          <w:iCs/>
          <w:color w:val="1F3864"/>
          <w:sz w:val="16"/>
          <w:szCs w:val="16"/>
        </w:rPr>
        <w:instrText xml:space="preserve"> SEQ Table \* ARABIC </w:instrText>
      </w:r>
      <w:r w:rsidRPr="00ED4D49">
        <w:rPr>
          <w:b w:val="0"/>
          <w:bCs w:val="0"/>
          <w:i/>
          <w:iCs/>
          <w:color w:val="1F3864"/>
          <w:sz w:val="16"/>
          <w:szCs w:val="16"/>
        </w:rPr>
        <w:fldChar w:fldCharType="separate"/>
      </w:r>
      <w:r w:rsidR="00F60130" w:rsidRPr="00ED4D49">
        <w:rPr>
          <w:b w:val="0"/>
          <w:bCs w:val="0"/>
          <w:i/>
          <w:iCs/>
          <w:noProof/>
          <w:color w:val="1F3864"/>
          <w:sz w:val="16"/>
          <w:szCs w:val="16"/>
        </w:rPr>
        <w:t>17</w:t>
      </w:r>
      <w:r w:rsidRPr="00ED4D49">
        <w:rPr>
          <w:b w:val="0"/>
          <w:bCs w:val="0"/>
          <w:i/>
          <w:iCs/>
          <w:color w:val="1F3864"/>
          <w:sz w:val="16"/>
          <w:szCs w:val="16"/>
        </w:rPr>
        <w:fldChar w:fldCharType="end"/>
      </w:r>
      <w:r w:rsidRPr="00ED4D49">
        <w:rPr>
          <w:rFonts w:cs="Calibri"/>
          <w:b w:val="0"/>
          <w:i/>
          <w:color w:val="1F3864"/>
          <w:sz w:val="16"/>
        </w:rPr>
        <w:t>:</w:t>
      </w:r>
      <w:r w:rsidRPr="00ED4D49">
        <w:rPr>
          <w:rFonts w:cs="Calibri"/>
          <w:b w:val="0"/>
          <w:i/>
          <w:color w:val="auto"/>
          <w:sz w:val="16"/>
        </w:rPr>
        <w:t xml:space="preserve"> Waste from the Activities Potentially Covered by the Project – RS</w:t>
      </w:r>
      <w:bookmarkEnd w:id="189"/>
      <w:r w:rsidRPr="00ED4D49">
        <w:rPr>
          <w:rFonts w:cs="Calibri"/>
          <w:b w:val="0"/>
          <w:i/>
          <w:color w:val="auto"/>
          <w:sz w:val="16"/>
        </w:rPr>
        <w:t xml:space="preserve"> </w:t>
      </w:r>
    </w:p>
    <w:tbl>
      <w:tblPr>
        <w:tblW w:w="4998"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6686"/>
        <w:gridCol w:w="2320"/>
      </w:tblGrid>
      <w:tr w:rsidR="0095474C" w:rsidRPr="00ED4D49" w14:paraId="614DD322" w14:textId="77777777" w:rsidTr="007500D0">
        <w:trPr>
          <w:tblHeader/>
        </w:trPr>
        <w:tc>
          <w:tcPr>
            <w:tcW w:w="3712" w:type="pct"/>
            <w:shd w:val="clear" w:color="auto" w:fill="auto"/>
          </w:tcPr>
          <w:p w14:paraId="5A1C1EB8" w14:textId="77777777" w:rsidR="0095474C" w:rsidRPr="00ED4D49" w:rsidRDefault="0095474C" w:rsidP="007500D0">
            <w:pPr>
              <w:spacing w:before="0" w:after="0"/>
              <w:ind w:left="144" w:right="144"/>
              <w:jc w:val="both"/>
              <w:rPr>
                <w:rFonts w:cs="Calibri"/>
                <w:color w:val="336699"/>
                <w:sz w:val="16"/>
                <w:szCs w:val="16"/>
                <w:lang w:val="en-US"/>
              </w:rPr>
            </w:pPr>
            <w:r w:rsidRPr="00ED4D49">
              <w:rPr>
                <w:rFonts w:cs="Calibri"/>
                <w:color w:val="336699"/>
                <w:sz w:val="16"/>
                <w:szCs w:val="16"/>
                <w:lang w:val="en-US"/>
              </w:rPr>
              <w:t>Activity from which the Waste Originates</w:t>
            </w:r>
          </w:p>
        </w:tc>
        <w:tc>
          <w:tcPr>
            <w:tcW w:w="1288" w:type="pct"/>
            <w:shd w:val="clear" w:color="auto" w:fill="auto"/>
          </w:tcPr>
          <w:p w14:paraId="03D36EC9" w14:textId="678AA2F1" w:rsidR="0095474C" w:rsidRPr="00ED4D49" w:rsidRDefault="001932CA" w:rsidP="007500D0">
            <w:pPr>
              <w:spacing w:before="0" w:after="0"/>
              <w:ind w:left="144" w:right="144"/>
              <w:rPr>
                <w:rFonts w:cs="Calibri"/>
                <w:color w:val="336699"/>
                <w:sz w:val="16"/>
                <w:szCs w:val="16"/>
                <w:lang w:val="en-US"/>
              </w:rPr>
            </w:pPr>
            <w:r w:rsidRPr="00ED4D49">
              <w:rPr>
                <w:rFonts w:cs="Calibri"/>
                <w:color w:val="336699"/>
                <w:sz w:val="16"/>
                <w:szCs w:val="16"/>
                <w:lang w:val="en-US"/>
              </w:rPr>
              <w:t>Regulation</w:t>
            </w:r>
            <w:r w:rsidR="0095474C" w:rsidRPr="00ED4D49">
              <w:rPr>
                <w:rFonts w:cs="Calibri"/>
                <w:color w:val="336699"/>
                <w:sz w:val="16"/>
                <w:szCs w:val="16"/>
                <w:lang w:val="en-US"/>
              </w:rPr>
              <w:t xml:space="preserve"> Code </w:t>
            </w:r>
          </w:p>
        </w:tc>
      </w:tr>
      <w:tr w:rsidR="0095474C" w:rsidRPr="00ED4D49" w14:paraId="0A56DAE1" w14:textId="77777777" w:rsidTr="007500D0">
        <w:tc>
          <w:tcPr>
            <w:tcW w:w="3712" w:type="pct"/>
            <w:shd w:val="clear" w:color="auto" w:fill="auto"/>
          </w:tcPr>
          <w:p w14:paraId="01A9AF73" w14:textId="77777777" w:rsidR="0095474C" w:rsidRPr="00ED4D49" w:rsidRDefault="0095474C" w:rsidP="007500D0">
            <w:pPr>
              <w:spacing w:before="0" w:after="0"/>
              <w:ind w:left="144" w:right="144"/>
              <w:rPr>
                <w:rFonts w:cs="Calibri"/>
                <w:sz w:val="16"/>
                <w:szCs w:val="16"/>
                <w:lang w:val="en-US"/>
              </w:rPr>
            </w:pPr>
            <w:r w:rsidRPr="00ED4D49">
              <w:rPr>
                <w:rFonts w:cs="Calibri"/>
                <w:sz w:val="16"/>
                <w:szCs w:val="16"/>
                <w:lang w:val="en-US"/>
              </w:rPr>
              <w:t xml:space="preserve">Construction waste and demolition waste </w:t>
            </w:r>
          </w:p>
        </w:tc>
        <w:tc>
          <w:tcPr>
            <w:tcW w:w="1288" w:type="pct"/>
            <w:shd w:val="clear" w:color="auto" w:fill="auto"/>
          </w:tcPr>
          <w:p w14:paraId="65BC7810" w14:textId="77777777" w:rsidR="0095474C" w:rsidRPr="00ED4D49" w:rsidRDefault="0095474C" w:rsidP="007500D0">
            <w:pPr>
              <w:spacing w:before="0" w:after="0"/>
              <w:ind w:left="144" w:right="144"/>
              <w:rPr>
                <w:rFonts w:cs="Calibri"/>
                <w:sz w:val="16"/>
                <w:szCs w:val="16"/>
                <w:lang w:val="en-US"/>
              </w:rPr>
            </w:pPr>
            <w:r w:rsidRPr="00ED4D49">
              <w:rPr>
                <w:rFonts w:cs="Calibri"/>
                <w:sz w:val="16"/>
                <w:szCs w:val="16"/>
                <w:lang w:val="en-US"/>
              </w:rPr>
              <w:t>17 00 00</w:t>
            </w:r>
          </w:p>
        </w:tc>
      </w:tr>
      <w:tr w:rsidR="0095474C" w:rsidRPr="00ED4D49" w14:paraId="6AE5ABDA" w14:textId="77777777" w:rsidTr="007500D0">
        <w:tc>
          <w:tcPr>
            <w:tcW w:w="3712" w:type="pct"/>
            <w:shd w:val="clear" w:color="auto" w:fill="auto"/>
          </w:tcPr>
          <w:p w14:paraId="4117993E" w14:textId="77777777" w:rsidR="0095474C" w:rsidRPr="00ED4D49" w:rsidRDefault="0095474C" w:rsidP="007500D0">
            <w:pPr>
              <w:spacing w:before="0" w:after="0"/>
              <w:ind w:left="144" w:right="144"/>
              <w:rPr>
                <w:rFonts w:cs="Calibri"/>
                <w:sz w:val="16"/>
                <w:szCs w:val="16"/>
                <w:lang w:val="en-US"/>
              </w:rPr>
            </w:pPr>
            <w:r w:rsidRPr="00ED4D49">
              <w:rPr>
                <w:rFonts w:cs="Calibri"/>
                <w:sz w:val="16"/>
                <w:szCs w:val="16"/>
                <w:lang w:val="en-US"/>
              </w:rPr>
              <w:t xml:space="preserve">Municipal waste and similar waste from industrial facilities and small craft, including separately collected fractions </w:t>
            </w:r>
          </w:p>
        </w:tc>
        <w:tc>
          <w:tcPr>
            <w:tcW w:w="1288" w:type="pct"/>
            <w:shd w:val="clear" w:color="auto" w:fill="auto"/>
          </w:tcPr>
          <w:p w14:paraId="415EBF82" w14:textId="77777777" w:rsidR="0095474C" w:rsidRPr="00ED4D49" w:rsidRDefault="0095474C" w:rsidP="007500D0">
            <w:pPr>
              <w:spacing w:before="0" w:after="0"/>
              <w:ind w:left="144" w:right="144"/>
              <w:rPr>
                <w:rFonts w:cs="Calibri"/>
                <w:sz w:val="16"/>
                <w:szCs w:val="16"/>
                <w:lang w:val="en-US"/>
              </w:rPr>
            </w:pPr>
            <w:r w:rsidRPr="00ED4D49">
              <w:rPr>
                <w:rFonts w:cs="Calibri"/>
                <w:sz w:val="16"/>
                <w:szCs w:val="16"/>
                <w:lang w:val="en-US"/>
              </w:rPr>
              <w:t xml:space="preserve">20 00 00 </w:t>
            </w:r>
          </w:p>
        </w:tc>
      </w:tr>
    </w:tbl>
    <w:p w14:paraId="07FEAAEE" w14:textId="77777777" w:rsidR="0095474C" w:rsidRPr="00ED4D49" w:rsidRDefault="0095474C" w:rsidP="0095474C">
      <w:pPr>
        <w:spacing w:after="0"/>
        <w:jc w:val="both"/>
        <w:rPr>
          <w:rFonts w:cs="Calibri"/>
          <w:color w:val="1F497D"/>
          <w:lang w:val="en-US"/>
        </w:rPr>
      </w:pPr>
    </w:p>
    <w:p w14:paraId="036CDAA2" w14:textId="058F3C08" w:rsidR="00ED57DC" w:rsidRPr="00ED4D49" w:rsidRDefault="00ED57DC" w:rsidP="00ED57DC">
      <w:pPr>
        <w:spacing w:after="0"/>
        <w:jc w:val="both"/>
        <w:rPr>
          <w:rFonts w:cs="Calibri"/>
          <w:color w:val="1F497D"/>
          <w:lang w:val="en-US"/>
        </w:rPr>
      </w:pPr>
      <w:r w:rsidRPr="00ED4D49">
        <w:rPr>
          <w:rFonts w:cs="Calibri"/>
          <w:color w:val="1F497D"/>
          <w:lang w:val="en-US"/>
        </w:rPr>
        <w:t xml:space="preserve">Waste Management Regulations in </w:t>
      </w:r>
      <w:r w:rsidR="00387D38" w:rsidRPr="00ED4D49">
        <w:rPr>
          <w:rFonts w:cs="Calibri"/>
          <w:color w:val="1F497D"/>
          <w:lang w:val="en-US"/>
        </w:rPr>
        <w:t>BD</w:t>
      </w:r>
    </w:p>
    <w:p w14:paraId="020C1913" w14:textId="593A21F6" w:rsidR="00ED57DC" w:rsidRPr="00ED4D49" w:rsidRDefault="00ED57DC" w:rsidP="00ED57DC">
      <w:pPr>
        <w:spacing w:before="0" w:after="0"/>
        <w:jc w:val="both"/>
        <w:rPr>
          <w:rFonts w:cs="Calibri"/>
          <w:szCs w:val="24"/>
          <w:lang w:val="en-US"/>
        </w:rPr>
      </w:pPr>
      <w:r w:rsidRPr="00ED4D49">
        <w:rPr>
          <w:lang w:val="en-US"/>
        </w:rPr>
        <w:t xml:space="preserve">In BD, </w:t>
      </w:r>
      <w:r w:rsidRPr="00ED4D49">
        <w:rPr>
          <w:rFonts w:cs="Calibri"/>
          <w:szCs w:val="24"/>
          <w:lang w:val="en-US"/>
        </w:rPr>
        <w:t xml:space="preserve">pursuant to the </w:t>
      </w:r>
      <w:r w:rsidRPr="00ED4D49">
        <w:rPr>
          <w:rFonts w:cs="Calibri"/>
          <w:i/>
          <w:iCs/>
          <w:szCs w:val="24"/>
          <w:lang w:val="en-US"/>
        </w:rPr>
        <w:t>Law on Waste Management</w:t>
      </w:r>
      <w:r w:rsidRPr="00ED4D49">
        <w:rPr>
          <w:rStyle w:val="FootnoteReference"/>
          <w:rFonts w:cs="Calibri"/>
          <w:szCs w:val="24"/>
          <w:lang w:val="en-US"/>
        </w:rPr>
        <w:footnoteReference w:id="52"/>
      </w:r>
      <w:r w:rsidRPr="00ED4D49">
        <w:rPr>
          <w:rFonts w:cs="Calibri"/>
          <w:szCs w:val="24"/>
          <w:lang w:val="en-US"/>
        </w:rPr>
        <w:t>,</w:t>
      </w:r>
      <w:r w:rsidRPr="00ED4D49">
        <w:rPr>
          <w:lang w:val="en-US"/>
        </w:rPr>
        <w:t xml:space="preserve"> </w:t>
      </w:r>
      <w:r w:rsidR="00F677B5" w:rsidRPr="00ED4D49">
        <w:rPr>
          <w:lang w:val="en-US"/>
        </w:rPr>
        <w:t>a</w:t>
      </w:r>
      <w:r w:rsidRPr="00ED4D49">
        <w:rPr>
          <w:lang w:val="en-US"/>
        </w:rPr>
        <w:t xml:space="preserve"> Waste Management Plan has to be enclosed to the Request for the Environmental Permit. </w:t>
      </w:r>
      <w:r w:rsidRPr="00ED4D49">
        <w:rPr>
          <w:rFonts w:cs="Calibri"/>
          <w:szCs w:val="24"/>
          <w:lang w:val="en-US"/>
        </w:rPr>
        <w:t>The Plan contain</w:t>
      </w:r>
      <w:r w:rsidR="00F677B5" w:rsidRPr="00ED4D49">
        <w:rPr>
          <w:rFonts w:cs="Calibri"/>
          <w:szCs w:val="24"/>
          <w:lang w:val="en-US"/>
        </w:rPr>
        <w:t>s</w:t>
      </w:r>
      <w:r w:rsidRPr="00ED4D49">
        <w:rPr>
          <w:rFonts w:cs="Calibri"/>
          <w:szCs w:val="24"/>
          <w:lang w:val="en-US"/>
        </w:rPr>
        <w:t xml:space="preserve"> the following: </w:t>
      </w:r>
    </w:p>
    <w:p w14:paraId="252AA56D" w14:textId="6F51689B" w:rsidR="00ED57DC" w:rsidRPr="00ED4D49" w:rsidRDefault="00ED57DC" w:rsidP="00ED57DC">
      <w:pPr>
        <w:pStyle w:val="ListParagraph"/>
        <w:numPr>
          <w:ilvl w:val="0"/>
          <w:numId w:val="4"/>
        </w:numPr>
        <w:spacing w:after="160"/>
        <w:jc w:val="both"/>
        <w:rPr>
          <w:rFonts w:cs="Calibri"/>
          <w:sz w:val="20"/>
          <w:szCs w:val="20"/>
        </w:rPr>
      </w:pPr>
      <w:r w:rsidRPr="00ED4D49">
        <w:rPr>
          <w:rFonts w:cs="Calibri"/>
          <w:sz w:val="20"/>
          <w:szCs w:val="20"/>
        </w:rPr>
        <w:t>Documentation on waste generated by the company, the return of which is made in the company or whose disposal is carried out by the company (type, composition and quantity of waste</w:t>
      </w:r>
      <w:r w:rsidR="00B71C89" w:rsidRPr="00ED4D49">
        <w:rPr>
          <w:rFonts w:cs="Calibri"/>
          <w:sz w:val="20"/>
          <w:szCs w:val="20"/>
        </w:rPr>
        <w:t>),</w:t>
      </w:r>
    </w:p>
    <w:p w14:paraId="701910ED" w14:textId="77777777" w:rsidR="00ED57DC" w:rsidRPr="00ED4D49" w:rsidRDefault="00ED57DC" w:rsidP="00ED57DC">
      <w:pPr>
        <w:pStyle w:val="ListParagraph"/>
        <w:numPr>
          <w:ilvl w:val="0"/>
          <w:numId w:val="4"/>
        </w:numPr>
        <w:spacing w:after="160"/>
        <w:jc w:val="both"/>
        <w:rPr>
          <w:rFonts w:cs="Calibri"/>
          <w:sz w:val="20"/>
          <w:szCs w:val="20"/>
        </w:rPr>
      </w:pPr>
      <w:r w:rsidRPr="00ED4D49">
        <w:rPr>
          <w:rFonts w:cs="Calibri"/>
          <w:sz w:val="20"/>
          <w:szCs w:val="20"/>
        </w:rPr>
        <w:t>Measures to be taken to limit waste generation, particularly in case of hazardous waste,</w:t>
      </w:r>
    </w:p>
    <w:p w14:paraId="0CAB4C23" w14:textId="77777777" w:rsidR="00ED57DC" w:rsidRPr="00ED4D49" w:rsidRDefault="00ED57DC" w:rsidP="00ED57DC">
      <w:pPr>
        <w:pStyle w:val="ListParagraph"/>
        <w:numPr>
          <w:ilvl w:val="0"/>
          <w:numId w:val="4"/>
        </w:numPr>
        <w:spacing w:after="160"/>
        <w:jc w:val="both"/>
        <w:rPr>
          <w:rFonts w:cs="Calibri"/>
          <w:sz w:val="20"/>
          <w:szCs w:val="20"/>
        </w:rPr>
      </w:pPr>
      <w:r w:rsidRPr="00ED4D49">
        <w:rPr>
          <w:rFonts w:cs="Calibri"/>
          <w:sz w:val="20"/>
          <w:szCs w:val="20"/>
        </w:rPr>
        <w:t>Separation of waste, especially separation of hazardous and other types of waste from the waste to be reused,</w:t>
      </w:r>
    </w:p>
    <w:p w14:paraId="22948DE5" w14:textId="4B40B28A" w:rsidR="00ED57DC" w:rsidRPr="00ED4D49" w:rsidRDefault="00F677B5" w:rsidP="00ED57DC">
      <w:pPr>
        <w:pStyle w:val="ListParagraph"/>
        <w:numPr>
          <w:ilvl w:val="0"/>
          <w:numId w:val="4"/>
        </w:numPr>
        <w:spacing w:after="160"/>
        <w:jc w:val="both"/>
        <w:rPr>
          <w:rFonts w:cs="Calibri"/>
          <w:sz w:val="20"/>
          <w:szCs w:val="20"/>
        </w:rPr>
      </w:pPr>
      <w:r w:rsidRPr="00ED4D49">
        <w:rPr>
          <w:rFonts w:cs="Calibri"/>
          <w:sz w:val="20"/>
          <w:szCs w:val="20"/>
        </w:rPr>
        <w:t>Landfilling of waste</w:t>
      </w:r>
      <w:r w:rsidR="00ED57DC" w:rsidRPr="00ED4D49">
        <w:rPr>
          <w:rFonts w:cs="Calibri"/>
          <w:sz w:val="20"/>
          <w:szCs w:val="20"/>
        </w:rPr>
        <w:t>,</w:t>
      </w:r>
    </w:p>
    <w:p w14:paraId="38143FFE" w14:textId="77777777" w:rsidR="00ED57DC" w:rsidRPr="00ED4D49" w:rsidRDefault="00ED57DC" w:rsidP="00ED57DC">
      <w:pPr>
        <w:pStyle w:val="ListParagraph"/>
        <w:numPr>
          <w:ilvl w:val="0"/>
          <w:numId w:val="4"/>
        </w:numPr>
        <w:spacing w:after="160"/>
        <w:jc w:val="both"/>
        <w:rPr>
          <w:rFonts w:cs="Calibri"/>
          <w:sz w:val="20"/>
          <w:szCs w:val="20"/>
        </w:rPr>
      </w:pPr>
      <w:r w:rsidRPr="00ED4D49">
        <w:rPr>
          <w:rFonts w:cs="Calibri"/>
          <w:sz w:val="20"/>
          <w:szCs w:val="20"/>
        </w:rPr>
        <w:t>Manner of storage, treatment and disposal of waste.</w:t>
      </w:r>
    </w:p>
    <w:p w14:paraId="7BE7B6C8" w14:textId="16E7F769" w:rsidR="00ED57DC" w:rsidRPr="00ED4D49" w:rsidRDefault="00ED57DC" w:rsidP="00ED57DC">
      <w:pPr>
        <w:jc w:val="both"/>
        <w:rPr>
          <w:lang w:val="en-US"/>
        </w:rPr>
      </w:pPr>
      <w:r w:rsidRPr="00ED4D49">
        <w:rPr>
          <w:lang w:val="en-US"/>
        </w:rPr>
        <w:t xml:space="preserve">Categories of waste which may be generated as a result of the activities potentially covered by this Project, pursuant to the </w:t>
      </w:r>
      <w:r w:rsidR="001932CA" w:rsidRPr="00ED4D49">
        <w:rPr>
          <w:lang w:val="en-US"/>
        </w:rPr>
        <w:t>Regulation</w:t>
      </w:r>
      <w:r w:rsidRPr="00ED4D49">
        <w:rPr>
          <w:lang w:val="en-US"/>
        </w:rPr>
        <w:t xml:space="preserve"> on Waste Categories with Lists</w:t>
      </w:r>
      <w:r w:rsidRPr="00ED4D49">
        <w:rPr>
          <w:rStyle w:val="FootnoteReference"/>
          <w:rFonts w:cs="Calibri"/>
          <w:szCs w:val="24"/>
          <w:lang w:val="en-US"/>
        </w:rPr>
        <w:footnoteReference w:id="53"/>
      </w:r>
      <w:r w:rsidR="00F677B5" w:rsidRPr="00ED4D49">
        <w:rPr>
          <w:lang w:val="en-US"/>
        </w:rPr>
        <w:t>,</w:t>
      </w:r>
      <w:r w:rsidRPr="00ED4D49">
        <w:rPr>
          <w:lang w:val="en-US"/>
        </w:rPr>
        <w:t xml:space="preserve"> are specified below.</w:t>
      </w:r>
    </w:p>
    <w:p w14:paraId="035C09C0" w14:textId="5C01C90B" w:rsidR="00ED57DC" w:rsidRPr="00ED4D49" w:rsidRDefault="00ED57DC" w:rsidP="00ED57DC">
      <w:pPr>
        <w:pStyle w:val="Caption"/>
        <w:rPr>
          <w:rFonts w:cs="Calibri"/>
          <w:b w:val="0"/>
          <w:i/>
          <w:color w:val="auto"/>
          <w:sz w:val="16"/>
          <w:szCs w:val="24"/>
        </w:rPr>
      </w:pPr>
      <w:bookmarkStart w:id="190" w:name="_Toc28188043"/>
      <w:r w:rsidRPr="00ED4D49">
        <w:rPr>
          <w:b w:val="0"/>
          <w:bCs w:val="0"/>
          <w:i/>
          <w:iCs/>
          <w:color w:val="1F3864"/>
          <w:sz w:val="16"/>
          <w:szCs w:val="16"/>
        </w:rPr>
        <w:t xml:space="preserve">Table </w:t>
      </w:r>
      <w:r w:rsidRPr="00ED4D49">
        <w:rPr>
          <w:b w:val="0"/>
          <w:bCs w:val="0"/>
          <w:i/>
          <w:iCs/>
          <w:color w:val="1F3864"/>
          <w:sz w:val="16"/>
          <w:szCs w:val="16"/>
        </w:rPr>
        <w:fldChar w:fldCharType="begin"/>
      </w:r>
      <w:r w:rsidRPr="00ED4D49">
        <w:rPr>
          <w:b w:val="0"/>
          <w:bCs w:val="0"/>
          <w:i/>
          <w:iCs/>
          <w:color w:val="1F3864"/>
          <w:sz w:val="16"/>
          <w:szCs w:val="16"/>
        </w:rPr>
        <w:instrText xml:space="preserve"> SEQ Table \* ARABIC </w:instrText>
      </w:r>
      <w:r w:rsidRPr="00ED4D49">
        <w:rPr>
          <w:b w:val="0"/>
          <w:bCs w:val="0"/>
          <w:i/>
          <w:iCs/>
          <w:color w:val="1F3864"/>
          <w:sz w:val="16"/>
          <w:szCs w:val="16"/>
        </w:rPr>
        <w:fldChar w:fldCharType="separate"/>
      </w:r>
      <w:r w:rsidR="00F60130" w:rsidRPr="00ED4D49">
        <w:rPr>
          <w:b w:val="0"/>
          <w:bCs w:val="0"/>
          <w:i/>
          <w:iCs/>
          <w:noProof/>
          <w:color w:val="1F3864"/>
          <w:sz w:val="16"/>
          <w:szCs w:val="16"/>
        </w:rPr>
        <w:t>18</w:t>
      </w:r>
      <w:r w:rsidRPr="00ED4D49">
        <w:rPr>
          <w:b w:val="0"/>
          <w:bCs w:val="0"/>
          <w:i/>
          <w:iCs/>
          <w:color w:val="1F3864"/>
          <w:sz w:val="16"/>
          <w:szCs w:val="16"/>
        </w:rPr>
        <w:fldChar w:fldCharType="end"/>
      </w:r>
      <w:r w:rsidRPr="00ED4D49">
        <w:rPr>
          <w:rFonts w:cs="Calibri"/>
          <w:b w:val="0"/>
          <w:i/>
          <w:color w:val="1F3864"/>
          <w:sz w:val="16"/>
        </w:rPr>
        <w:t>:</w:t>
      </w:r>
      <w:r w:rsidRPr="00ED4D49">
        <w:rPr>
          <w:rFonts w:cs="Calibri"/>
          <w:b w:val="0"/>
          <w:i/>
          <w:color w:val="auto"/>
          <w:sz w:val="16"/>
        </w:rPr>
        <w:t xml:space="preserve"> Waste from the Activities Potentially Covered by the Project – BD BiH</w:t>
      </w:r>
      <w:bookmarkEnd w:id="190"/>
      <w:r w:rsidRPr="00ED4D49">
        <w:rPr>
          <w:rFonts w:cs="Calibri"/>
          <w:b w:val="0"/>
          <w:i/>
          <w:color w:val="auto"/>
          <w:sz w:val="16"/>
        </w:rPr>
        <w:t xml:space="preserve"> </w:t>
      </w:r>
    </w:p>
    <w:tbl>
      <w:tblPr>
        <w:tblW w:w="4998"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6686"/>
        <w:gridCol w:w="2320"/>
      </w:tblGrid>
      <w:tr w:rsidR="00ED57DC" w:rsidRPr="00ED4D49" w14:paraId="3EFEBA90" w14:textId="77777777" w:rsidTr="00ED57DC">
        <w:trPr>
          <w:tblHeader/>
        </w:trPr>
        <w:tc>
          <w:tcPr>
            <w:tcW w:w="3712" w:type="pct"/>
            <w:shd w:val="clear" w:color="auto" w:fill="auto"/>
          </w:tcPr>
          <w:p w14:paraId="7CEEBE39" w14:textId="77777777" w:rsidR="00ED57DC" w:rsidRPr="00ED4D49" w:rsidRDefault="00ED57DC" w:rsidP="00ED57DC">
            <w:pPr>
              <w:spacing w:before="0" w:after="0"/>
              <w:ind w:left="144" w:right="144"/>
              <w:jc w:val="both"/>
              <w:rPr>
                <w:rFonts w:cs="Calibri"/>
                <w:color w:val="336699"/>
                <w:sz w:val="16"/>
                <w:szCs w:val="16"/>
                <w:lang w:val="en-US"/>
              </w:rPr>
            </w:pPr>
            <w:r w:rsidRPr="00ED4D49">
              <w:rPr>
                <w:rFonts w:cs="Calibri"/>
                <w:color w:val="336699"/>
                <w:sz w:val="16"/>
                <w:szCs w:val="16"/>
                <w:lang w:val="en-US"/>
              </w:rPr>
              <w:t>Activity from which the Waste Originates</w:t>
            </w:r>
          </w:p>
        </w:tc>
        <w:tc>
          <w:tcPr>
            <w:tcW w:w="1288" w:type="pct"/>
            <w:shd w:val="clear" w:color="auto" w:fill="auto"/>
          </w:tcPr>
          <w:p w14:paraId="6E0488BD" w14:textId="592EE333" w:rsidR="00ED57DC" w:rsidRPr="00ED4D49" w:rsidRDefault="001932CA" w:rsidP="00ED57DC">
            <w:pPr>
              <w:spacing w:before="0" w:after="0"/>
              <w:ind w:left="144" w:right="144"/>
              <w:rPr>
                <w:rFonts w:cs="Calibri"/>
                <w:color w:val="336699"/>
                <w:sz w:val="16"/>
                <w:szCs w:val="16"/>
                <w:lang w:val="en-US"/>
              </w:rPr>
            </w:pPr>
            <w:r w:rsidRPr="00ED4D49">
              <w:rPr>
                <w:rFonts w:cs="Calibri"/>
                <w:color w:val="336699"/>
                <w:sz w:val="16"/>
                <w:szCs w:val="16"/>
                <w:lang w:val="en-US"/>
              </w:rPr>
              <w:t>Regulation</w:t>
            </w:r>
            <w:r w:rsidR="00ED57DC" w:rsidRPr="00ED4D49">
              <w:rPr>
                <w:rFonts w:cs="Calibri"/>
                <w:color w:val="336699"/>
                <w:sz w:val="16"/>
                <w:szCs w:val="16"/>
                <w:lang w:val="en-US"/>
              </w:rPr>
              <w:t xml:space="preserve"> Code </w:t>
            </w:r>
          </w:p>
        </w:tc>
      </w:tr>
      <w:tr w:rsidR="00ED57DC" w:rsidRPr="00ED4D49" w14:paraId="545FB2FF" w14:textId="77777777" w:rsidTr="00ED57DC">
        <w:tc>
          <w:tcPr>
            <w:tcW w:w="3712" w:type="pct"/>
            <w:shd w:val="clear" w:color="auto" w:fill="auto"/>
          </w:tcPr>
          <w:p w14:paraId="4D48028C" w14:textId="77777777" w:rsidR="00ED57DC" w:rsidRPr="00ED4D49" w:rsidRDefault="00ED57DC" w:rsidP="00ED57DC">
            <w:pPr>
              <w:spacing w:before="0" w:after="0"/>
              <w:ind w:left="144" w:right="144"/>
              <w:rPr>
                <w:rFonts w:cs="Calibri"/>
                <w:sz w:val="16"/>
                <w:szCs w:val="16"/>
                <w:lang w:val="en-US"/>
              </w:rPr>
            </w:pPr>
            <w:r w:rsidRPr="00ED4D49">
              <w:rPr>
                <w:rFonts w:cs="Calibri"/>
                <w:sz w:val="16"/>
                <w:szCs w:val="16"/>
                <w:lang w:val="en-US"/>
              </w:rPr>
              <w:t xml:space="preserve">Construction waste and demolition waste </w:t>
            </w:r>
          </w:p>
        </w:tc>
        <w:tc>
          <w:tcPr>
            <w:tcW w:w="1288" w:type="pct"/>
            <w:shd w:val="clear" w:color="auto" w:fill="auto"/>
          </w:tcPr>
          <w:p w14:paraId="5E96A5B3" w14:textId="77777777" w:rsidR="00ED57DC" w:rsidRPr="00ED4D49" w:rsidRDefault="00ED57DC" w:rsidP="00ED57DC">
            <w:pPr>
              <w:spacing w:before="0" w:after="0"/>
              <w:ind w:left="144" w:right="144"/>
              <w:rPr>
                <w:rFonts w:cs="Calibri"/>
                <w:sz w:val="16"/>
                <w:szCs w:val="16"/>
                <w:lang w:val="en-US"/>
              </w:rPr>
            </w:pPr>
            <w:r w:rsidRPr="00ED4D49">
              <w:rPr>
                <w:rFonts w:cs="Calibri"/>
                <w:sz w:val="16"/>
                <w:szCs w:val="16"/>
                <w:lang w:val="en-US"/>
              </w:rPr>
              <w:t>17 00 00</w:t>
            </w:r>
          </w:p>
        </w:tc>
      </w:tr>
      <w:tr w:rsidR="00ED57DC" w:rsidRPr="00ED4D49" w14:paraId="576B1A31" w14:textId="77777777" w:rsidTr="00ED57DC">
        <w:tc>
          <w:tcPr>
            <w:tcW w:w="3712" w:type="pct"/>
            <w:shd w:val="clear" w:color="auto" w:fill="auto"/>
          </w:tcPr>
          <w:p w14:paraId="7662BAD9" w14:textId="77777777" w:rsidR="00ED57DC" w:rsidRPr="00ED4D49" w:rsidRDefault="00ED57DC" w:rsidP="00ED57DC">
            <w:pPr>
              <w:spacing w:before="0" w:after="0"/>
              <w:ind w:left="144" w:right="144"/>
              <w:rPr>
                <w:rFonts w:cs="Calibri"/>
                <w:sz w:val="16"/>
                <w:szCs w:val="16"/>
                <w:lang w:val="en-US"/>
              </w:rPr>
            </w:pPr>
            <w:r w:rsidRPr="00ED4D49">
              <w:rPr>
                <w:rFonts w:cs="Calibri"/>
                <w:sz w:val="16"/>
                <w:szCs w:val="16"/>
                <w:lang w:val="en-US"/>
              </w:rPr>
              <w:t xml:space="preserve">Municipal waste and similar waste from industrial facilities and small craft, including separately collected fractions </w:t>
            </w:r>
          </w:p>
        </w:tc>
        <w:tc>
          <w:tcPr>
            <w:tcW w:w="1288" w:type="pct"/>
            <w:shd w:val="clear" w:color="auto" w:fill="auto"/>
          </w:tcPr>
          <w:p w14:paraId="44A70B58" w14:textId="77777777" w:rsidR="00ED57DC" w:rsidRPr="00ED4D49" w:rsidRDefault="00ED57DC" w:rsidP="00ED57DC">
            <w:pPr>
              <w:spacing w:before="0" w:after="0"/>
              <w:ind w:left="144" w:right="144"/>
              <w:rPr>
                <w:rFonts w:cs="Calibri"/>
                <w:sz w:val="16"/>
                <w:szCs w:val="16"/>
                <w:lang w:val="en-US"/>
              </w:rPr>
            </w:pPr>
            <w:r w:rsidRPr="00ED4D49">
              <w:rPr>
                <w:rFonts w:cs="Calibri"/>
                <w:sz w:val="16"/>
                <w:szCs w:val="16"/>
                <w:lang w:val="en-US"/>
              </w:rPr>
              <w:t xml:space="preserve">20 00 00 </w:t>
            </w:r>
          </w:p>
        </w:tc>
      </w:tr>
    </w:tbl>
    <w:p w14:paraId="24CA67E5" w14:textId="5AF779F9" w:rsidR="00ED57DC" w:rsidRPr="00ED4D49" w:rsidRDefault="00F57E67" w:rsidP="0095474C">
      <w:pPr>
        <w:pStyle w:val="Heading3"/>
      </w:pPr>
      <w:bookmarkStart w:id="191" w:name="_Ref22331381"/>
      <w:bookmarkStart w:id="192" w:name="_Toc31811090"/>
      <w:r w:rsidRPr="00ED4D49">
        <w:t>Water Management Regulations</w:t>
      </w:r>
      <w:bookmarkEnd w:id="187"/>
      <w:bookmarkEnd w:id="191"/>
      <w:bookmarkEnd w:id="192"/>
      <w:r w:rsidR="00C6478C" w:rsidRPr="00ED4D49">
        <w:t xml:space="preserve"> </w:t>
      </w:r>
    </w:p>
    <w:p w14:paraId="0605F558" w14:textId="2DC38562" w:rsidR="0095474C" w:rsidRPr="00ED4D49" w:rsidRDefault="0095474C" w:rsidP="0095474C">
      <w:pPr>
        <w:spacing w:after="0"/>
        <w:jc w:val="both"/>
        <w:rPr>
          <w:rFonts w:cs="Calibri"/>
          <w:color w:val="1F497D"/>
          <w:lang w:val="en-US"/>
        </w:rPr>
      </w:pPr>
      <w:bookmarkStart w:id="193" w:name="_Toc19223875"/>
      <w:r w:rsidRPr="00ED4D49">
        <w:rPr>
          <w:rFonts w:cs="Calibri"/>
          <w:color w:val="1F497D"/>
          <w:lang w:val="en-US"/>
        </w:rPr>
        <w:t xml:space="preserve">Water Management in </w:t>
      </w:r>
      <w:r w:rsidR="00387D38" w:rsidRPr="00ED4D49">
        <w:rPr>
          <w:rFonts w:cs="Calibri"/>
          <w:color w:val="1F497D"/>
          <w:lang w:val="en-US"/>
        </w:rPr>
        <w:t>FBiH</w:t>
      </w:r>
      <w:r w:rsidRPr="00ED4D49">
        <w:rPr>
          <w:rFonts w:cs="Calibri"/>
          <w:color w:val="1F497D"/>
          <w:lang w:val="en-US"/>
        </w:rPr>
        <w:t xml:space="preserve"> and </w:t>
      </w:r>
      <w:r w:rsidR="00387D38" w:rsidRPr="00ED4D49">
        <w:rPr>
          <w:rFonts w:cs="Calibri"/>
          <w:color w:val="1F497D"/>
          <w:lang w:val="en-US"/>
        </w:rPr>
        <w:t>RS</w:t>
      </w:r>
    </w:p>
    <w:p w14:paraId="2DA1E0ED" w14:textId="70A2CC84" w:rsidR="0095474C" w:rsidRPr="00ED4D49" w:rsidRDefault="0095474C" w:rsidP="0095474C">
      <w:pPr>
        <w:spacing w:before="0" w:after="0"/>
        <w:jc w:val="both"/>
        <w:rPr>
          <w:rFonts w:cs="Calibri"/>
          <w:szCs w:val="24"/>
          <w:lang w:val="en-US"/>
        </w:rPr>
      </w:pPr>
      <w:r w:rsidRPr="00ED4D49">
        <w:rPr>
          <w:rFonts w:cs="Calibri"/>
          <w:szCs w:val="24"/>
          <w:lang w:val="en-US"/>
        </w:rPr>
        <w:t xml:space="preserve">In FBiH, the </w:t>
      </w:r>
      <w:r w:rsidRPr="00ED4D49">
        <w:rPr>
          <w:rFonts w:cs="Calibri"/>
          <w:i/>
          <w:iCs/>
          <w:szCs w:val="24"/>
          <w:lang w:val="en-US"/>
        </w:rPr>
        <w:t>Law on Water</w:t>
      </w:r>
      <w:r w:rsidRPr="00ED4D49">
        <w:rPr>
          <w:rStyle w:val="FootnoteReference"/>
          <w:rFonts w:cs="Calibri"/>
          <w:szCs w:val="24"/>
          <w:lang w:val="en-US"/>
        </w:rPr>
        <w:footnoteReference w:id="54"/>
      </w:r>
      <w:r w:rsidRPr="00ED4D49">
        <w:rPr>
          <w:rFonts w:cs="Calibri"/>
          <w:szCs w:val="24"/>
          <w:lang w:val="en-US"/>
        </w:rPr>
        <w:t xml:space="preserve"> and, in RS, the </w:t>
      </w:r>
      <w:r w:rsidRPr="00ED4D49">
        <w:rPr>
          <w:rFonts w:cs="Calibri"/>
          <w:i/>
          <w:iCs/>
          <w:szCs w:val="24"/>
          <w:lang w:val="en-US"/>
        </w:rPr>
        <w:t>Law on Water of RS</w:t>
      </w:r>
      <w:r w:rsidRPr="00ED4D49">
        <w:rPr>
          <w:rStyle w:val="FootnoteReference"/>
          <w:rFonts w:cs="Calibri"/>
          <w:szCs w:val="24"/>
          <w:lang w:val="en-US"/>
        </w:rPr>
        <w:footnoteReference w:id="55"/>
      </w:r>
      <w:r w:rsidRPr="00ED4D49">
        <w:rPr>
          <w:rFonts w:cs="Calibri"/>
          <w:szCs w:val="24"/>
          <w:lang w:val="en-US"/>
        </w:rPr>
        <w:t xml:space="preserve"> prescribe that in case of </w:t>
      </w:r>
      <w:r w:rsidR="00B078BA" w:rsidRPr="00ED4D49">
        <w:rPr>
          <w:rFonts w:cs="Calibri"/>
          <w:szCs w:val="24"/>
          <w:lang w:val="en-US"/>
        </w:rPr>
        <w:t xml:space="preserve">a </w:t>
      </w:r>
      <w:r w:rsidRPr="00ED4D49">
        <w:rPr>
          <w:rFonts w:cs="Calibri"/>
          <w:szCs w:val="24"/>
          <w:lang w:val="en-US"/>
        </w:rPr>
        <w:t xml:space="preserve">project which includes e.g. construction of flood protection facilities, as well as any other activity which may affect volume and quality of water, the following water </w:t>
      </w:r>
      <w:r w:rsidR="0099030A" w:rsidRPr="00ED4D49">
        <w:rPr>
          <w:rFonts w:cs="Calibri"/>
          <w:szCs w:val="24"/>
          <w:lang w:val="en-US"/>
        </w:rPr>
        <w:t>management acts</w:t>
      </w:r>
      <w:r w:rsidRPr="00ED4D49">
        <w:rPr>
          <w:rFonts w:cs="Calibri"/>
          <w:szCs w:val="24"/>
          <w:lang w:val="en-US"/>
        </w:rPr>
        <w:t xml:space="preserve"> </w:t>
      </w:r>
      <w:r w:rsidR="00B078BA" w:rsidRPr="00ED4D49">
        <w:rPr>
          <w:rFonts w:cs="Calibri"/>
          <w:szCs w:val="24"/>
          <w:lang w:val="en-US"/>
        </w:rPr>
        <w:t>must</w:t>
      </w:r>
      <w:r w:rsidRPr="00ED4D49">
        <w:rPr>
          <w:rFonts w:cs="Calibri"/>
          <w:szCs w:val="24"/>
          <w:lang w:val="en-US"/>
        </w:rPr>
        <w:t xml:space="preserve"> be obtained:</w:t>
      </w:r>
      <w:r w:rsidR="00C6478C" w:rsidRPr="00ED4D49">
        <w:rPr>
          <w:rFonts w:cs="Calibri"/>
          <w:szCs w:val="24"/>
          <w:lang w:val="en-US"/>
        </w:rPr>
        <w:t xml:space="preserve"> </w:t>
      </w:r>
    </w:p>
    <w:p w14:paraId="363EA12A" w14:textId="25F8FD11" w:rsidR="0095474C" w:rsidRPr="00ED4D49" w:rsidRDefault="0095474C" w:rsidP="008D64BA">
      <w:pPr>
        <w:pStyle w:val="Bullets"/>
      </w:pPr>
      <w:r w:rsidRPr="00ED4D49">
        <w:lastRenderedPageBreak/>
        <w:t xml:space="preserve">In FBiH, Preliminary Water Approval, and in RS, Water Guidelines, which prescribe </w:t>
      </w:r>
      <w:r w:rsidR="00B078BA" w:rsidRPr="00ED4D49">
        <w:t xml:space="preserve">the </w:t>
      </w:r>
      <w:r w:rsidRPr="00ED4D49">
        <w:t xml:space="preserve">terms and conditions under which the responsible Ministry </w:t>
      </w:r>
      <w:r w:rsidR="00B078BA" w:rsidRPr="00ED4D49">
        <w:t>will</w:t>
      </w:r>
      <w:r w:rsidRPr="00ED4D49">
        <w:t xml:space="preserve"> allow </w:t>
      </w:r>
      <w:r w:rsidR="00B078BA" w:rsidRPr="00ED4D49">
        <w:t xml:space="preserve">use of </w:t>
      </w:r>
      <w:r w:rsidRPr="00ED4D49">
        <w:t>water</w:t>
      </w:r>
      <w:r w:rsidR="00AB608B" w:rsidRPr="00ED4D49">
        <w:t xml:space="preserve"> (</w:t>
      </w:r>
      <w:r w:rsidRPr="00ED4D49">
        <w:t>issued in the stage of Urban Permit and Site Requirements in FBiH and RS, respectively</w:t>
      </w:r>
      <w:r w:rsidR="00AB608B" w:rsidRPr="00ED4D49">
        <w:t>)</w:t>
      </w:r>
      <w:r w:rsidRPr="00ED4D49">
        <w:t>.</w:t>
      </w:r>
      <w:r w:rsidR="00C6478C" w:rsidRPr="00ED4D49">
        <w:t xml:space="preserve"> </w:t>
      </w:r>
    </w:p>
    <w:p w14:paraId="1BB9A386" w14:textId="3A71CE57" w:rsidR="0095474C" w:rsidRPr="00ED4D49" w:rsidRDefault="0095474C" w:rsidP="008D64BA">
      <w:pPr>
        <w:pStyle w:val="Bullets"/>
      </w:pPr>
      <w:r w:rsidRPr="00ED4D49">
        <w:t>Water Approval (in FBiH and RS) which confirms that the documentation attached to the Application for Water Approval is in compliance with the Preliminary Water Approval and Water Guidelines in FBiH and RS respectively, water regulations and planning documents</w:t>
      </w:r>
      <w:r w:rsidR="00AB608B" w:rsidRPr="00ED4D49">
        <w:t xml:space="preserve"> (</w:t>
      </w:r>
      <w:r w:rsidRPr="00ED4D49">
        <w:t xml:space="preserve">issued before </w:t>
      </w:r>
      <w:r w:rsidR="00AB608B" w:rsidRPr="00ED4D49">
        <w:t xml:space="preserve">the </w:t>
      </w:r>
      <w:r w:rsidRPr="00ED4D49">
        <w:t xml:space="preserve">Construction Permit </w:t>
      </w:r>
      <w:r w:rsidR="00AB608B" w:rsidRPr="00ED4D49">
        <w:t>in</w:t>
      </w:r>
      <w:r w:rsidRPr="00ED4D49">
        <w:t xml:space="preserve"> FBiH and RS</w:t>
      </w:r>
      <w:r w:rsidR="00AB608B" w:rsidRPr="00ED4D49">
        <w:t>)</w:t>
      </w:r>
      <w:r w:rsidRPr="00ED4D49">
        <w:t>.</w:t>
      </w:r>
    </w:p>
    <w:p w14:paraId="3BC3084C" w14:textId="51C29D4F" w:rsidR="0095474C" w:rsidRPr="00ED4D49" w:rsidRDefault="0095474C" w:rsidP="008D64BA">
      <w:pPr>
        <w:pStyle w:val="Bullets"/>
      </w:pPr>
      <w:r w:rsidRPr="00ED4D49">
        <w:t>Water Permit (in FBiH and RS) which confirms that all the requirements set in the Water Approval are met</w:t>
      </w:r>
      <w:r w:rsidR="00AB608B" w:rsidRPr="00ED4D49">
        <w:t xml:space="preserve"> (</w:t>
      </w:r>
      <w:r w:rsidRPr="00ED4D49">
        <w:t xml:space="preserve">issued before </w:t>
      </w:r>
      <w:r w:rsidR="00AB608B" w:rsidRPr="00ED4D49">
        <w:t>the</w:t>
      </w:r>
      <w:r w:rsidRPr="00ED4D49">
        <w:t xml:space="preserve"> Use Permit in FBiH and RS</w:t>
      </w:r>
      <w:r w:rsidR="00AB608B" w:rsidRPr="00ED4D49">
        <w:t>)</w:t>
      </w:r>
      <w:r w:rsidRPr="00ED4D49">
        <w:t xml:space="preserve">. </w:t>
      </w:r>
      <w:r w:rsidR="00AB608B" w:rsidRPr="00ED4D49">
        <w:t xml:space="preserve">The </w:t>
      </w:r>
      <w:r w:rsidRPr="00ED4D49">
        <w:t xml:space="preserve">Water Permit defines purpose, terms and conditions of water use, facility and plant operating regime, terms and conditions of wastewater discharge, terms and condition of solid waste and liquid waste disposal and other terms and conditions. </w:t>
      </w:r>
      <w:r w:rsidR="00AB608B" w:rsidRPr="00ED4D49">
        <w:t>It also</w:t>
      </w:r>
      <w:r w:rsidRPr="00ED4D49">
        <w:t xml:space="preserve"> defines </w:t>
      </w:r>
      <w:r w:rsidR="00AB608B" w:rsidRPr="00ED4D49">
        <w:t>the</w:t>
      </w:r>
      <w:r w:rsidRPr="00ED4D49">
        <w:t xml:space="preserve"> applicant’s obligations related to wastewater measurement, measurement frequency, quality control and records keeping on used water, as well as obligations related to water fees accounting and payment. </w:t>
      </w:r>
    </w:p>
    <w:p w14:paraId="4422236D" w14:textId="7F3151B7" w:rsidR="0095474C" w:rsidRPr="00ED4D49" w:rsidRDefault="0095474C" w:rsidP="0095474C">
      <w:pPr>
        <w:spacing w:after="0"/>
        <w:jc w:val="both"/>
        <w:rPr>
          <w:rFonts w:cs="Calibri"/>
          <w:szCs w:val="24"/>
          <w:lang w:val="en-US"/>
        </w:rPr>
      </w:pPr>
      <w:r w:rsidRPr="00ED4D49">
        <w:rPr>
          <w:rFonts w:cs="Calibri"/>
          <w:szCs w:val="24"/>
          <w:lang w:val="en-US"/>
        </w:rPr>
        <w:t xml:space="preserve">In FBiH, water documentation is issued pursuant to the </w:t>
      </w:r>
      <w:r w:rsidR="001932CA" w:rsidRPr="00ED4D49">
        <w:rPr>
          <w:rFonts w:cs="Calibri"/>
          <w:szCs w:val="24"/>
          <w:lang w:val="en-US"/>
        </w:rPr>
        <w:t>Regulation</w:t>
      </w:r>
      <w:r w:rsidRPr="00ED4D49">
        <w:rPr>
          <w:rFonts w:cs="Calibri"/>
          <w:szCs w:val="24"/>
          <w:lang w:val="en-US"/>
        </w:rPr>
        <w:t xml:space="preserve"> on Content, Form, Terms and Conditions and Manner of Issuance and Keeping of Water Documentation</w:t>
      </w:r>
      <w:r w:rsidRPr="00ED4D49">
        <w:rPr>
          <w:rStyle w:val="FootnoteReference"/>
          <w:rFonts w:cs="Calibri"/>
          <w:szCs w:val="24"/>
          <w:lang w:val="en-US"/>
        </w:rPr>
        <w:footnoteReference w:id="56"/>
      </w:r>
      <w:r w:rsidRPr="00ED4D49">
        <w:rPr>
          <w:rFonts w:cs="Calibri"/>
          <w:szCs w:val="24"/>
          <w:lang w:val="en-US"/>
        </w:rPr>
        <w:t>. In RS, development of a regulation on water documentation issuance is underway.</w:t>
      </w:r>
      <w:r w:rsidR="00C6478C" w:rsidRPr="00ED4D49">
        <w:rPr>
          <w:rFonts w:cs="Calibri"/>
          <w:szCs w:val="24"/>
          <w:lang w:val="en-US"/>
        </w:rPr>
        <w:t xml:space="preserve"> </w:t>
      </w:r>
    </w:p>
    <w:p w14:paraId="6CB5E1F0" w14:textId="0D5760B7" w:rsidR="0095474C" w:rsidRPr="00ED4D49" w:rsidRDefault="0095474C" w:rsidP="0095474C">
      <w:pPr>
        <w:spacing w:after="0"/>
        <w:jc w:val="both"/>
        <w:rPr>
          <w:rFonts w:cs="Calibri"/>
          <w:szCs w:val="24"/>
          <w:lang w:val="en-US"/>
        </w:rPr>
      </w:pPr>
      <w:r w:rsidRPr="00ED4D49">
        <w:rPr>
          <w:rFonts w:cs="Calibri"/>
          <w:szCs w:val="24"/>
          <w:lang w:val="en-US"/>
        </w:rPr>
        <w:t>The</w:t>
      </w:r>
      <w:r w:rsidR="00F3213F" w:rsidRPr="00ED4D49">
        <w:rPr>
          <w:rFonts w:cs="Calibri"/>
          <w:szCs w:val="24"/>
          <w:lang w:val="en-US"/>
        </w:rPr>
        <w:t xml:space="preserve"> entity </w:t>
      </w:r>
      <w:r w:rsidR="00AB608B" w:rsidRPr="00ED4D49">
        <w:rPr>
          <w:rFonts w:cs="Calibri"/>
          <w:szCs w:val="24"/>
          <w:lang w:val="en-US"/>
        </w:rPr>
        <w:t>l</w:t>
      </w:r>
      <w:r w:rsidRPr="00ED4D49">
        <w:rPr>
          <w:rFonts w:cs="Calibri"/>
          <w:szCs w:val="24"/>
          <w:lang w:val="en-US"/>
        </w:rPr>
        <w:t>aw</w:t>
      </w:r>
      <w:r w:rsidR="00F3213F" w:rsidRPr="00ED4D49">
        <w:rPr>
          <w:rFonts w:cs="Calibri"/>
          <w:szCs w:val="24"/>
          <w:lang w:val="en-US"/>
        </w:rPr>
        <w:t xml:space="preserve">s on </w:t>
      </w:r>
      <w:r w:rsidR="00AB608B" w:rsidRPr="00ED4D49">
        <w:rPr>
          <w:rFonts w:cs="Calibri"/>
          <w:szCs w:val="24"/>
          <w:lang w:val="en-US"/>
        </w:rPr>
        <w:t>w</w:t>
      </w:r>
      <w:r w:rsidR="00F3213F" w:rsidRPr="00ED4D49">
        <w:rPr>
          <w:rFonts w:cs="Calibri"/>
          <w:szCs w:val="24"/>
          <w:lang w:val="en-US"/>
        </w:rPr>
        <w:t>ater</w:t>
      </w:r>
      <w:r w:rsidRPr="00ED4D49">
        <w:rPr>
          <w:rFonts w:cs="Calibri"/>
          <w:szCs w:val="24"/>
          <w:lang w:val="en-US"/>
        </w:rPr>
        <w:t xml:space="preserve"> </w:t>
      </w:r>
      <w:r w:rsidR="00AB608B" w:rsidRPr="00ED4D49">
        <w:rPr>
          <w:rFonts w:cs="Calibri"/>
          <w:szCs w:val="24"/>
          <w:lang w:val="en-US"/>
        </w:rPr>
        <w:t>foresee</w:t>
      </w:r>
      <w:r w:rsidRPr="00ED4D49">
        <w:rPr>
          <w:rFonts w:cs="Calibri"/>
          <w:szCs w:val="24"/>
          <w:lang w:val="en-US"/>
        </w:rPr>
        <w:t xml:space="preserve"> th</w:t>
      </w:r>
      <w:r w:rsidR="00AB608B" w:rsidRPr="00ED4D49">
        <w:rPr>
          <w:rFonts w:cs="Calibri"/>
          <w:szCs w:val="24"/>
          <w:lang w:val="en-US"/>
        </w:rPr>
        <w:t>at th</w:t>
      </w:r>
      <w:r w:rsidRPr="00ED4D49">
        <w:rPr>
          <w:rFonts w:cs="Calibri"/>
          <w:szCs w:val="24"/>
          <w:lang w:val="en-US"/>
        </w:rPr>
        <w:t xml:space="preserve">e Environmental Permit </w:t>
      </w:r>
      <w:r w:rsidR="00AB608B" w:rsidRPr="00ED4D49">
        <w:rPr>
          <w:rFonts w:cs="Calibri"/>
          <w:szCs w:val="24"/>
          <w:lang w:val="en-US"/>
        </w:rPr>
        <w:t>is</w:t>
      </w:r>
      <w:r w:rsidRPr="00ED4D49">
        <w:rPr>
          <w:rFonts w:cs="Calibri"/>
          <w:szCs w:val="24"/>
          <w:lang w:val="en-US"/>
        </w:rPr>
        <w:t xml:space="preserve"> issued based on </w:t>
      </w:r>
      <w:r w:rsidR="00E97D60" w:rsidRPr="00ED4D49">
        <w:rPr>
          <w:rFonts w:cs="Calibri"/>
          <w:szCs w:val="24"/>
          <w:lang w:val="en-US"/>
        </w:rPr>
        <w:t>the previously</w:t>
      </w:r>
      <w:r w:rsidRPr="00ED4D49">
        <w:rPr>
          <w:rFonts w:cs="Calibri"/>
          <w:szCs w:val="24"/>
          <w:lang w:val="en-US"/>
        </w:rPr>
        <w:t xml:space="preserve"> obtained Preliminary Water Approval/Water Guidelines. </w:t>
      </w:r>
      <w:r w:rsidR="00E97D60" w:rsidRPr="00ED4D49">
        <w:rPr>
          <w:rFonts w:cs="Calibri"/>
          <w:szCs w:val="24"/>
          <w:lang w:val="en-US"/>
        </w:rPr>
        <w:t>It</w:t>
      </w:r>
      <w:r w:rsidRPr="00ED4D49">
        <w:rPr>
          <w:rFonts w:cs="Calibri"/>
          <w:szCs w:val="24"/>
          <w:lang w:val="en-US"/>
        </w:rPr>
        <w:t xml:space="preserve"> is </w:t>
      </w:r>
      <w:r w:rsidR="00E97D60" w:rsidRPr="00ED4D49">
        <w:rPr>
          <w:rFonts w:cs="Calibri"/>
          <w:szCs w:val="24"/>
          <w:lang w:val="en-US"/>
        </w:rPr>
        <w:t xml:space="preserve">thus </w:t>
      </w:r>
      <w:r w:rsidRPr="00ED4D49">
        <w:rPr>
          <w:rFonts w:cs="Calibri"/>
          <w:szCs w:val="24"/>
          <w:lang w:val="en-US"/>
        </w:rPr>
        <w:t xml:space="preserve">ensured that the </w:t>
      </w:r>
      <w:r w:rsidR="00E97D60" w:rsidRPr="00ED4D49">
        <w:rPr>
          <w:rFonts w:cs="Calibri"/>
          <w:szCs w:val="24"/>
          <w:lang w:val="en-US"/>
        </w:rPr>
        <w:t>environmental m</w:t>
      </w:r>
      <w:r w:rsidRPr="00ED4D49">
        <w:rPr>
          <w:rFonts w:cs="Calibri"/>
          <w:szCs w:val="24"/>
          <w:lang w:val="en-US"/>
        </w:rPr>
        <w:t xml:space="preserve">inistry can integrate in the Environmental Permit </w:t>
      </w:r>
      <w:r w:rsidR="00E97D60" w:rsidRPr="00ED4D49">
        <w:rPr>
          <w:rFonts w:cs="Calibri"/>
          <w:szCs w:val="24"/>
          <w:lang w:val="en-US"/>
        </w:rPr>
        <w:t xml:space="preserve">any </w:t>
      </w:r>
      <w:r w:rsidRPr="00ED4D49">
        <w:rPr>
          <w:rFonts w:cs="Calibri"/>
          <w:szCs w:val="24"/>
          <w:lang w:val="en-US"/>
        </w:rPr>
        <w:t>water protection-related recommendations and measures.</w:t>
      </w:r>
      <w:r w:rsidR="00C6478C" w:rsidRPr="00ED4D49">
        <w:rPr>
          <w:rFonts w:cs="Calibri"/>
          <w:szCs w:val="24"/>
          <w:lang w:val="en-US"/>
        </w:rPr>
        <w:t xml:space="preserve"> </w:t>
      </w:r>
      <w:r w:rsidRPr="00ED4D49">
        <w:rPr>
          <w:rFonts w:cs="Calibri"/>
          <w:szCs w:val="24"/>
          <w:lang w:val="en-US"/>
        </w:rPr>
        <w:t xml:space="preserve"> </w:t>
      </w:r>
    </w:p>
    <w:p w14:paraId="18A9B01F" w14:textId="439FC0F8" w:rsidR="0095474C" w:rsidRPr="00ED4D49" w:rsidRDefault="0095474C" w:rsidP="0095474C">
      <w:pPr>
        <w:spacing w:after="0"/>
        <w:jc w:val="both"/>
        <w:rPr>
          <w:rFonts w:cs="Calibri"/>
          <w:szCs w:val="24"/>
          <w:lang w:val="en-US"/>
        </w:rPr>
      </w:pPr>
      <w:r w:rsidRPr="00ED4D49">
        <w:rPr>
          <w:rFonts w:cs="Calibri"/>
          <w:szCs w:val="24"/>
          <w:lang w:val="en-US"/>
        </w:rPr>
        <w:t xml:space="preserve">In FBiH, the Sava River Water Agency, the Adriatic Sea Water Agency and Cantonal Ministries are responsible </w:t>
      </w:r>
      <w:r w:rsidR="00AA5798" w:rsidRPr="00ED4D49">
        <w:rPr>
          <w:rFonts w:cs="Calibri"/>
          <w:szCs w:val="24"/>
          <w:lang w:val="en-US"/>
        </w:rPr>
        <w:t>for issuing</w:t>
      </w:r>
      <w:r w:rsidRPr="00ED4D49">
        <w:rPr>
          <w:rFonts w:cs="Calibri"/>
          <w:szCs w:val="24"/>
          <w:lang w:val="en-US"/>
        </w:rPr>
        <w:t xml:space="preserve"> water documentation (for the list of cantonal ministries responsible for water issues, please refer to Annex</w:t>
      </w:r>
      <w:r w:rsidR="00A32F87" w:rsidRPr="00ED4D49">
        <w:rPr>
          <w:rFonts w:cs="Calibri"/>
          <w:szCs w:val="24"/>
          <w:lang w:val="en-US"/>
        </w:rPr>
        <w:t xml:space="preserve"> </w:t>
      </w:r>
      <w:r w:rsidR="00A32F87" w:rsidRPr="00ED4D49">
        <w:rPr>
          <w:rFonts w:cs="Calibri"/>
          <w:szCs w:val="24"/>
          <w:lang w:val="en-US"/>
        </w:rPr>
        <w:fldChar w:fldCharType="begin"/>
      </w:r>
      <w:r w:rsidR="00A32F87" w:rsidRPr="00ED4D49">
        <w:rPr>
          <w:rFonts w:cs="Calibri"/>
          <w:szCs w:val="24"/>
          <w:lang w:val="en-US"/>
        </w:rPr>
        <w:instrText xml:space="preserve"> REF _Ref22584504 \r \h </w:instrText>
      </w:r>
      <w:r w:rsidR="00ED4D49">
        <w:rPr>
          <w:rFonts w:cs="Calibri"/>
          <w:szCs w:val="24"/>
          <w:lang w:val="en-US"/>
        </w:rPr>
        <w:instrText xml:space="preserve"> \* MERGEFORMAT </w:instrText>
      </w:r>
      <w:r w:rsidR="00A32F87" w:rsidRPr="00ED4D49">
        <w:rPr>
          <w:rFonts w:cs="Calibri"/>
          <w:szCs w:val="24"/>
          <w:lang w:val="en-US"/>
        </w:rPr>
      </w:r>
      <w:r w:rsidR="00A32F87" w:rsidRPr="00ED4D49">
        <w:rPr>
          <w:rFonts w:cs="Calibri"/>
          <w:szCs w:val="24"/>
          <w:lang w:val="en-US"/>
        </w:rPr>
        <w:fldChar w:fldCharType="separate"/>
      </w:r>
      <w:r w:rsidR="00F60130" w:rsidRPr="00ED4D49">
        <w:rPr>
          <w:rFonts w:cs="Calibri"/>
          <w:szCs w:val="24"/>
          <w:lang w:val="en-US"/>
        </w:rPr>
        <w:t>C</w:t>
      </w:r>
      <w:r w:rsidR="00A32F87" w:rsidRPr="00ED4D49">
        <w:rPr>
          <w:rFonts w:cs="Calibri"/>
          <w:szCs w:val="24"/>
          <w:lang w:val="en-US"/>
        </w:rPr>
        <w:fldChar w:fldCharType="end"/>
      </w:r>
      <w:r w:rsidRPr="00ED4D49">
        <w:rPr>
          <w:rFonts w:cs="Calibri"/>
          <w:szCs w:val="24"/>
          <w:lang w:val="en-US"/>
        </w:rPr>
        <w:t>). In RS, water documentation is issued by Public Institution “Vode Srpske” and local self-governance units.</w:t>
      </w:r>
    </w:p>
    <w:p w14:paraId="399176EC" w14:textId="4D8BB444" w:rsidR="00ED57DC" w:rsidRPr="00ED4D49" w:rsidRDefault="00ED57DC" w:rsidP="00ED57DC">
      <w:pPr>
        <w:spacing w:after="0"/>
        <w:jc w:val="both"/>
        <w:rPr>
          <w:rFonts w:cs="Calibri"/>
          <w:color w:val="1F497D"/>
          <w:lang w:val="en-US"/>
        </w:rPr>
      </w:pPr>
      <w:r w:rsidRPr="00ED4D49">
        <w:rPr>
          <w:rFonts w:cs="Calibri"/>
          <w:color w:val="1F497D"/>
          <w:lang w:val="en-US"/>
        </w:rPr>
        <w:t xml:space="preserve">Water Management in </w:t>
      </w:r>
      <w:r w:rsidR="00387D38" w:rsidRPr="00ED4D49">
        <w:rPr>
          <w:rFonts w:cs="Calibri"/>
          <w:color w:val="1F497D"/>
          <w:lang w:val="en-US"/>
        </w:rPr>
        <w:t>BD</w:t>
      </w:r>
    </w:p>
    <w:p w14:paraId="1C8C0EAF" w14:textId="77777777" w:rsidR="00ED57DC" w:rsidRPr="00ED4D49" w:rsidRDefault="00ED57DC" w:rsidP="00ED57DC">
      <w:pPr>
        <w:spacing w:before="0" w:after="0"/>
        <w:jc w:val="both"/>
        <w:rPr>
          <w:rFonts w:cs="Calibri"/>
          <w:szCs w:val="24"/>
          <w:lang w:val="en-US"/>
        </w:rPr>
      </w:pPr>
      <w:r w:rsidRPr="00ED4D49">
        <w:rPr>
          <w:rFonts w:cs="Calibri"/>
          <w:szCs w:val="24"/>
          <w:lang w:val="en-US"/>
        </w:rPr>
        <w:t xml:space="preserve">Water permitting procedure in BD is regulated by: </w:t>
      </w:r>
    </w:p>
    <w:p w14:paraId="441C05F9" w14:textId="7DA52A6D" w:rsidR="00ED57DC" w:rsidRPr="00ED4D49" w:rsidRDefault="00AA5798" w:rsidP="00ED57DC">
      <w:pPr>
        <w:pStyle w:val="ListParagraph"/>
        <w:numPr>
          <w:ilvl w:val="0"/>
          <w:numId w:val="4"/>
        </w:numPr>
        <w:spacing w:after="160"/>
        <w:jc w:val="both"/>
        <w:rPr>
          <w:rFonts w:cs="Calibri"/>
          <w:sz w:val="20"/>
          <w:szCs w:val="20"/>
        </w:rPr>
      </w:pPr>
      <w:r w:rsidRPr="00ED4D49">
        <w:rPr>
          <w:rFonts w:cs="Calibri"/>
          <w:sz w:val="20"/>
          <w:szCs w:val="20"/>
        </w:rPr>
        <w:t xml:space="preserve">The </w:t>
      </w:r>
      <w:r w:rsidR="00ED57DC" w:rsidRPr="00ED4D49">
        <w:rPr>
          <w:rFonts w:cs="Calibri"/>
          <w:sz w:val="20"/>
          <w:szCs w:val="20"/>
        </w:rPr>
        <w:t>Law on Water Protection of BD BiH</w:t>
      </w:r>
      <w:r w:rsidR="00ED57DC" w:rsidRPr="00ED4D49">
        <w:rPr>
          <w:rFonts w:cs="Calibri"/>
          <w:sz w:val="20"/>
          <w:szCs w:val="20"/>
          <w:vertAlign w:val="superscript"/>
        </w:rPr>
        <w:footnoteReference w:id="57"/>
      </w:r>
      <w:r w:rsidR="00ED57DC" w:rsidRPr="00ED4D49">
        <w:rPr>
          <w:rFonts w:cs="Calibri"/>
          <w:sz w:val="20"/>
          <w:szCs w:val="20"/>
        </w:rPr>
        <w:t xml:space="preserve"> and </w:t>
      </w:r>
    </w:p>
    <w:p w14:paraId="021DF65B" w14:textId="54F1D2D9" w:rsidR="00ED57DC" w:rsidRPr="00ED4D49" w:rsidRDefault="00AA5798" w:rsidP="00ED57DC">
      <w:pPr>
        <w:pStyle w:val="ListParagraph"/>
        <w:numPr>
          <w:ilvl w:val="0"/>
          <w:numId w:val="4"/>
        </w:numPr>
        <w:spacing w:after="160"/>
        <w:jc w:val="both"/>
        <w:rPr>
          <w:rFonts w:cs="Calibri"/>
          <w:sz w:val="20"/>
          <w:szCs w:val="20"/>
        </w:rPr>
      </w:pPr>
      <w:r w:rsidRPr="00ED4D49">
        <w:rPr>
          <w:rFonts w:cs="Calibri"/>
          <w:sz w:val="20"/>
          <w:szCs w:val="20"/>
        </w:rPr>
        <w:t xml:space="preserve">The </w:t>
      </w:r>
      <w:r w:rsidR="00ED57DC" w:rsidRPr="00ED4D49">
        <w:rPr>
          <w:rFonts w:cs="Calibri"/>
          <w:sz w:val="20"/>
          <w:szCs w:val="20"/>
        </w:rPr>
        <w:t>Law on Water of RS</w:t>
      </w:r>
      <w:r w:rsidR="00ED57DC" w:rsidRPr="00ED4D49">
        <w:rPr>
          <w:rFonts w:cs="Calibri"/>
          <w:sz w:val="20"/>
          <w:szCs w:val="20"/>
          <w:vertAlign w:val="superscript"/>
        </w:rPr>
        <w:footnoteReference w:id="58"/>
      </w:r>
      <w:r w:rsidR="00ED57DC" w:rsidRPr="00ED4D49">
        <w:rPr>
          <w:rFonts w:cs="Calibri"/>
          <w:sz w:val="20"/>
          <w:szCs w:val="20"/>
          <w:vertAlign w:val="superscript"/>
        </w:rPr>
        <w:t>.</w:t>
      </w:r>
      <w:r w:rsidR="00ED57DC" w:rsidRPr="00ED4D49">
        <w:rPr>
          <w:rFonts w:cs="Calibri"/>
          <w:sz w:val="20"/>
          <w:szCs w:val="20"/>
        </w:rPr>
        <w:t xml:space="preserve"> </w:t>
      </w:r>
    </w:p>
    <w:p w14:paraId="5280ACD1" w14:textId="2019203D" w:rsidR="00ED57DC" w:rsidRPr="00ED4D49" w:rsidRDefault="00AA5798" w:rsidP="00ED57DC">
      <w:pPr>
        <w:spacing w:after="0"/>
        <w:jc w:val="both"/>
        <w:rPr>
          <w:rFonts w:cs="Calibri"/>
          <w:szCs w:val="24"/>
          <w:lang w:val="en-US"/>
        </w:rPr>
      </w:pPr>
      <w:r w:rsidRPr="00ED4D49">
        <w:rPr>
          <w:rFonts w:cs="Calibri"/>
          <w:szCs w:val="20"/>
          <w:lang w:val="en-US"/>
        </w:rPr>
        <w:t xml:space="preserve">The </w:t>
      </w:r>
      <w:r w:rsidR="00ED57DC" w:rsidRPr="00ED4D49">
        <w:rPr>
          <w:rFonts w:cs="Calibri"/>
          <w:szCs w:val="24"/>
          <w:lang w:val="en-US"/>
        </w:rPr>
        <w:t xml:space="preserve">Law on Water Protection of BD regulates the issuance of </w:t>
      </w:r>
      <w:r w:rsidRPr="00ED4D49">
        <w:rPr>
          <w:rFonts w:cs="Calibri"/>
          <w:szCs w:val="24"/>
          <w:lang w:val="en-US"/>
        </w:rPr>
        <w:t xml:space="preserve">the </w:t>
      </w:r>
      <w:r w:rsidR="00ED57DC" w:rsidRPr="00ED4D49">
        <w:rPr>
          <w:rFonts w:cs="Calibri"/>
          <w:szCs w:val="24"/>
          <w:lang w:val="en-US"/>
        </w:rPr>
        <w:t>Water Protection Consent</w:t>
      </w:r>
      <w:r w:rsidR="00425E0D" w:rsidRPr="00ED4D49">
        <w:rPr>
          <w:rFonts w:cs="Calibri"/>
          <w:szCs w:val="24"/>
          <w:lang w:val="en-US"/>
        </w:rPr>
        <w:t xml:space="preserve"> (WPC)</w:t>
      </w:r>
      <w:r w:rsidR="00ED57DC" w:rsidRPr="00ED4D49">
        <w:rPr>
          <w:rFonts w:cs="Calibri"/>
          <w:szCs w:val="24"/>
          <w:lang w:val="en-US"/>
        </w:rPr>
        <w:t xml:space="preserve">, while </w:t>
      </w:r>
      <w:r w:rsidRPr="00ED4D49">
        <w:rPr>
          <w:rFonts w:cs="Calibri"/>
          <w:szCs w:val="24"/>
          <w:lang w:val="en-US"/>
        </w:rPr>
        <w:t xml:space="preserve">the </w:t>
      </w:r>
      <w:r w:rsidR="00ED57DC" w:rsidRPr="00ED4D49">
        <w:rPr>
          <w:rFonts w:cs="Calibri"/>
          <w:szCs w:val="24"/>
          <w:lang w:val="en-US"/>
        </w:rPr>
        <w:t xml:space="preserve">Water Management Consent </w:t>
      </w:r>
      <w:r w:rsidR="00425E0D" w:rsidRPr="00ED4D49">
        <w:rPr>
          <w:rFonts w:cs="Calibri"/>
          <w:szCs w:val="24"/>
          <w:lang w:val="en-US"/>
        </w:rPr>
        <w:t xml:space="preserve">(WMC) </w:t>
      </w:r>
      <w:r w:rsidR="00ED57DC" w:rsidRPr="00ED4D49">
        <w:rPr>
          <w:rFonts w:cs="Calibri"/>
          <w:szCs w:val="24"/>
          <w:lang w:val="en-US"/>
        </w:rPr>
        <w:t xml:space="preserve">and </w:t>
      </w:r>
      <w:r w:rsidR="00425E0D" w:rsidRPr="00ED4D49">
        <w:rPr>
          <w:rFonts w:cs="Calibri"/>
          <w:szCs w:val="24"/>
          <w:lang w:val="en-US"/>
        </w:rPr>
        <w:t xml:space="preserve">Water Management </w:t>
      </w:r>
      <w:r w:rsidR="00ED57DC" w:rsidRPr="00ED4D49">
        <w:rPr>
          <w:rFonts w:cs="Calibri"/>
          <w:szCs w:val="24"/>
          <w:lang w:val="en-US"/>
        </w:rPr>
        <w:t xml:space="preserve">Permit </w:t>
      </w:r>
      <w:r w:rsidR="00425E0D" w:rsidRPr="00ED4D49">
        <w:rPr>
          <w:rFonts w:cs="Calibri"/>
          <w:szCs w:val="24"/>
          <w:lang w:val="en-US"/>
        </w:rPr>
        <w:t xml:space="preserve">(WMP) </w:t>
      </w:r>
      <w:r w:rsidR="00ED57DC" w:rsidRPr="00ED4D49">
        <w:rPr>
          <w:rFonts w:cs="Calibri"/>
          <w:szCs w:val="24"/>
          <w:lang w:val="en-US"/>
        </w:rPr>
        <w:t xml:space="preserve">are regulated by </w:t>
      </w:r>
      <w:r w:rsidRPr="00ED4D49">
        <w:rPr>
          <w:rFonts w:cs="Calibri"/>
          <w:szCs w:val="24"/>
          <w:lang w:val="en-US"/>
        </w:rPr>
        <w:t xml:space="preserve">the </w:t>
      </w:r>
      <w:r w:rsidR="00ED57DC" w:rsidRPr="00ED4D49">
        <w:rPr>
          <w:rFonts w:cs="Calibri"/>
          <w:szCs w:val="24"/>
          <w:lang w:val="en-US"/>
        </w:rPr>
        <w:t>old Law on Water of RS.</w:t>
      </w:r>
      <w:r w:rsidR="00425E0D" w:rsidRPr="00ED4D49">
        <w:rPr>
          <w:rFonts w:cs="Calibri"/>
          <w:szCs w:val="24"/>
          <w:lang w:val="en-US"/>
        </w:rPr>
        <w:t xml:space="preserve"> </w:t>
      </w:r>
    </w:p>
    <w:p w14:paraId="2D72AAC4" w14:textId="4DB0EFCE" w:rsidR="00ED57DC" w:rsidRPr="00ED4D49" w:rsidRDefault="00425E0D" w:rsidP="00ED57DC">
      <w:pPr>
        <w:spacing w:after="0"/>
        <w:jc w:val="both"/>
        <w:rPr>
          <w:rFonts w:cs="Calibri"/>
          <w:szCs w:val="24"/>
          <w:lang w:val="en-US"/>
        </w:rPr>
      </w:pPr>
      <w:r w:rsidRPr="00ED4D49">
        <w:rPr>
          <w:rFonts w:cs="Calibri"/>
          <w:szCs w:val="20"/>
          <w:lang w:val="en-US"/>
        </w:rPr>
        <w:t xml:space="preserve">The </w:t>
      </w:r>
      <w:r w:rsidRPr="00ED4D49">
        <w:rPr>
          <w:rFonts w:cs="Calibri"/>
          <w:szCs w:val="24"/>
          <w:lang w:val="en-US"/>
        </w:rPr>
        <w:t xml:space="preserve">WPC </w:t>
      </w:r>
      <w:r w:rsidR="00ED57DC" w:rsidRPr="00ED4D49">
        <w:rPr>
          <w:rFonts w:cs="Calibri"/>
          <w:szCs w:val="24"/>
          <w:lang w:val="en-US"/>
        </w:rPr>
        <w:t xml:space="preserve">is issued in case of water use. Construction of ports is listed among the activities which require </w:t>
      </w:r>
      <w:r w:rsidRPr="00ED4D49">
        <w:rPr>
          <w:rFonts w:cs="Calibri"/>
          <w:szCs w:val="24"/>
          <w:lang w:val="en-US"/>
        </w:rPr>
        <w:t>a</w:t>
      </w:r>
      <w:r w:rsidR="00ED57DC" w:rsidRPr="00ED4D49">
        <w:rPr>
          <w:rFonts w:cs="Calibri"/>
          <w:szCs w:val="24"/>
          <w:lang w:val="en-US"/>
        </w:rPr>
        <w:t xml:space="preserve"> </w:t>
      </w:r>
      <w:r w:rsidRPr="00ED4D49">
        <w:rPr>
          <w:rFonts w:cs="Calibri"/>
          <w:szCs w:val="24"/>
          <w:lang w:val="en-US"/>
        </w:rPr>
        <w:t>WPC</w:t>
      </w:r>
      <w:r w:rsidR="00ED57DC" w:rsidRPr="00ED4D49">
        <w:rPr>
          <w:rFonts w:cs="Calibri"/>
          <w:szCs w:val="24"/>
          <w:lang w:val="en-US"/>
        </w:rPr>
        <w:t xml:space="preserve">. </w:t>
      </w:r>
      <w:r w:rsidRPr="00ED4D49">
        <w:rPr>
          <w:rFonts w:cs="Calibri"/>
          <w:szCs w:val="24"/>
          <w:lang w:val="en-US"/>
        </w:rPr>
        <w:t>The WPC</w:t>
      </w:r>
      <w:r w:rsidR="00ED57DC" w:rsidRPr="00ED4D49">
        <w:rPr>
          <w:rFonts w:cs="Calibri"/>
          <w:szCs w:val="24"/>
          <w:lang w:val="en-US"/>
        </w:rPr>
        <w:t xml:space="preserve"> has to be attached to the application for the Environmental Permit, Construction Permit, </w:t>
      </w:r>
      <w:r w:rsidRPr="00ED4D49">
        <w:rPr>
          <w:rFonts w:cs="Calibri"/>
          <w:szCs w:val="24"/>
          <w:lang w:val="en-US"/>
        </w:rPr>
        <w:t>WMP</w:t>
      </w:r>
      <w:r w:rsidR="00ED57DC" w:rsidRPr="00ED4D49">
        <w:rPr>
          <w:rFonts w:cs="Calibri"/>
          <w:szCs w:val="24"/>
          <w:lang w:val="en-US"/>
        </w:rPr>
        <w:t xml:space="preserve"> and other permits as regulated by </w:t>
      </w:r>
      <w:r w:rsidR="00F3213F" w:rsidRPr="00ED4D49">
        <w:rPr>
          <w:rFonts w:cs="Calibri"/>
          <w:szCs w:val="24"/>
          <w:lang w:val="en-US"/>
        </w:rPr>
        <w:t>other</w:t>
      </w:r>
      <w:r w:rsidR="00ED57DC" w:rsidRPr="00ED4D49">
        <w:rPr>
          <w:rFonts w:cs="Calibri"/>
          <w:szCs w:val="24"/>
          <w:lang w:val="en-US"/>
        </w:rPr>
        <w:t xml:space="preserve"> laws. The</w:t>
      </w:r>
      <w:r w:rsidR="00F3213F" w:rsidRPr="00ED4D49">
        <w:rPr>
          <w:rFonts w:cs="Calibri"/>
          <w:szCs w:val="24"/>
          <w:lang w:val="en-US"/>
        </w:rPr>
        <w:t xml:space="preserve"> </w:t>
      </w:r>
      <w:r w:rsidRPr="00ED4D49">
        <w:rPr>
          <w:rFonts w:cs="Calibri"/>
          <w:szCs w:val="24"/>
          <w:lang w:val="en-US"/>
        </w:rPr>
        <w:t xml:space="preserve">WPC </w:t>
      </w:r>
      <w:r w:rsidR="00ED57DC" w:rsidRPr="00ED4D49">
        <w:rPr>
          <w:rFonts w:cs="Calibri"/>
          <w:szCs w:val="24"/>
          <w:lang w:val="en-US"/>
        </w:rPr>
        <w:t>contains measure</w:t>
      </w:r>
      <w:r w:rsidR="00F3213F" w:rsidRPr="00ED4D49">
        <w:rPr>
          <w:rFonts w:cs="Calibri"/>
          <w:szCs w:val="24"/>
          <w:lang w:val="en-US"/>
        </w:rPr>
        <w:t>s</w:t>
      </w:r>
      <w:r w:rsidR="00ED57DC" w:rsidRPr="00ED4D49">
        <w:rPr>
          <w:rFonts w:cs="Calibri"/>
          <w:szCs w:val="24"/>
          <w:lang w:val="en-US"/>
        </w:rPr>
        <w:t xml:space="preserve"> for maintaining the conditions for reproduction of plants and animal species, maintaining appropriate conditions of aquatic ecosystems and species and preservation of the good water status. </w:t>
      </w:r>
      <w:r w:rsidRPr="00ED4D49">
        <w:rPr>
          <w:rFonts w:cs="Calibri"/>
          <w:szCs w:val="24"/>
          <w:lang w:val="en-US"/>
        </w:rPr>
        <w:t>It</w:t>
      </w:r>
      <w:r w:rsidR="00ED57DC" w:rsidRPr="00ED4D49">
        <w:rPr>
          <w:rFonts w:cs="Calibri"/>
          <w:szCs w:val="24"/>
          <w:lang w:val="en-US"/>
        </w:rPr>
        <w:t xml:space="preserve"> is issued by the Department of Agriculture, Forestry and Water Management of BD BiH and is valid for </w:t>
      </w:r>
      <w:r w:rsidRPr="00ED4D49">
        <w:rPr>
          <w:rFonts w:cs="Calibri"/>
          <w:szCs w:val="24"/>
          <w:lang w:val="en-US"/>
        </w:rPr>
        <w:t>15</w:t>
      </w:r>
      <w:r w:rsidR="00ED57DC" w:rsidRPr="00ED4D49">
        <w:rPr>
          <w:rFonts w:cs="Calibri"/>
          <w:szCs w:val="24"/>
          <w:lang w:val="en-US"/>
        </w:rPr>
        <w:t xml:space="preserve"> years, with </w:t>
      </w:r>
      <w:r w:rsidRPr="00ED4D49">
        <w:rPr>
          <w:rFonts w:cs="Calibri"/>
          <w:szCs w:val="24"/>
          <w:lang w:val="en-US"/>
        </w:rPr>
        <w:t>a</w:t>
      </w:r>
      <w:r w:rsidR="00ED57DC" w:rsidRPr="00ED4D49">
        <w:rPr>
          <w:rFonts w:cs="Calibri"/>
          <w:szCs w:val="24"/>
          <w:lang w:val="en-US"/>
        </w:rPr>
        <w:t xml:space="preserve"> possibility of extension. </w:t>
      </w:r>
      <w:r w:rsidRPr="00ED4D49">
        <w:rPr>
          <w:rFonts w:cs="Calibri"/>
          <w:szCs w:val="24"/>
          <w:lang w:val="en-US"/>
        </w:rPr>
        <w:t xml:space="preserve"> </w:t>
      </w:r>
    </w:p>
    <w:p w14:paraId="230DEDB5" w14:textId="2E6782C4" w:rsidR="00ED57DC" w:rsidRPr="00ED4D49" w:rsidRDefault="00425E0D" w:rsidP="00ED57DC">
      <w:pPr>
        <w:spacing w:after="0"/>
        <w:jc w:val="both"/>
        <w:rPr>
          <w:rFonts w:cs="Calibri"/>
          <w:szCs w:val="24"/>
          <w:lang w:val="en-US"/>
        </w:rPr>
      </w:pPr>
      <w:r w:rsidRPr="00ED4D49">
        <w:rPr>
          <w:rFonts w:cs="Calibri"/>
          <w:szCs w:val="24"/>
          <w:lang w:val="en-US"/>
        </w:rPr>
        <w:t>The WMC</w:t>
      </w:r>
      <w:r w:rsidR="00ED57DC" w:rsidRPr="00ED4D49">
        <w:rPr>
          <w:rFonts w:cs="Calibri"/>
          <w:szCs w:val="24"/>
          <w:lang w:val="en-US"/>
        </w:rPr>
        <w:t xml:space="preserve"> has to be issued for the construction of new and reconstruction of existing facilities and plants which can change</w:t>
      </w:r>
      <w:r w:rsidR="00D351C4" w:rsidRPr="00ED4D49">
        <w:rPr>
          <w:rFonts w:cs="Calibri"/>
          <w:szCs w:val="24"/>
          <w:lang w:val="en-US"/>
        </w:rPr>
        <w:t xml:space="preserve"> or affect</w:t>
      </w:r>
      <w:r w:rsidR="00ED57DC" w:rsidRPr="00ED4D49">
        <w:rPr>
          <w:rFonts w:cs="Calibri"/>
          <w:szCs w:val="24"/>
          <w:lang w:val="en-US"/>
        </w:rPr>
        <w:t xml:space="preserve"> the established water regime. </w:t>
      </w:r>
      <w:r w:rsidR="00D351C4" w:rsidRPr="00ED4D49">
        <w:rPr>
          <w:rFonts w:cs="Calibri"/>
          <w:szCs w:val="24"/>
          <w:lang w:val="en-US"/>
        </w:rPr>
        <w:t>It</w:t>
      </w:r>
      <w:r w:rsidR="00ED57DC" w:rsidRPr="00ED4D49">
        <w:rPr>
          <w:rFonts w:cs="Calibri"/>
          <w:szCs w:val="24"/>
          <w:lang w:val="en-US"/>
        </w:rPr>
        <w:t xml:space="preserve"> has to be obtained before obtaining the Construction Permit </w:t>
      </w:r>
      <w:r w:rsidR="00D351C4" w:rsidRPr="00ED4D49">
        <w:rPr>
          <w:rFonts w:cs="Calibri"/>
          <w:szCs w:val="24"/>
          <w:lang w:val="en-US"/>
        </w:rPr>
        <w:t>as</w:t>
      </w:r>
      <w:r w:rsidR="00ED57DC" w:rsidRPr="00ED4D49">
        <w:rPr>
          <w:rFonts w:cs="Calibri"/>
          <w:szCs w:val="24"/>
          <w:lang w:val="en-US"/>
        </w:rPr>
        <w:t xml:space="preserve"> it has to be submitted within the application for</w:t>
      </w:r>
      <w:r w:rsidR="00D351C4" w:rsidRPr="00ED4D49">
        <w:rPr>
          <w:rFonts w:cs="Calibri"/>
          <w:szCs w:val="24"/>
          <w:lang w:val="en-US"/>
        </w:rPr>
        <w:t xml:space="preserve"> the</w:t>
      </w:r>
      <w:r w:rsidR="00ED57DC" w:rsidRPr="00ED4D49">
        <w:rPr>
          <w:rFonts w:cs="Calibri"/>
          <w:szCs w:val="24"/>
          <w:lang w:val="en-US"/>
        </w:rPr>
        <w:t xml:space="preserve"> Construction Permit. </w:t>
      </w:r>
      <w:r w:rsidR="00D351C4" w:rsidRPr="00ED4D49">
        <w:rPr>
          <w:rFonts w:cs="Calibri"/>
          <w:szCs w:val="24"/>
          <w:lang w:val="en-US"/>
        </w:rPr>
        <w:t xml:space="preserve">The WMC </w:t>
      </w:r>
      <w:r w:rsidR="00ED57DC" w:rsidRPr="00ED4D49">
        <w:rPr>
          <w:rFonts w:cs="Calibri"/>
          <w:szCs w:val="24"/>
          <w:lang w:val="en-US"/>
        </w:rPr>
        <w:t>is issued by the Department of Agriculture, Forestry and Water Management of BD</w:t>
      </w:r>
      <w:r w:rsidR="00D351C4" w:rsidRPr="00ED4D49">
        <w:rPr>
          <w:rFonts w:cs="Calibri"/>
          <w:szCs w:val="24"/>
          <w:lang w:val="en-US"/>
        </w:rPr>
        <w:t>,</w:t>
      </w:r>
      <w:r w:rsidR="00ED57DC" w:rsidRPr="00ED4D49">
        <w:rPr>
          <w:rFonts w:cs="Calibri"/>
          <w:szCs w:val="24"/>
          <w:lang w:val="en-US"/>
        </w:rPr>
        <w:t xml:space="preserve"> and contains the conditions and measures </w:t>
      </w:r>
      <w:r w:rsidR="00ED57DC" w:rsidRPr="00ED4D49">
        <w:rPr>
          <w:rFonts w:cs="Calibri"/>
          <w:szCs w:val="24"/>
          <w:lang w:val="en-US"/>
        </w:rPr>
        <w:lastRenderedPageBreak/>
        <w:t>that have to be implemented by the investor in order to minimize and eliminate the negative impacts caused by the construction or reconstruction of facilities and plants. It is valid for a period between one and two years.</w:t>
      </w:r>
    </w:p>
    <w:p w14:paraId="6864FDB0" w14:textId="5A9AB0C1" w:rsidR="00ED57DC" w:rsidRPr="00ED4D49" w:rsidRDefault="00D351C4" w:rsidP="00ED57DC">
      <w:pPr>
        <w:spacing w:after="0"/>
        <w:jc w:val="both"/>
        <w:rPr>
          <w:rFonts w:cs="Calibri"/>
          <w:szCs w:val="24"/>
          <w:lang w:val="en-US"/>
        </w:rPr>
      </w:pPr>
      <w:r w:rsidRPr="00ED4D49">
        <w:rPr>
          <w:rFonts w:cs="Calibri"/>
          <w:szCs w:val="24"/>
          <w:lang w:val="en-US"/>
        </w:rPr>
        <w:t>The WMP</w:t>
      </w:r>
      <w:r w:rsidR="00ED57DC" w:rsidRPr="00ED4D49">
        <w:rPr>
          <w:rFonts w:cs="Calibri"/>
          <w:szCs w:val="24"/>
          <w:lang w:val="en-US"/>
        </w:rPr>
        <w:t xml:space="preserve"> defines the purpose, method and terms of water use, operation facilities and equipment, the manner and conditions of wastewater discharges, the manner and conditions for the disposal of solid and liquid waste and other conditions. </w:t>
      </w:r>
      <w:r w:rsidRPr="00ED4D49">
        <w:rPr>
          <w:rFonts w:cs="Calibri"/>
          <w:szCs w:val="24"/>
          <w:lang w:val="en-US"/>
        </w:rPr>
        <w:t>It</w:t>
      </w:r>
      <w:r w:rsidR="00ED57DC" w:rsidRPr="00ED4D49">
        <w:rPr>
          <w:rFonts w:cs="Calibri"/>
          <w:szCs w:val="24"/>
          <w:lang w:val="en-US"/>
        </w:rPr>
        <w:t xml:space="preserve"> has to be issued for all facilities and plant for which a </w:t>
      </w:r>
      <w:r w:rsidRPr="00ED4D49">
        <w:rPr>
          <w:rFonts w:cs="Calibri"/>
          <w:szCs w:val="24"/>
          <w:lang w:val="en-US"/>
        </w:rPr>
        <w:t>WMC</w:t>
      </w:r>
      <w:r w:rsidR="00ED57DC" w:rsidRPr="00ED4D49">
        <w:rPr>
          <w:rFonts w:cs="Calibri"/>
          <w:szCs w:val="24"/>
          <w:lang w:val="en-US"/>
        </w:rPr>
        <w:t xml:space="preserve"> has been issued. </w:t>
      </w:r>
      <w:r w:rsidRPr="00ED4D49">
        <w:rPr>
          <w:rFonts w:cs="Calibri"/>
          <w:szCs w:val="24"/>
          <w:lang w:val="en-US"/>
        </w:rPr>
        <w:t xml:space="preserve">The WMP </w:t>
      </w:r>
      <w:r w:rsidR="00ED57DC" w:rsidRPr="00ED4D49">
        <w:rPr>
          <w:rFonts w:cs="Calibri"/>
          <w:szCs w:val="24"/>
          <w:lang w:val="en-US"/>
        </w:rPr>
        <w:t xml:space="preserve">confirms that the conditions defined by the </w:t>
      </w:r>
      <w:r w:rsidRPr="00ED4D49">
        <w:rPr>
          <w:rFonts w:cs="Calibri"/>
          <w:szCs w:val="24"/>
          <w:lang w:val="en-US"/>
        </w:rPr>
        <w:t>WMC</w:t>
      </w:r>
      <w:r w:rsidR="00ED57DC" w:rsidRPr="00ED4D49">
        <w:rPr>
          <w:rFonts w:cs="Calibri"/>
          <w:szCs w:val="24"/>
          <w:lang w:val="en-US"/>
        </w:rPr>
        <w:t xml:space="preserve"> are fulfilled. It is issued by the Department of Agriculture, Forestry and Water Management and is valid for a limited time not longer than 10 years. </w:t>
      </w:r>
    </w:p>
    <w:p w14:paraId="3EA38124" w14:textId="30B2EBEA" w:rsidR="00F57E67" w:rsidRPr="00ED4D49" w:rsidRDefault="00F57E67" w:rsidP="0023292C">
      <w:pPr>
        <w:pStyle w:val="Heading3"/>
      </w:pPr>
      <w:bookmarkStart w:id="194" w:name="_Ref22331403"/>
      <w:bookmarkStart w:id="195" w:name="_Toc31811091"/>
      <w:r w:rsidRPr="00ED4D49">
        <w:t>Construction Regulations</w:t>
      </w:r>
      <w:bookmarkEnd w:id="193"/>
      <w:bookmarkEnd w:id="194"/>
      <w:bookmarkEnd w:id="195"/>
      <w:r w:rsidRPr="00ED4D49">
        <w:t xml:space="preserve"> </w:t>
      </w:r>
    </w:p>
    <w:p w14:paraId="7A24A991" w14:textId="4BAAE7A7" w:rsidR="00ED57DC" w:rsidRPr="00ED4D49" w:rsidRDefault="00ED57DC" w:rsidP="00ED57DC">
      <w:pPr>
        <w:spacing w:after="0"/>
        <w:jc w:val="both"/>
        <w:rPr>
          <w:rFonts w:cs="Calibri"/>
          <w:color w:val="1F497D"/>
          <w:lang w:val="en-US"/>
        </w:rPr>
      </w:pPr>
      <w:r w:rsidRPr="00ED4D49">
        <w:rPr>
          <w:rFonts w:cs="Calibri"/>
          <w:color w:val="1F497D"/>
          <w:lang w:val="en-US"/>
        </w:rPr>
        <w:t xml:space="preserve">Construction Regulations in </w:t>
      </w:r>
      <w:r w:rsidR="00387D38" w:rsidRPr="00ED4D49">
        <w:rPr>
          <w:rFonts w:cs="Calibri"/>
          <w:color w:val="1F497D"/>
          <w:lang w:val="en-US"/>
        </w:rPr>
        <w:t>FBiH</w:t>
      </w:r>
    </w:p>
    <w:p w14:paraId="6B8A1B4E" w14:textId="7B7BD57E" w:rsidR="00ED57DC" w:rsidRPr="00ED4D49" w:rsidRDefault="00ED57DC" w:rsidP="00ED57DC">
      <w:pPr>
        <w:spacing w:before="0" w:after="0"/>
        <w:jc w:val="both"/>
        <w:rPr>
          <w:rFonts w:cs="Calibri"/>
          <w:szCs w:val="24"/>
          <w:lang w:val="en-US"/>
        </w:rPr>
      </w:pPr>
      <w:r w:rsidRPr="00ED4D49">
        <w:rPr>
          <w:rFonts w:cs="Calibri"/>
          <w:szCs w:val="24"/>
          <w:lang w:val="en-US"/>
        </w:rPr>
        <w:t>In FBiH, construction is governed by the following legislation:</w:t>
      </w:r>
    </w:p>
    <w:p w14:paraId="2C467473" w14:textId="77777777" w:rsidR="00ED57DC" w:rsidRPr="00ED4D49" w:rsidRDefault="00ED57DC" w:rsidP="008D64BA">
      <w:pPr>
        <w:pStyle w:val="Bullets"/>
      </w:pPr>
      <w:r w:rsidRPr="00ED4D49">
        <w:t>The Law on Physical Planning and Land Use at FBiH level</w:t>
      </w:r>
      <w:r w:rsidRPr="00ED4D49">
        <w:rPr>
          <w:rStyle w:val="FootnoteReference"/>
        </w:rPr>
        <w:footnoteReference w:id="59"/>
      </w:r>
    </w:p>
    <w:p w14:paraId="25EE3606" w14:textId="77777777" w:rsidR="00ED57DC" w:rsidRPr="00ED4D49" w:rsidRDefault="00ED57DC" w:rsidP="008D64BA">
      <w:pPr>
        <w:pStyle w:val="Bullets"/>
      </w:pPr>
      <w:r w:rsidRPr="00ED4D49">
        <w:t>Cantonal Laws on Physical Planning and Construction.</w:t>
      </w:r>
    </w:p>
    <w:p w14:paraId="3E9B3A47" w14:textId="58BA4CDD" w:rsidR="00ED57DC" w:rsidRPr="00ED4D49" w:rsidRDefault="00ED57DC" w:rsidP="00ED57DC">
      <w:pPr>
        <w:spacing w:after="0"/>
        <w:jc w:val="both"/>
        <w:rPr>
          <w:rFonts w:cs="Calibri"/>
          <w:szCs w:val="24"/>
          <w:lang w:val="en-US"/>
        </w:rPr>
      </w:pPr>
      <w:r w:rsidRPr="00ED4D49">
        <w:rPr>
          <w:rFonts w:cs="Calibri"/>
          <w:szCs w:val="24"/>
          <w:lang w:val="en-US"/>
        </w:rPr>
        <w:t xml:space="preserve">Pursuant to the Federation and Cantonal regulations on physical planning and construction, in order to construct </w:t>
      </w:r>
      <w:r w:rsidR="00827A60" w:rsidRPr="00ED4D49">
        <w:rPr>
          <w:rFonts w:cs="Calibri"/>
          <w:szCs w:val="24"/>
          <w:lang w:val="en-US"/>
        </w:rPr>
        <w:t>facilities,</w:t>
      </w:r>
      <w:r w:rsidRPr="00ED4D49">
        <w:rPr>
          <w:rFonts w:cs="Calibri"/>
          <w:szCs w:val="24"/>
          <w:lang w:val="en-US"/>
        </w:rPr>
        <w:t xml:space="preserve"> it is necessary to obtain an Urban Permit, Construction Permit and Use Permit. Depending on the type of construction</w:t>
      </w:r>
      <w:r w:rsidR="00D351C4" w:rsidRPr="00ED4D49">
        <w:rPr>
          <w:rFonts w:cs="Calibri"/>
          <w:szCs w:val="24"/>
          <w:lang w:val="en-US"/>
        </w:rPr>
        <w:t>,</w:t>
      </w:r>
      <w:r w:rsidRPr="00ED4D49">
        <w:rPr>
          <w:rFonts w:cs="Calibri"/>
          <w:szCs w:val="24"/>
          <w:lang w:val="en-US"/>
        </w:rPr>
        <w:t xml:space="preserve"> these permits are issued by the Federal Ministry of Spatial Planning, the Cantonal Ministries relevant for spatial planning, or by the local </w:t>
      </w:r>
      <w:r w:rsidR="00827A60" w:rsidRPr="00ED4D49">
        <w:rPr>
          <w:rFonts w:cs="Calibri"/>
          <w:szCs w:val="24"/>
          <w:lang w:val="en-US"/>
        </w:rPr>
        <w:t>self-government</w:t>
      </w:r>
      <w:r w:rsidRPr="00ED4D49">
        <w:rPr>
          <w:rFonts w:cs="Calibri"/>
          <w:szCs w:val="24"/>
          <w:lang w:val="en-US"/>
        </w:rPr>
        <w:t xml:space="preserve"> units (Cities or Municipalities).</w:t>
      </w:r>
    </w:p>
    <w:p w14:paraId="4FDE13B9" w14:textId="2C743780" w:rsidR="008124E4" w:rsidRPr="00ED4D49" w:rsidRDefault="00D351C4" w:rsidP="003C717F">
      <w:pPr>
        <w:jc w:val="both"/>
        <w:rPr>
          <w:rFonts w:cs="Calibri"/>
          <w:lang w:val="en-US"/>
        </w:rPr>
      </w:pPr>
      <w:r w:rsidRPr="00ED4D49">
        <w:rPr>
          <w:rFonts w:cs="Calibri"/>
          <w:lang w:val="en-US"/>
        </w:rPr>
        <w:t>The</w:t>
      </w:r>
      <w:r w:rsidR="00ED57DC" w:rsidRPr="00ED4D49">
        <w:rPr>
          <w:rFonts w:cs="Calibri"/>
          <w:lang w:val="en-US"/>
        </w:rPr>
        <w:t xml:space="preserve"> Decree on Construction Site </w:t>
      </w:r>
      <w:r w:rsidR="0095474C" w:rsidRPr="00ED4D49">
        <w:rPr>
          <w:rFonts w:cs="Calibri"/>
          <w:lang w:val="en-US"/>
        </w:rPr>
        <w:t>Organization</w:t>
      </w:r>
      <w:r w:rsidR="00ED57DC" w:rsidRPr="00ED4D49">
        <w:rPr>
          <w:rFonts w:cs="Calibri"/>
          <w:lang w:val="en-US"/>
        </w:rPr>
        <w:t>, Mandatory Documentation on Construction Site and Construction Work Participants</w:t>
      </w:r>
      <w:r w:rsidR="00ED57DC" w:rsidRPr="00ED4D49">
        <w:rPr>
          <w:rFonts w:cs="Calibri"/>
          <w:vertAlign w:val="superscript"/>
          <w:lang w:val="en-US"/>
        </w:rPr>
        <w:footnoteReference w:id="60"/>
      </w:r>
      <w:r w:rsidRPr="00ED4D49">
        <w:rPr>
          <w:rFonts w:cs="Calibri"/>
          <w:lang w:val="en-US"/>
        </w:rPr>
        <w:t xml:space="preserve"> specifies the </w:t>
      </w:r>
      <w:r w:rsidR="00ED57DC" w:rsidRPr="00ED4D49">
        <w:rPr>
          <w:rFonts w:cs="Calibri"/>
          <w:lang w:val="en-US"/>
        </w:rPr>
        <w:t>documents</w:t>
      </w:r>
      <w:r w:rsidRPr="00ED4D49">
        <w:rPr>
          <w:rFonts w:cs="Calibri"/>
          <w:lang w:val="en-US"/>
        </w:rPr>
        <w:t xml:space="preserve"> that must be kept at</w:t>
      </w:r>
      <w:r w:rsidR="00ED57DC" w:rsidRPr="00ED4D49">
        <w:rPr>
          <w:rFonts w:cs="Calibri"/>
          <w:lang w:val="en-US"/>
        </w:rPr>
        <w:t xml:space="preserve"> construction site</w:t>
      </w:r>
      <w:r w:rsidRPr="00ED4D49">
        <w:rPr>
          <w:rFonts w:cs="Calibri"/>
          <w:lang w:val="en-US"/>
        </w:rPr>
        <w:t>s</w:t>
      </w:r>
      <w:r w:rsidR="003C717F" w:rsidRPr="00ED4D49">
        <w:rPr>
          <w:rFonts w:cs="Calibri"/>
          <w:lang w:val="en-US"/>
        </w:rPr>
        <w:t xml:space="preserve">, including a </w:t>
      </w:r>
      <w:r w:rsidR="003C717F" w:rsidRPr="00ED4D49">
        <w:rPr>
          <w:lang w:val="en-US"/>
        </w:rPr>
        <w:t>Construction Site Organization Plan (CSOP). The CSOP</w:t>
      </w:r>
      <w:r w:rsidR="003C717F" w:rsidRPr="00ED4D49">
        <w:rPr>
          <w:rFonts w:cs="Calibri"/>
          <w:lang w:val="en-US"/>
        </w:rPr>
        <w:t xml:space="preserve"> </w:t>
      </w:r>
      <w:r w:rsidR="008124E4" w:rsidRPr="00ED4D49">
        <w:rPr>
          <w:rFonts w:cs="Calibri"/>
          <w:lang w:val="en-US"/>
        </w:rPr>
        <w:t>contains the following:</w:t>
      </w:r>
      <w:r w:rsidR="008124E4" w:rsidRPr="00ED4D49">
        <w:rPr>
          <w:rFonts w:cs="Calibri"/>
          <w:color w:val="000000"/>
          <w:sz w:val="16"/>
          <w:szCs w:val="16"/>
          <w:shd w:val="clear" w:color="auto" w:fill="FFFFFF"/>
          <w:lang w:val="en-US"/>
        </w:rPr>
        <w:t xml:space="preserve"> </w:t>
      </w:r>
    </w:p>
    <w:p w14:paraId="15A77EFF" w14:textId="77777777" w:rsidR="008124E4" w:rsidRPr="00ED4D49" w:rsidRDefault="008124E4" w:rsidP="008D64BA">
      <w:pPr>
        <w:pStyle w:val="Bullets"/>
      </w:pPr>
      <w:r w:rsidRPr="00ED4D49">
        <w:t>Description of preparatory works and site arrangements works during and after construction works,</w:t>
      </w:r>
    </w:p>
    <w:p w14:paraId="55BFA77F" w14:textId="77777777" w:rsidR="008124E4" w:rsidRPr="00ED4D49" w:rsidRDefault="008124E4" w:rsidP="008D64BA">
      <w:pPr>
        <w:pStyle w:val="Bullets"/>
      </w:pPr>
      <w:r w:rsidRPr="00ED4D49">
        <w:t>Description of technological scheme,</w:t>
      </w:r>
    </w:p>
    <w:p w14:paraId="34898915" w14:textId="77777777" w:rsidR="008124E4" w:rsidRPr="00ED4D49" w:rsidRDefault="008124E4" w:rsidP="008D64BA">
      <w:pPr>
        <w:pStyle w:val="Bullets"/>
      </w:pPr>
      <w:r w:rsidRPr="00ED4D49">
        <w:t>Management Plan on Safety (composed of Occupational Safety Management Plan and Fire Fighting and Explosion Management Plan),</w:t>
      </w:r>
    </w:p>
    <w:p w14:paraId="1B5CAB38" w14:textId="396DF03F" w:rsidR="008124E4" w:rsidRPr="00ED4D49" w:rsidRDefault="008124E4" w:rsidP="008D64BA">
      <w:pPr>
        <w:pStyle w:val="Bullets"/>
      </w:pPr>
      <w:r w:rsidRPr="00ED4D49">
        <w:t>Environmental Management Plan during construction works.</w:t>
      </w:r>
      <w:r w:rsidR="003C717F" w:rsidRPr="00ED4D49">
        <w:t xml:space="preserve"> </w:t>
      </w:r>
    </w:p>
    <w:p w14:paraId="4D214CD9" w14:textId="7A76548F" w:rsidR="008124E4" w:rsidRPr="00ED4D49" w:rsidRDefault="008124E4" w:rsidP="008124E4">
      <w:pPr>
        <w:jc w:val="both"/>
        <w:rPr>
          <w:rFonts w:cs="Calibri"/>
          <w:lang w:val="en-US"/>
        </w:rPr>
      </w:pPr>
      <w:r w:rsidRPr="00ED4D49">
        <w:rPr>
          <w:rFonts w:cs="Calibri"/>
          <w:lang w:val="en-US"/>
        </w:rPr>
        <w:t xml:space="preserve">The </w:t>
      </w:r>
      <w:r w:rsidR="003C717F" w:rsidRPr="00ED4D49">
        <w:rPr>
          <w:lang w:val="en-US"/>
        </w:rPr>
        <w:t>CSOP</w:t>
      </w:r>
      <w:r w:rsidR="003C717F" w:rsidRPr="00ED4D49">
        <w:rPr>
          <w:rFonts w:cs="Calibri"/>
          <w:lang w:val="en-US"/>
        </w:rPr>
        <w:t xml:space="preserve"> </w:t>
      </w:r>
      <w:r w:rsidRPr="00ED4D49">
        <w:rPr>
          <w:rFonts w:cs="Calibri"/>
          <w:lang w:val="en-US"/>
        </w:rPr>
        <w:t xml:space="preserve">must be developed by the Contractor for construction works prior to the commencement of construction works. </w:t>
      </w:r>
      <w:r w:rsidR="003C717F" w:rsidRPr="00ED4D49">
        <w:rPr>
          <w:rFonts w:cs="Calibri"/>
          <w:lang w:val="en-US"/>
        </w:rPr>
        <w:t>It</w:t>
      </w:r>
      <w:r w:rsidRPr="00ED4D49">
        <w:rPr>
          <w:rFonts w:cs="Calibri"/>
          <w:lang w:val="en-US"/>
        </w:rPr>
        <w:t xml:space="preserve"> has to be controlled and signed by the Supervisory Authority which is the legal entity responsible for the overall supervision of construction works, as stipulated by the above-mentioned Decree. The Plan should correspond to the requirements, safety measures and obligations contained in the Environmental Permit or environmental requirements laid down in the approval process for the construction.</w:t>
      </w:r>
    </w:p>
    <w:p w14:paraId="50EB66DE" w14:textId="3681C085" w:rsidR="00ED57DC" w:rsidRPr="00ED4D49" w:rsidRDefault="00ED57DC" w:rsidP="00ED57DC">
      <w:pPr>
        <w:spacing w:after="0"/>
        <w:jc w:val="both"/>
        <w:rPr>
          <w:rFonts w:cs="Calibri"/>
          <w:color w:val="1F497D"/>
          <w:lang w:val="en-US"/>
        </w:rPr>
      </w:pPr>
      <w:r w:rsidRPr="00ED4D49">
        <w:rPr>
          <w:rFonts w:cs="Calibri"/>
          <w:color w:val="1F497D"/>
          <w:lang w:val="en-US"/>
        </w:rPr>
        <w:t xml:space="preserve">Construction Regulations in </w:t>
      </w:r>
      <w:r w:rsidR="00387D38" w:rsidRPr="00ED4D49">
        <w:rPr>
          <w:rFonts w:cs="Calibri"/>
          <w:color w:val="1F497D"/>
          <w:lang w:val="en-US"/>
        </w:rPr>
        <w:t>RS</w:t>
      </w:r>
    </w:p>
    <w:p w14:paraId="71D62CC9" w14:textId="2896E916" w:rsidR="00ED57DC" w:rsidRPr="00ED4D49" w:rsidRDefault="00ED57DC" w:rsidP="00ED57DC">
      <w:pPr>
        <w:spacing w:after="0"/>
        <w:jc w:val="both"/>
        <w:rPr>
          <w:rFonts w:cs="Calibri"/>
          <w:szCs w:val="24"/>
          <w:lang w:val="en-US"/>
        </w:rPr>
      </w:pPr>
      <w:r w:rsidRPr="00ED4D49">
        <w:rPr>
          <w:rFonts w:cs="Calibri"/>
          <w:szCs w:val="24"/>
          <w:lang w:val="en-US"/>
        </w:rPr>
        <w:t>In RS, pursuant to the Law on Physical Planning and Construction</w:t>
      </w:r>
      <w:r w:rsidRPr="00ED4D49">
        <w:rPr>
          <w:rStyle w:val="FootnoteReference"/>
          <w:rFonts w:cs="Calibri"/>
          <w:szCs w:val="24"/>
          <w:lang w:val="en-US"/>
        </w:rPr>
        <w:footnoteReference w:id="61"/>
      </w:r>
      <w:r w:rsidRPr="00ED4D49">
        <w:rPr>
          <w:rFonts w:cs="Calibri"/>
          <w:szCs w:val="24"/>
          <w:lang w:val="en-US"/>
        </w:rPr>
        <w:t>, for design and construction of buildings it is necessary to obtain Site Requirements, Construction Permit and Use Permit. Depending on the type of construction</w:t>
      </w:r>
      <w:r w:rsidR="003C717F" w:rsidRPr="00ED4D49">
        <w:rPr>
          <w:rFonts w:cs="Calibri"/>
          <w:szCs w:val="24"/>
          <w:lang w:val="en-US"/>
        </w:rPr>
        <w:t>,</w:t>
      </w:r>
      <w:r w:rsidRPr="00ED4D49">
        <w:rPr>
          <w:rFonts w:cs="Calibri"/>
          <w:szCs w:val="24"/>
          <w:lang w:val="en-US"/>
        </w:rPr>
        <w:t xml:space="preserve"> these permits are issued by the RS</w:t>
      </w:r>
      <w:r w:rsidR="00C6478C" w:rsidRPr="00ED4D49">
        <w:rPr>
          <w:rFonts w:cs="Calibri"/>
          <w:szCs w:val="24"/>
          <w:lang w:val="en-US"/>
        </w:rPr>
        <w:t xml:space="preserve"> </w:t>
      </w:r>
      <w:r w:rsidRPr="00ED4D49">
        <w:rPr>
          <w:rFonts w:cs="Calibri"/>
          <w:szCs w:val="24"/>
          <w:lang w:val="en-US"/>
        </w:rPr>
        <w:t xml:space="preserve">MPPCEE or by the local </w:t>
      </w:r>
      <w:r w:rsidR="00387D38" w:rsidRPr="00ED4D49">
        <w:rPr>
          <w:rFonts w:cs="Calibri"/>
          <w:szCs w:val="24"/>
          <w:lang w:val="en-US"/>
        </w:rPr>
        <w:t>self-government</w:t>
      </w:r>
      <w:r w:rsidRPr="00ED4D49">
        <w:rPr>
          <w:rFonts w:cs="Calibri"/>
          <w:szCs w:val="24"/>
          <w:lang w:val="en-US"/>
        </w:rPr>
        <w:t xml:space="preserve"> units (Cities or Municipalities).</w:t>
      </w:r>
    </w:p>
    <w:p w14:paraId="62D9C863" w14:textId="17BF8256" w:rsidR="00CF0969" w:rsidRPr="00ED4D49" w:rsidRDefault="003C717F" w:rsidP="003C717F">
      <w:pPr>
        <w:jc w:val="both"/>
        <w:rPr>
          <w:bCs/>
          <w:szCs w:val="24"/>
          <w:lang w:val="en-US"/>
        </w:rPr>
      </w:pPr>
      <w:r w:rsidRPr="00ED4D49">
        <w:rPr>
          <w:rFonts w:cs="Calibri"/>
          <w:lang w:val="en-US"/>
        </w:rPr>
        <w:t>The mentioned</w:t>
      </w:r>
      <w:r w:rsidR="00ED57DC" w:rsidRPr="00ED4D49">
        <w:rPr>
          <w:rFonts w:cs="Calibri"/>
          <w:lang w:val="en-US"/>
        </w:rPr>
        <w:t xml:space="preserve"> </w:t>
      </w:r>
      <w:r w:rsidR="00ED57DC" w:rsidRPr="00ED4D49">
        <w:rPr>
          <w:rFonts w:cs="Calibri"/>
          <w:szCs w:val="24"/>
          <w:lang w:val="en-US"/>
        </w:rPr>
        <w:t xml:space="preserve">Law </w:t>
      </w:r>
      <w:r w:rsidRPr="00ED4D49">
        <w:rPr>
          <w:rFonts w:cs="Calibri"/>
          <w:lang w:val="en-US"/>
        </w:rPr>
        <w:t xml:space="preserve">specifies the documents that must be kept at construction sites, including a </w:t>
      </w:r>
      <w:r w:rsidR="00CF0969" w:rsidRPr="00ED4D49">
        <w:rPr>
          <w:lang w:val="en-US"/>
        </w:rPr>
        <w:t>Construction Site Organization Scheme</w:t>
      </w:r>
      <w:r w:rsidRPr="00ED4D49">
        <w:rPr>
          <w:lang w:val="en-US"/>
        </w:rPr>
        <w:t xml:space="preserve">. The Scheme </w:t>
      </w:r>
      <w:r w:rsidR="00CF0969" w:rsidRPr="00ED4D49">
        <w:rPr>
          <w:lang w:val="en-US"/>
        </w:rPr>
        <w:t>includ</w:t>
      </w:r>
      <w:r w:rsidRPr="00ED4D49">
        <w:rPr>
          <w:lang w:val="en-US"/>
        </w:rPr>
        <w:t>es a</w:t>
      </w:r>
      <w:r w:rsidR="00CF0969" w:rsidRPr="00ED4D49">
        <w:rPr>
          <w:lang w:val="en-US"/>
        </w:rPr>
        <w:t xml:space="preserve"> Safety Plan developed </w:t>
      </w:r>
      <w:r w:rsidR="00CF0969" w:rsidRPr="00ED4D49">
        <w:rPr>
          <w:szCs w:val="24"/>
          <w:lang w:val="en-US"/>
        </w:rPr>
        <w:t xml:space="preserve">by the </w:t>
      </w:r>
      <w:r w:rsidRPr="00ED4D49">
        <w:rPr>
          <w:szCs w:val="24"/>
          <w:lang w:val="en-US"/>
        </w:rPr>
        <w:t>C</w:t>
      </w:r>
      <w:r w:rsidR="00CF0969" w:rsidRPr="00ED4D49">
        <w:rPr>
          <w:szCs w:val="24"/>
          <w:lang w:val="en-US"/>
        </w:rPr>
        <w:t>ontractor</w:t>
      </w:r>
      <w:r w:rsidR="00CF0969" w:rsidRPr="00ED4D49">
        <w:rPr>
          <w:bCs/>
          <w:szCs w:val="24"/>
          <w:lang w:val="en-US"/>
        </w:rPr>
        <w:t xml:space="preserve">. </w:t>
      </w:r>
    </w:p>
    <w:p w14:paraId="6CD5BDBE" w14:textId="2AC1AB6A" w:rsidR="00ED57DC" w:rsidRPr="00ED4D49" w:rsidRDefault="00ED57DC" w:rsidP="00ED57DC">
      <w:pPr>
        <w:spacing w:after="0"/>
        <w:jc w:val="both"/>
        <w:rPr>
          <w:rFonts w:cs="Calibri"/>
          <w:color w:val="1F497D"/>
          <w:lang w:val="en-US"/>
        </w:rPr>
      </w:pPr>
      <w:r w:rsidRPr="00ED4D49">
        <w:rPr>
          <w:rFonts w:cs="Calibri"/>
          <w:color w:val="1F497D"/>
          <w:lang w:val="en-US"/>
        </w:rPr>
        <w:t xml:space="preserve">Construction Regulations in </w:t>
      </w:r>
      <w:r w:rsidR="00387D38" w:rsidRPr="00ED4D49">
        <w:rPr>
          <w:rFonts w:cs="Calibri"/>
          <w:color w:val="1F497D"/>
          <w:lang w:val="en-US"/>
        </w:rPr>
        <w:t>BD</w:t>
      </w:r>
    </w:p>
    <w:p w14:paraId="5EDD1796" w14:textId="26A8C566" w:rsidR="00ED57DC" w:rsidRPr="00ED4D49" w:rsidRDefault="00ED57DC" w:rsidP="00ED57DC">
      <w:pPr>
        <w:spacing w:after="0"/>
        <w:jc w:val="both"/>
        <w:rPr>
          <w:rFonts w:cs="Calibri"/>
          <w:szCs w:val="24"/>
          <w:lang w:val="en-US"/>
        </w:rPr>
      </w:pPr>
      <w:r w:rsidRPr="00ED4D49">
        <w:rPr>
          <w:rFonts w:cs="Calibri"/>
          <w:szCs w:val="24"/>
          <w:lang w:val="en-US"/>
        </w:rPr>
        <w:t>In BD, pursuant to the Law on Spatial Planning and Construction of BD</w:t>
      </w:r>
      <w:r w:rsidRPr="00ED4D49">
        <w:rPr>
          <w:rFonts w:cs="Calibri"/>
          <w:i/>
          <w:szCs w:val="24"/>
          <w:vertAlign w:val="superscript"/>
          <w:lang w:val="en-US"/>
        </w:rPr>
        <w:footnoteReference w:id="62"/>
      </w:r>
      <w:r w:rsidR="003C717F" w:rsidRPr="00ED4D49">
        <w:rPr>
          <w:rFonts w:cs="Calibri"/>
          <w:szCs w:val="24"/>
          <w:lang w:val="en-US"/>
        </w:rPr>
        <w:t>,</w:t>
      </w:r>
      <w:r w:rsidRPr="00ED4D49">
        <w:rPr>
          <w:rFonts w:cs="Calibri"/>
          <w:i/>
          <w:szCs w:val="24"/>
          <w:lang w:val="en-US"/>
        </w:rPr>
        <w:t xml:space="preserve"> </w:t>
      </w:r>
      <w:r w:rsidRPr="00ED4D49">
        <w:rPr>
          <w:rFonts w:cs="Calibri"/>
          <w:szCs w:val="24"/>
          <w:lang w:val="en-US"/>
        </w:rPr>
        <w:t xml:space="preserve">it is necessary to obtain </w:t>
      </w:r>
      <w:r w:rsidR="003C717F" w:rsidRPr="00ED4D49">
        <w:rPr>
          <w:rFonts w:cs="Calibri"/>
          <w:szCs w:val="24"/>
          <w:lang w:val="en-US"/>
        </w:rPr>
        <w:t>a</w:t>
      </w:r>
      <w:r w:rsidRPr="00ED4D49">
        <w:rPr>
          <w:rFonts w:cs="Calibri"/>
          <w:lang w:val="en-US"/>
        </w:rPr>
        <w:t xml:space="preserve"> Location Permit, Construction Permit and Use Permit</w:t>
      </w:r>
      <w:r w:rsidR="003C717F" w:rsidRPr="00ED4D49">
        <w:rPr>
          <w:rFonts w:cs="Calibri"/>
          <w:lang w:val="en-US"/>
        </w:rPr>
        <w:t xml:space="preserve"> </w:t>
      </w:r>
      <w:r w:rsidR="003C717F" w:rsidRPr="00ED4D49">
        <w:rPr>
          <w:rFonts w:cs="Calibri"/>
          <w:szCs w:val="24"/>
          <w:lang w:val="en-US"/>
        </w:rPr>
        <w:t>for construction of facilities and buildings</w:t>
      </w:r>
      <w:r w:rsidRPr="00ED4D49">
        <w:rPr>
          <w:rFonts w:cs="Calibri"/>
          <w:lang w:val="en-US"/>
        </w:rPr>
        <w:t xml:space="preserve">. Location Permits are </w:t>
      </w:r>
      <w:r w:rsidRPr="00ED4D49">
        <w:rPr>
          <w:rFonts w:cs="Calibri"/>
          <w:lang w:val="en-US"/>
        </w:rPr>
        <w:lastRenderedPageBreak/>
        <w:t>issued by the Department of Spatial Planning and Property Affairs, whereas the Construction and Use Permits are issued by the Department for Public Safety.</w:t>
      </w:r>
    </w:p>
    <w:p w14:paraId="13F361D0" w14:textId="227FF5C5" w:rsidR="00ED57DC" w:rsidRPr="00ED4D49" w:rsidRDefault="003C717F" w:rsidP="00ED57DC">
      <w:pPr>
        <w:spacing w:after="0"/>
        <w:jc w:val="both"/>
        <w:rPr>
          <w:rFonts w:cs="Calibri"/>
          <w:szCs w:val="24"/>
          <w:lang w:val="en-US"/>
        </w:rPr>
      </w:pPr>
      <w:r w:rsidRPr="00ED4D49">
        <w:rPr>
          <w:rFonts w:cs="Calibri"/>
          <w:szCs w:val="24"/>
          <w:lang w:val="en-US"/>
        </w:rPr>
        <w:t>The</w:t>
      </w:r>
      <w:r w:rsidR="00ED57DC" w:rsidRPr="00ED4D49">
        <w:rPr>
          <w:rFonts w:cs="Calibri"/>
          <w:szCs w:val="24"/>
          <w:lang w:val="en-US"/>
        </w:rPr>
        <w:t xml:space="preserve"> </w:t>
      </w:r>
      <w:r w:rsidRPr="00ED4D49">
        <w:rPr>
          <w:rFonts w:cs="Calibri"/>
          <w:szCs w:val="24"/>
          <w:lang w:val="en-US"/>
        </w:rPr>
        <w:t xml:space="preserve">mentioned </w:t>
      </w:r>
      <w:r w:rsidRPr="00ED4D49">
        <w:rPr>
          <w:rFonts w:cs="Calibri"/>
          <w:lang w:val="en-US"/>
        </w:rPr>
        <w:t>specifies the documents that must be kept at construction sites, including a</w:t>
      </w:r>
      <w:r w:rsidRPr="00ED4D49">
        <w:rPr>
          <w:rFonts w:cs="Calibri"/>
          <w:szCs w:val="24"/>
          <w:lang w:val="en-US"/>
        </w:rPr>
        <w:t xml:space="preserve"> </w:t>
      </w:r>
      <w:r w:rsidRPr="00ED4D49">
        <w:rPr>
          <w:lang w:val="en-US"/>
        </w:rPr>
        <w:t xml:space="preserve">Construction Site Organization Scheme. </w:t>
      </w:r>
    </w:p>
    <w:p w14:paraId="03C47397" w14:textId="553D1A99" w:rsidR="00F57E67" w:rsidRPr="00ED4D49" w:rsidRDefault="00F57E67" w:rsidP="0023292C">
      <w:pPr>
        <w:pStyle w:val="Heading3"/>
      </w:pPr>
      <w:bookmarkStart w:id="196" w:name="_Toc19223876"/>
      <w:bookmarkStart w:id="197" w:name="_Toc31811092"/>
      <w:r w:rsidRPr="00ED4D49">
        <w:t>Regulations on Working Conditions</w:t>
      </w:r>
      <w:bookmarkEnd w:id="196"/>
      <w:bookmarkEnd w:id="197"/>
      <w:r w:rsidRPr="00ED4D49">
        <w:t xml:space="preserve"> </w:t>
      </w:r>
    </w:p>
    <w:p w14:paraId="25CD028A" w14:textId="77777777" w:rsidR="003C717F" w:rsidRPr="00ED4D49" w:rsidRDefault="00A76BEC" w:rsidP="00A76BEC">
      <w:pPr>
        <w:spacing w:after="0"/>
        <w:jc w:val="both"/>
        <w:rPr>
          <w:rFonts w:cs="Calibri"/>
          <w:szCs w:val="20"/>
          <w:lang w:val="en-US"/>
        </w:rPr>
      </w:pPr>
      <w:r w:rsidRPr="00ED4D49">
        <w:rPr>
          <w:rFonts w:cs="Calibri"/>
          <w:szCs w:val="20"/>
          <w:lang w:val="en-US"/>
        </w:rPr>
        <w:t>Labor legislation and safety at work are regulated at FBiH, RS and BD BiH level by the following regulations:</w:t>
      </w:r>
    </w:p>
    <w:p w14:paraId="53139086" w14:textId="510E1F20" w:rsidR="00A76BEC" w:rsidRPr="00ED4D49" w:rsidRDefault="00A76BEC" w:rsidP="003C717F">
      <w:pPr>
        <w:spacing w:before="0" w:after="0"/>
        <w:jc w:val="both"/>
        <w:rPr>
          <w:rFonts w:cs="Calibri"/>
          <w:szCs w:val="20"/>
          <w:lang w:val="en-US"/>
        </w:rPr>
      </w:pPr>
      <w:r w:rsidRPr="00ED4D49">
        <w:rPr>
          <w:rFonts w:cs="Calibri"/>
          <w:szCs w:val="20"/>
          <w:lang w:val="en-US"/>
        </w:rPr>
        <w:t xml:space="preserve"> </w:t>
      </w:r>
    </w:p>
    <w:tbl>
      <w:tblPr>
        <w:tblW w:w="4998"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1969"/>
        <w:gridCol w:w="7037"/>
      </w:tblGrid>
      <w:tr w:rsidR="00A76BEC" w:rsidRPr="00ED4D49" w14:paraId="766D5698" w14:textId="77777777" w:rsidTr="00A76BEC">
        <w:tc>
          <w:tcPr>
            <w:tcW w:w="5000" w:type="pct"/>
            <w:gridSpan w:val="2"/>
            <w:shd w:val="clear" w:color="auto" w:fill="auto"/>
          </w:tcPr>
          <w:p w14:paraId="309C4770" w14:textId="77777777" w:rsidR="00A76BEC" w:rsidRPr="00ED4D49" w:rsidRDefault="00A76BEC" w:rsidP="00A76BEC">
            <w:pPr>
              <w:spacing w:before="0" w:after="0"/>
              <w:jc w:val="center"/>
              <w:rPr>
                <w:rFonts w:cs="Calibri"/>
                <w:color w:val="000000"/>
                <w:sz w:val="16"/>
                <w:szCs w:val="16"/>
                <w:lang w:val="en-US"/>
              </w:rPr>
            </w:pPr>
            <w:r w:rsidRPr="00ED4D49">
              <w:rPr>
                <w:rFonts w:cs="Calibri"/>
                <w:color w:val="1F497D"/>
                <w:sz w:val="16"/>
                <w:szCs w:val="16"/>
                <w:lang w:val="en-US"/>
              </w:rPr>
              <w:t>Federation of Bosnia and Herzegovina</w:t>
            </w:r>
          </w:p>
        </w:tc>
      </w:tr>
      <w:tr w:rsidR="00A76BEC" w:rsidRPr="00ED4D49" w14:paraId="4CEEF931" w14:textId="77777777" w:rsidTr="00A76BEC">
        <w:tc>
          <w:tcPr>
            <w:tcW w:w="1093" w:type="pct"/>
            <w:shd w:val="clear" w:color="auto" w:fill="auto"/>
          </w:tcPr>
          <w:p w14:paraId="5BA00D4A" w14:textId="77777777" w:rsidR="00A76BEC" w:rsidRPr="00ED4D49" w:rsidRDefault="00A76BEC" w:rsidP="00A76BEC">
            <w:pPr>
              <w:spacing w:before="0" w:after="0"/>
              <w:ind w:left="144" w:right="144"/>
              <w:rPr>
                <w:rFonts w:cs="Calibri"/>
                <w:sz w:val="16"/>
                <w:szCs w:val="16"/>
                <w:lang w:val="en-US"/>
              </w:rPr>
            </w:pPr>
            <w:r w:rsidRPr="00ED4D49">
              <w:rPr>
                <w:rFonts w:cs="Calibri"/>
                <w:color w:val="1F497D"/>
                <w:sz w:val="16"/>
                <w:szCs w:val="16"/>
                <w:lang w:val="en-US"/>
              </w:rPr>
              <w:t>FBiH Labor Law</w:t>
            </w:r>
            <w:r w:rsidRPr="00ED4D49">
              <w:rPr>
                <w:rStyle w:val="FootnoteReference"/>
                <w:rFonts w:cs="Calibri"/>
                <w:bCs/>
                <w:sz w:val="16"/>
                <w:szCs w:val="16"/>
                <w:lang w:val="en-US"/>
              </w:rPr>
              <w:footnoteReference w:id="63"/>
            </w:r>
          </w:p>
        </w:tc>
        <w:tc>
          <w:tcPr>
            <w:tcW w:w="3907" w:type="pct"/>
            <w:shd w:val="clear" w:color="auto" w:fill="auto"/>
          </w:tcPr>
          <w:p w14:paraId="262AA454" w14:textId="6A44ECC8" w:rsidR="00A76BEC" w:rsidRPr="00ED4D49" w:rsidRDefault="00A76BEC" w:rsidP="00A76BEC">
            <w:pPr>
              <w:spacing w:before="0" w:after="0"/>
              <w:jc w:val="both"/>
              <w:rPr>
                <w:rFonts w:cs="Calibri"/>
                <w:sz w:val="16"/>
                <w:szCs w:val="16"/>
                <w:lang w:val="en-US"/>
              </w:rPr>
            </w:pPr>
            <w:r w:rsidRPr="00ED4D49">
              <w:rPr>
                <w:rFonts w:cs="Calibri"/>
                <w:color w:val="000000"/>
                <w:sz w:val="16"/>
                <w:szCs w:val="16"/>
                <w:lang w:val="en-US"/>
              </w:rPr>
              <w:t>Regulates conclusion of employment contract, working hours, salary, work contract termination, right and obligations under employment contracts and collective bargaining. The Law, inter alia, treats rights of worker and employer to enter employment contract, rights of minor and female workers, safety and health at work. Provisions of this Law are harmonized with ILO Conventions on forced work, discrimination, child work, equal pay, freedom of association, freedom of organization and collective bargaining.</w:t>
            </w:r>
            <w:r w:rsidR="00C6478C" w:rsidRPr="00ED4D49">
              <w:rPr>
                <w:rFonts w:cs="Calibri"/>
                <w:color w:val="000000"/>
                <w:sz w:val="16"/>
                <w:szCs w:val="16"/>
                <w:lang w:val="en-US"/>
              </w:rPr>
              <w:t xml:space="preserve"> </w:t>
            </w:r>
          </w:p>
        </w:tc>
      </w:tr>
      <w:tr w:rsidR="00A76BEC" w:rsidRPr="00ED4D49" w14:paraId="01D5BB2B" w14:textId="77777777" w:rsidTr="00A76BEC">
        <w:tc>
          <w:tcPr>
            <w:tcW w:w="1093" w:type="pct"/>
            <w:shd w:val="clear" w:color="auto" w:fill="auto"/>
          </w:tcPr>
          <w:p w14:paraId="06DA9C01" w14:textId="302E7E91" w:rsidR="00A76BEC" w:rsidRPr="00ED4D49" w:rsidRDefault="00A76BEC" w:rsidP="00A76BEC">
            <w:pPr>
              <w:spacing w:before="0" w:after="0"/>
              <w:ind w:left="144" w:right="144"/>
              <w:rPr>
                <w:rFonts w:cs="Calibri"/>
                <w:bCs/>
                <w:i/>
                <w:iCs/>
                <w:color w:val="000000"/>
                <w:sz w:val="16"/>
                <w:szCs w:val="16"/>
                <w:lang w:val="en-US"/>
              </w:rPr>
            </w:pPr>
            <w:proofErr w:type="spellStart"/>
            <w:r w:rsidRPr="00ED4D49">
              <w:rPr>
                <w:rFonts w:cs="Calibri"/>
                <w:color w:val="1F497D"/>
                <w:sz w:val="16"/>
                <w:szCs w:val="16"/>
                <w:lang w:val="en-US"/>
              </w:rPr>
              <w:t>SRBiH</w:t>
            </w:r>
            <w:proofErr w:type="spellEnd"/>
            <w:r w:rsidRPr="00ED4D49">
              <w:rPr>
                <w:rFonts w:cs="Calibri"/>
                <w:color w:val="1F497D"/>
                <w:sz w:val="16"/>
                <w:szCs w:val="16"/>
                <w:lang w:val="en-US"/>
              </w:rPr>
              <w:t xml:space="preserve"> Law on Safety at Work</w:t>
            </w:r>
            <w:r w:rsidRPr="00ED4D49">
              <w:rPr>
                <w:rStyle w:val="FootnoteReference"/>
                <w:rFonts w:cs="Calibri"/>
                <w:b/>
                <w:sz w:val="16"/>
                <w:szCs w:val="16"/>
                <w:lang w:val="en-US"/>
              </w:rPr>
              <w:footnoteReference w:id="64"/>
            </w:r>
            <w:r w:rsidR="00061D50" w:rsidRPr="00ED4D49">
              <w:rPr>
                <w:rFonts w:cs="Calibri"/>
                <w:color w:val="1F497D"/>
                <w:sz w:val="16"/>
                <w:szCs w:val="16"/>
                <w:lang w:val="en-US"/>
              </w:rPr>
              <w:t xml:space="preserve"> </w:t>
            </w:r>
            <w:r w:rsidRPr="00ED4D49">
              <w:rPr>
                <w:rFonts w:cs="Calibri"/>
                <w:bCs/>
                <w:color w:val="000000"/>
                <w:sz w:val="16"/>
                <w:szCs w:val="16"/>
                <w:lang w:val="en-US"/>
              </w:rPr>
              <w:t>(applied in FBiH)</w:t>
            </w:r>
          </w:p>
        </w:tc>
        <w:tc>
          <w:tcPr>
            <w:tcW w:w="3907" w:type="pct"/>
            <w:shd w:val="clear" w:color="auto" w:fill="auto"/>
          </w:tcPr>
          <w:p w14:paraId="0B9F859E" w14:textId="77777777" w:rsidR="00A76BEC" w:rsidRPr="00ED4D49" w:rsidRDefault="00A76BEC" w:rsidP="00A76BEC">
            <w:pPr>
              <w:spacing w:before="0" w:after="0"/>
              <w:jc w:val="both"/>
              <w:rPr>
                <w:rFonts w:cs="Calibri"/>
                <w:color w:val="000000"/>
                <w:sz w:val="16"/>
                <w:szCs w:val="16"/>
                <w:lang w:val="en-US"/>
              </w:rPr>
            </w:pPr>
            <w:r w:rsidRPr="00ED4D49">
              <w:rPr>
                <w:rFonts w:cs="Calibri"/>
                <w:color w:val="000000"/>
                <w:sz w:val="16"/>
                <w:szCs w:val="16"/>
                <w:lang w:val="en-US"/>
              </w:rPr>
              <w:t xml:space="preserve">Regulates safety at work measures which include measures which directly ensure safety at work, measures related to working conditions and measures related to special protection of workers, rights, obligations and responsibilities of organization, employer and worker, records, inspection surveillance and penalty provisions. </w:t>
            </w:r>
          </w:p>
        </w:tc>
      </w:tr>
      <w:tr w:rsidR="00A76BEC" w:rsidRPr="00ED4D49" w14:paraId="0B2AE032" w14:textId="77777777" w:rsidTr="00A76BEC">
        <w:tc>
          <w:tcPr>
            <w:tcW w:w="5000" w:type="pct"/>
            <w:gridSpan w:val="2"/>
            <w:shd w:val="clear" w:color="auto" w:fill="auto"/>
          </w:tcPr>
          <w:p w14:paraId="7F7A2002" w14:textId="77777777" w:rsidR="00A76BEC" w:rsidRPr="00ED4D49" w:rsidRDefault="00A76BEC" w:rsidP="00A76BEC">
            <w:pPr>
              <w:spacing w:before="0" w:after="0"/>
              <w:jc w:val="center"/>
              <w:rPr>
                <w:rFonts w:cs="Calibri"/>
                <w:color w:val="1F497D"/>
                <w:sz w:val="16"/>
                <w:szCs w:val="16"/>
                <w:lang w:val="en-US"/>
              </w:rPr>
            </w:pPr>
            <w:proofErr w:type="spellStart"/>
            <w:r w:rsidRPr="00ED4D49">
              <w:rPr>
                <w:rFonts w:cs="Calibri"/>
                <w:color w:val="1F497D"/>
                <w:sz w:val="16"/>
                <w:szCs w:val="16"/>
                <w:lang w:val="en-US"/>
              </w:rPr>
              <w:t>Republika</w:t>
            </w:r>
            <w:proofErr w:type="spellEnd"/>
            <w:r w:rsidRPr="00ED4D49">
              <w:rPr>
                <w:rFonts w:cs="Calibri"/>
                <w:color w:val="1F497D"/>
                <w:sz w:val="16"/>
                <w:szCs w:val="16"/>
                <w:lang w:val="en-US"/>
              </w:rPr>
              <w:t xml:space="preserve"> Srpska</w:t>
            </w:r>
          </w:p>
        </w:tc>
      </w:tr>
      <w:tr w:rsidR="00A76BEC" w:rsidRPr="00ED4D49" w14:paraId="150B8637" w14:textId="77777777" w:rsidTr="00A76BEC">
        <w:tc>
          <w:tcPr>
            <w:tcW w:w="1093" w:type="pct"/>
            <w:shd w:val="clear" w:color="auto" w:fill="auto"/>
          </w:tcPr>
          <w:p w14:paraId="06E7A520" w14:textId="77777777" w:rsidR="00A76BEC" w:rsidRPr="00ED4D49" w:rsidRDefault="00A76BEC" w:rsidP="00A76BEC">
            <w:pPr>
              <w:spacing w:before="0" w:after="0"/>
              <w:ind w:left="144" w:right="144"/>
              <w:rPr>
                <w:rFonts w:cs="Calibri"/>
                <w:sz w:val="16"/>
                <w:szCs w:val="16"/>
                <w:lang w:val="en-US"/>
              </w:rPr>
            </w:pPr>
            <w:r w:rsidRPr="00ED4D49">
              <w:rPr>
                <w:rFonts w:cs="Calibri"/>
                <w:color w:val="1F497D"/>
                <w:sz w:val="16"/>
                <w:szCs w:val="16"/>
                <w:lang w:val="en-US"/>
              </w:rPr>
              <w:t>RS Labor Law</w:t>
            </w:r>
            <w:r w:rsidRPr="00ED4D49">
              <w:rPr>
                <w:rStyle w:val="FootnoteReference"/>
                <w:rFonts w:cs="Calibri"/>
                <w:b/>
                <w:sz w:val="16"/>
                <w:szCs w:val="16"/>
                <w:lang w:val="en-US"/>
              </w:rPr>
              <w:footnoteReference w:id="65"/>
            </w:r>
          </w:p>
        </w:tc>
        <w:tc>
          <w:tcPr>
            <w:tcW w:w="3907" w:type="pct"/>
            <w:shd w:val="clear" w:color="auto" w:fill="auto"/>
          </w:tcPr>
          <w:p w14:paraId="7FB6709F" w14:textId="77777777" w:rsidR="00A76BEC" w:rsidRPr="00ED4D49" w:rsidRDefault="00A76BEC" w:rsidP="00A76BEC">
            <w:pPr>
              <w:spacing w:before="0" w:after="0"/>
              <w:jc w:val="both"/>
              <w:rPr>
                <w:rFonts w:cs="Calibri"/>
                <w:sz w:val="16"/>
                <w:szCs w:val="16"/>
                <w:lang w:val="en-US"/>
              </w:rPr>
            </w:pPr>
            <w:r w:rsidRPr="00ED4D49">
              <w:rPr>
                <w:rFonts w:cs="Calibri"/>
                <w:color w:val="000000"/>
                <w:sz w:val="16"/>
                <w:szCs w:val="16"/>
                <w:lang w:val="en-US"/>
              </w:rPr>
              <w:t xml:space="preserve">Governs employment relations, rights, obligations and responsibilities under employment contract, conclusion of employment contract, working hours, breaks and leave, general protection of workers, salaries, allowances and other receipts, employment contract termination, protection of workers’ rights, as well as organization of workers and employers. </w:t>
            </w:r>
          </w:p>
        </w:tc>
      </w:tr>
      <w:tr w:rsidR="00A76BEC" w:rsidRPr="00ED4D49" w14:paraId="684C9765" w14:textId="77777777" w:rsidTr="00A76BEC">
        <w:tc>
          <w:tcPr>
            <w:tcW w:w="1093" w:type="pct"/>
            <w:shd w:val="clear" w:color="auto" w:fill="auto"/>
          </w:tcPr>
          <w:p w14:paraId="7628A898" w14:textId="77777777" w:rsidR="00A76BEC" w:rsidRPr="00ED4D49" w:rsidRDefault="00A76BEC" w:rsidP="00A76BEC">
            <w:pPr>
              <w:spacing w:before="0" w:after="0"/>
              <w:ind w:left="144" w:right="144"/>
              <w:rPr>
                <w:rFonts w:cs="Calibri"/>
                <w:bCs/>
                <w:i/>
                <w:iCs/>
                <w:color w:val="000000"/>
                <w:sz w:val="16"/>
                <w:szCs w:val="16"/>
                <w:lang w:val="en-US"/>
              </w:rPr>
            </w:pPr>
            <w:r w:rsidRPr="00ED4D49">
              <w:rPr>
                <w:rFonts w:cs="Calibri"/>
                <w:color w:val="1F497D"/>
                <w:sz w:val="16"/>
                <w:szCs w:val="16"/>
                <w:lang w:val="en-US"/>
              </w:rPr>
              <w:t>RS Law on Safety at Work</w:t>
            </w:r>
            <w:r w:rsidRPr="00ED4D49">
              <w:rPr>
                <w:rStyle w:val="FootnoteReference"/>
                <w:rFonts w:cs="Calibri"/>
                <w:b/>
                <w:sz w:val="16"/>
                <w:szCs w:val="16"/>
                <w:lang w:val="en-US"/>
              </w:rPr>
              <w:footnoteReference w:id="66"/>
            </w:r>
          </w:p>
        </w:tc>
        <w:tc>
          <w:tcPr>
            <w:tcW w:w="3907" w:type="pct"/>
            <w:shd w:val="clear" w:color="auto" w:fill="auto"/>
          </w:tcPr>
          <w:p w14:paraId="10D8CD67" w14:textId="77777777" w:rsidR="00A76BEC" w:rsidRPr="00ED4D49" w:rsidRDefault="00A76BEC" w:rsidP="00A76BEC">
            <w:pPr>
              <w:spacing w:before="0" w:after="0"/>
              <w:jc w:val="both"/>
              <w:rPr>
                <w:rFonts w:cs="Calibri"/>
                <w:i/>
                <w:iCs/>
                <w:color w:val="000000"/>
                <w:sz w:val="16"/>
                <w:szCs w:val="16"/>
                <w:lang w:val="en-US"/>
              </w:rPr>
            </w:pPr>
            <w:r w:rsidRPr="00ED4D49">
              <w:rPr>
                <w:rFonts w:cs="Calibri"/>
                <w:color w:val="000000"/>
                <w:sz w:val="16"/>
                <w:szCs w:val="16"/>
                <w:lang w:val="en-US"/>
              </w:rPr>
              <w:t>Prescribes safety and health at work as an activity of general interest, responsibility of implementation and improvement of safety and health at work, rights, obligations, responsibilities and preventive measures.</w:t>
            </w:r>
          </w:p>
        </w:tc>
      </w:tr>
      <w:tr w:rsidR="00A76BEC" w:rsidRPr="00ED4D49" w14:paraId="396D333C" w14:textId="77777777" w:rsidTr="00A76BEC">
        <w:tc>
          <w:tcPr>
            <w:tcW w:w="5000" w:type="pct"/>
            <w:gridSpan w:val="2"/>
            <w:shd w:val="clear" w:color="auto" w:fill="auto"/>
          </w:tcPr>
          <w:p w14:paraId="5D58F99F" w14:textId="77777777" w:rsidR="00A76BEC" w:rsidRPr="00ED4D49" w:rsidRDefault="00A76BEC" w:rsidP="00A76BEC">
            <w:pPr>
              <w:spacing w:before="0" w:after="0"/>
              <w:jc w:val="center"/>
              <w:rPr>
                <w:rFonts w:cs="Calibri"/>
                <w:color w:val="1F497D"/>
                <w:sz w:val="16"/>
                <w:szCs w:val="16"/>
                <w:lang w:val="en-US"/>
              </w:rPr>
            </w:pPr>
            <w:r w:rsidRPr="00ED4D49">
              <w:rPr>
                <w:rFonts w:cs="Calibri"/>
                <w:color w:val="1F497D"/>
                <w:sz w:val="16"/>
                <w:szCs w:val="16"/>
                <w:lang w:val="en-US"/>
              </w:rPr>
              <w:t>Brcko District</w:t>
            </w:r>
          </w:p>
        </w:tc>
      </w:tr>
      <w:tr w:rsidR="00A76BEC" w:rsidRPr="00ED4D49" w14:paraId="5172C59F" w14:textId="77777777" w:rsidTr="00A76BEC">
        <w:tc>
          <w:tcPr>
            <w:tcW w:w="1093" w:type="pct"/>
            <w:shd w:val="clear" w:color="auto" w:fill="auto"/>
          </w:tcPr>
          <w:p w14:paraId="2D5362E9" w14:textId="3EC02F76" w:rsidR="00A76BEC" w:rsidRPr="00ED4D49" w:rsidRDefault="00A76BEC" w:rsidP="00A76BEC">
            <w:pPr>
              <w:spacing w:before="0" w:after="0"/>
              <w:ind w:left="144" w:right="144"/>
              <w:rPr>
                <w:rFonts w:cs="Calibri"/>
                <w:color w:val="1F497D"/>
                <w:sz w:val="16"/>
                <w:szCs w:val="16"/>
                <w:lang w:val="en-US"/>
              </w:rPr>
            </w:pPr>
            <w:r w:rsidRPr="00ED4D49">
              <w:rPr>
                <w:rFonts w:cs="Calibri"/>
                <w:color w:val="1F497D"/>
                <w:sz w:val="16"/>
                <w:szCs w:val="16"/>
                <w:lang w:val="en-US"/>
              </w:rPr>
              <w:t>Labor Law of BD</w:t>
            </w:r>
            <w:r w:rsidRPr="00ED4D49">
              <w:rPr>
                <w:rStyle w:val="FootnoteReference"/>
                <w:rFonts w:cs="Calibri"/>
                <w:sz w:val="16"/>
                <w:szCs w:val="16"/>
                <w:lang w:val="en-US"/>
              </w:rPr>
              <w:footnoteReference w:id="67"/>
            </w:r>
          </w:p>
        </w:tc>
        <w:tc>
          <w:tcPr>
            <w:tcW w:w="3907" w:type="pct"/>
            <w:shd w:val="clear" w:color="auto" w:fill="auto"/>
          </w:tcPr>
          <w:p w14:paraId="73063D83" w14:textId="6DE98693" w:rsidR="00A76BEC" w:rsidRPr="00ED4D49" w:rsidRDefault="00A76BEC" w:rsidP="00A76BEC">
            <w:pPr>
              <w:spacing w:before="0" w:after="0"/>
              <w:jc w:val="both"/>
              <w:rPr>
                <w:rFonts w:cs="Calibri"/>
                <w:color w:val="000000"/>
                <w:sz w:val="16"/>
                <w:szCs w:val="16"/>
                <w:lang w:val="en-US"/>
              </w:rPr>
            </w:pPr>
            <w:r w:rsidRPr="00ED4D49">
              <w:rPr>
                <w:rFonts w:cs="Calibri"/>
                <w:color w:val="000000"/>
                <w:sz w:val="16"/>
                <w:szCs w:val="16"/>
                <w:lang w:val="en-US"/>
              </w:rPr>
              <w:t>Regulates the issues of labor and employment, employment contracts, including working hours, salaries, termination of employment, and rights and obligations arising from employment as the general regime of working relationships.</w:t>
            </w:r>
          </w:p>
        </w:tc>
      </w:tr>
      <w:tr w:rsidR="00A76BEC" w:rsidRPr="00ED4D49" w14:paraId="3E25FF5B" w14:textId="77777777" w:rsidTr="00A76BEC">
        <w:tc>
          <w:tcPr>
            <w:tcW w:w="1093" w:type="pct"/>
            <w:shd w:val="clear" w:color="auto" w:fill="auto"/>
          </w:tcPr>
          <w:p w14:paraId="3B14487E" w14:textId="77777777" w:rsidR="00A76BEC" w:rsidRPr="00ED4D49" w:rsidRDefault="00A76BEC" w:rsidP="00A76BEC">
            <w:pPr>
              <w:spacing w:before="0" w:after="0"/>
              <w:ind w:left="144" w:right="144"/>
              <w:rPr>
                <w:rFonts w:cs="Calibri"/>
                <w:bCs/>
                <w:color w:val="1F497D"/>
                <w:sz w:val="16"/>
                <w:szCs w:val="16"/>
                <w:lang w:val="en-US"/>
              </w:rPr>
            </w:pPr>
            <w:r w:rsidRPr="00ED4D49">
              <w:rPr>
                <w:rFonts w:cs="Calibri"/>
                <w:bCs/>
                <w:color w:val="1F497D"/>
                <w:sz w:val="16"/>
                <w:szCs w:val="16"/>
                <w:lang w:val="en-US"/>
              </w:rPr>
              <w:t>Law on Safety and Health of Workers at Work</w:t>
            </w:r>
            <w:r w:rsidRPr="00ED4D49">
              <w:rPr>
                <w:rStyle w:val="FootnoteReference"/>
                <w:rFonts w:cs="Calibri"/>
                <w:bCs/>
                <w:sz w:val="16"/>
                <w:szCs w:val="16"/>
                <w:lang w:val="en-US"/>
              </w:rPr>
              <w:footnoteReference w:id="68"/>
            </w:r>
          </w:p>
        </w:tc>
        <w:tc>
          <w:tcPr>
            <w:tcW w:w="3907" w:type="pct"/>
            <w:shd w:val="clear" w:color="auto" w:fill="auto"/>
          </w:tcPr>
          <w:p w14:paraId="142DDA8D" w14:textId="39530E21" w:rsidR="00A76BEC" w:rsidRPr="00ED4D49" w:rsidRDefault="00A76BEC" w:rsidP="00A76BEC">
            <w:pPr>
              <w:spacing w:before="0" w:after="0"/>
              <w:jc w:val="both"/>
              <w:rPr>
                <w:rFonts w:cs="Calibri"/>
                <w:color w:val="000000"/>
                <w:sz w:val="16"/>
                <w:szCs w:val="16"/>
                <w:lang w:val="en-US"/>
              </w:rPr>
            </w:pPr>
            <w:r w:rsidRPr="00ED4D49">
              <w:rPr>
                <w:rFonts w:cs="Calibri"/>
                <w:color w:val="000000"/>
                <w:sz w:val="16"/>
                <w:szCs w:val="16"/>
                <w:lang w:val="en-US"/>
              </w:rPr>
              <w:t xml:space="preserve">Regulates measures to encourage improvements of occupational safety and health, determines the persons responsible for the implementation and improvement of </w:t>
            </w:r>
            <w:r w:rsidR="004203C2" w:rsidRPr="00ED4D49">
              <w:rPr>
                <w:rFonts w:cs="Calibri"/>
                <w:color w:val="000000"/>
                <w:sz w:val="16"/>
                <w:szCs w:val="16"/>
                <w:lang w:val="en-US"/>
              </w:rPr>
              <w:t>occupational health and safety (O</w:t>
            </w:r>
            <w:r w:rsidRPr="00ED4D49">
              <w:rPr>
                <w:rFonts w:cs="Calibri"/>
                <w:color w:val="000000"/>
                <w:sz w:val="16"/>
                <w:szCs w:val="16"/>
                <w:lang w:val="en-US"/>
              </w:rPr>
              <w:t>HS</w:t>
            </w:r>
            <w:r w:rsidR="004203C2" w:rsidRPr="00ED4D49">
              <w:rPr>
                <w:rFonts w:cs="Calibri"/>
                <w:color w:val="000000"/>
                <w:sz w:val="16"/>
                <w:szCs w:val="16"/>
                <w:lang w:val="en-US"/>
              </w:rPr>
              <w:t>)</w:t>
            </w:r>
            <w:r w:rsidRPr="00ED4D49">
              <w:rPr>
                <w:rFonts w:cs="Calibri"/>
                <w:color w:val="000000"/>
                <w:sz w:val="16"/>
                <w:szCs w:val="16"/>
                <w:lang w:val="en-US"/>
              </w:rPr>
              <w:t>, their rights, obligations and responsibilities, preventive measures, and other issues related to OHS.</w:t>
            </w:r>
          </w:p>
        </w:tc>
      </w:tr>
    </w:tbl>
    <w:p w14:paraId="52C21F5F" w14:textId="77777777" w:rsidR="00A76BEC" w:rsidRPr="00ED4D49" w:rsidRDefault="00A76BEC" w:rsidP="00A76BEC">
      <w:pPr>
        <w:spacing w:after="0"/>
        <w:jc w:val="both"/>
        <w:rPr>
          <w:rFonts w:cs="Calibri"/>
          <w:szCs w:val="24"/>
          <w:lang w:val="en-US"/>
        </w:rPr>
      </w:pPr>
    </w:p>
    <w:p w14:paraId="7C3A6D21" w14:textId="12103679" w:rsidR="00A76BEC" w:rsidRPr="00ED4D49" w:rsidRDefault="00987BDE" w:rsidP="00A76BEC">
      <w:pPr>
        <w:rPr>
          <w:lang w:val="en-US"/>
        </w:rPr>
      </w:pPr>
      <w:bookmarkStart w:id="198" w:name="_Hlk25266066"/>
      <w:r w:rsidRPr="00ED4D49">
        <w:rPr>
          <w:lang w:val="en-US"/>
        </w:rPr>
        <w:t>The k</w:t>
      </w:r>
      <w:r w:rsidR="00A76BEC" w:rsidRPr="00ED4D49">
        <w:rPr>
          <w:lang w:val="en-US"/>
        </w:rPr>
        <w:t>ey provision</w:t>
      </w:r>
      <w:r w:rsidRPr="00ED4D49">
        <w:rPr>
          <w:lang w:val="en-US"/>
        </w:rPr>
        <w:t>s</w:t>
      </w:r>
      <w:r w:rsidR="00A76BEC" w:rsidRPr="00ED4D49">
        <w:rPr>
          <w:lang w:val="en-US"/>
        </w:rPr>
        <w:t xml:space="preserve"> </w:t>
      </w:r>
      <w:bookmarkEnd w:id="198"/>
      <w:r w:rsidR="00A76BEC" w:rsidRPr="00ED4D49">
        <w:rPr>
          <w:lang w:val="en-US"/>
        </w:rPr>
        <w:t>of</w:t>
      </w:r>
      <w:r w:rsidR="003C717F" w:rsidRPr="00ED4D49">
        <w:rPr>
          <w:lang w:val="en-US"/>
        </w:rPr>
        <w:t xml:space="preserve"> the</w:t>
      </w:r>
      <w:r w:rsidR="00A76BEC" w:rsidRPr="00ED4D49">
        <w:rPr>
          <w:lang w:val="en-US"/>
        </w:rPr>
        <w:t xml:space="preserve"> </w:t>
      </w:r>
      <w:r w:rsidR="003C717F" w:rsidRPr="00ED4D49">
        <w:rPr>
          <w:b/>
          <w:lang w:val="en-US"/>
        </w:rPr>
        <w:t>l</w:t>
      </w:r>
      <w:r w:rsidR="00A76BEC" w:rsidRPr="00ED4D49">
        <w:rPr>
          <w:b/>
          <w:lang w:val="en-US"/>
        </w:rPr>
        <w:t xml:space="preserve">abor </w:t>
      </w:r>
      <w:r w:rsidR="003C717F" w:rsidRPr="00ED4D49">
        <w:rPr>
          <w:b/>
          <w:lang w:val="en-US"/>
        </w:rPr>
        <w:t>l</w:t>
      </w:r>
      <w:r w:rsidR="00A76BEC" w:rsidRPr="00ED4D49">
        <w:rPr>
          <w:b/>
          <w:lang w:val="en-US"/>
        </w:rPr>
        <w:t>aw</w:t>
      </w:r>
      <w:r w:rsidR="00A76BEC" w:rsidRPr="00ED4D49">
        <w:rPr>
          <w:b/>
          <w:bCs/>
          <w:lang w:val="en-US"/>
        </w:rPr>
        <w:t>s</w:t>
      </w:r>
      <w:r w:rsidR="00A76BEC" w:rsidRPr="00ED4D49">
        <w:rPr>
          <w:lang w:val="en-US"/>
        </w:rPr>
        <w:t xml:space="preserve"> in FBiH, RS and BD BiH are </w:t>
      </w:r>
      <w:r w:rsidRPr="00ED4D49">
        <w:rPr>
          <w:lang w:val="en-US"/>
        </w:rPr>
        <w:t>as follows</w:t>
      </w:r>
      <w:r w:rsidR="00A76BEC" w:rsidRPr="00ED4D49">
        <w:rPr>
          <w:lang w:val="en-US"/>
        </w:rPr>
        <w:t xml:space="preserve">: </w:t>
      </w:r>
    </w:p>
    <w:p w14:paraId="68798139" w14:textId="4C240762" w:rsidR="00A76BEC" w:rsidRPr="00ED4D49" w:rsidRDefault="00A76BEC" w:rsidP="008D64BA">
      <w:pPr>
        <w:pStyle w:val="Bullets"/>
      </w:pPr>
      <w:r w:rsidRPr="00ED4D49">
        <w:rPr>
          <w:b/>
        </w:rPr>
        <w:t>Employment contract</w:t>
      </w:r>
      <w:r w:rsidR="00FF7794" w:rsidRPr="00ED4D49">
        <w:rPr>
          <w:b/>
        </w:rPr>
        <w:t>s</w:t>
      </w:r>
      <w:r w:rsidRPr="00ED4D49">
        <w:t xml:space="preserve"> can be concluded as </w:t>
      </w:r>
      <w:r w:rsidRPr="00ED4D49">
        <w:rPr>
          <w:b/>
        </w:rPr>
        <w:t>open ended or fix-term</w:t>
      </w:r>
      <w:r w:rsidRPr="00ED4D49">
        <w:t>, part-time, for temporary and occasional work, as well as for work outside of</w:t>
      </w:r>
      <w:r w:rsidR="00FF7794" w:rsidRPr="00ED4D49">
        <w:t xml:space="preserve"> the</w:t>
      </w:r>
      <w:r w:rsidRPr="00ED4D49">
        <w:t xml:space="preserve"> employer’s premises. The </w:t>
      </w:r>
      <w:r w:rsidR="00FF7794" w:rsidRPr="00ED4D49">
        <w:t>l</w:t>
      </w:r>
      <w:r w:rsidRPr="00ED4D49">
        <w:t>aws prescribe</w:t>
      </w:r>
      <w:r w:rsidR="00FF7794" w:rsidRPr="00ED4D49">
        <w:t xml:space="preserve"> the</w:t>
      </w:r>
      <w:r w:rsidRPr="00ED4D49">
        <w:t xml:space="preserve"> detail terms and condition and duration of such contracts.</w:t>
      </w:r>
    </w:p>
    <w:p w14:paraId="185F59D3" w14:textId="7E8E3405" w:rsidR="00A76BEC" w:rsidRPr="00ED4D49" w:rsidRDefault="00A76BEC" w:rsidP="008D64BA">
      <w:pPr>
        <w:pStyle w:val="Bullets"/>
      </w:pPr>
      <w:r w:rsidRPr="00ED4D49">
        <w:t xml:space="preserve">The </w:t>
      </w:r>
      <w:r w:rsidR="00FF7794" w:rsidRPr="00ED4D49">
        <w:t>l</w:t>
      </w:r>
      <w:r w:rsidRPr="00ED4D49">
        <w:t xml:space="preserve">aws </w:t>
      </w:r>
      <w:r w:rsidRPr="00ED4D49">
        <w:rPr>
          <w:b/>
        </w:rPr>
        <w:t>prohibit discrimination</w:t>
      </w:r>
      <w:r w:rsidRPr="00ED4D49">
        <w:t xml:space="preserve"> </w:t>
      </w:r>
      <w:bookmarkStart w:id="199" w:name="_Hlk25266107"/>
      <w:r w:rsidRPr="00ED4D49">
        <w:t>in terms of employment requirements and selection of candidates, education, training and professional development, promotion and employment contract termination. Pregnancy and maternity leave cannot be a reason not to hire a wom</w:t>
      </w:r>
      <w:r w:rsidR="00987BDE" w:rsidRPr="00ED4D49">
        <w:t>a</w:t>
      </w:r>
      <w:r w:rsidRPr="00ED4D49">
        <w:t xml:space="preserve">n or extend her employment contract. </w:t>
      </w:r>
      <w:bookmarkEnd w:id="199"/>
    </w:p>
    <w:p w14:paraId="1D05BFA2" w14:textId="0A3721D3" w:rsidR="00A76BEC" w:rsidRPr="00ED4D49" w:rsidRDefault="00FF7794" w:rsidP="008D64BA">
      <w:pPr>
        <w:pStyle w:val="Bullets"/>
      </w:pPr>
      <w:r w:rsidRPr="00ED4D49">
        <w:t xml:space="preserve">The laws </w:t>
      </w:r>
      <w:bookmarkStart w:id="200" w:name="_Hlk25266123"/>
      <w:r w:rsidRPr="00ED4D49">
        <w:t>p</w:t>
      </w:r>
      <w:r w:rsidR="00A76BEC" w:rsidRPr="00ED4D49">
        <w:t>rescribe</w:t>
      </w:r>
      <w:r w:rsidRPr="00ED4D49">
        <w:t xml:space="preserve"> the</w:t>
      </w:r>
      <w:r w:rsidR="00A76BEC" w:rsidRPr="00ED4D49">
        <w:t xml:space="preserve"> </w:t>
      </w:r>
      <w:r w:rsidR="00A76BEC" w:rsidRPr="00ED4D49">
        <w:rPr>
          <w:b/>
        </w:rPr>
        <w:t xml:space="preserve">minimum employment age </w:t>
      </w:r>
      <w:r w:rsidR="00A76BEC" w:rsidRPr="00ED4D49">
        <w:t xml:space="preserve">of 18 for concluding an employment contract, with exception of allowing persons between 15 and 18, with </w:t>
      </w:r>
      <w:r w:rsidRPr="00ED4D49">
        <w:t>the consent</w:t>
      </w:r>
      <w:r w:rsidR="00A76BEC" w:rsidRPr="00ED4D49">
        <w:t xml:space="preserve"> of their legal custodian</w:t>
      </w:r>
      <w:r w:rsidRPr="00ED4D49">
        <w:t xml:space="preserve">s and </w:t>
      </w:r>
      <w:r w:rsidRPr="00ED4D49">
        <w:lastRenderedPageBreak/>
        <w:t>based on a</w:t>
      </w:r>
      <w:r w:rsidR="00A76BEC" w:rsidRPr="00ED4D49">
        <w:t xml:space="preserve"> medical certificate issued by health facility</w:t>
      </w:r>
      <w:r w:rsidRPr="00ED4D49">
        <w:t>,</w:t>
      </w:r>
      <w:r w:rsidR="00A76BEC" w:rsidRPr="00ED4D49">
        <w:t xml:space="preserve"> and provided that the given job does not </w:t>
      </w:r>
      <w:r w:rsidRPr="00ED4D49">
        <w:t>endanger the minor</w:t>
      </w:r>
      <w:r w:rsidR="00A76BEC" w:rsidRPr="00ED4D49">
        <w:t>’s health, moral and education</w:t>
      </w:r>
      <w:bookmarkEnd w:id="200"/>
      <w:r w:rsidR="00A76BEC" w:rsidRPr="00ED4D49">
        <w:t xml:space="preserve">. </w:t>
      </w:r>
    </w:p>
    <w:p w14:paraId="00956460" w14:textId="0A7E741C" w:rsidR="00A76BEC" w:rsidRPr="00ED4D49" w:rsidRDefault="002D0D28" w:rsidP="008D64BA">
      <w:pPr>
        <w:pStyle w:val="Bullets"/>
      </w:pPr>
      <w:bookmarkStart w:id="201" w:name="_Hlk25266130"/>
      <w:r w:rsidRPr="00ED4D49">
        <w:rPr>
          <w:b/>
          <w:bCs/>
        </w:rPr>
        <w:t>E</w:t>
      </w:r>
      <w:r w:rsidR="00A76BEC" w:rsidRPr="00ED4D49">
        <w:rPr>
          <w:b/>
        </w:rPr>
        <w:t>mployer</w:t>
      </w:r>
      <w:r w:rsidRPr="00ED4D49">
        <w:rPr>
          <w:b/>
        </w:rPr>
        <w:t>s</w:t>
      </w:r>
      <w:r w:rsidR="00A76BEC" w:rsidRPr="00ED4D49">
        <w:rPr>
          <w:b/>
        </w:rPr>
        <w:t xml:space="preserve"> </w:t>
      </w:r>
      <w:r w:rsidRPr="00ED4D49">
        <w:rPr>
          <w:b/>
        </w:rPr>
        <w:t>are</w:t>
      </w:r>
      <w:r w:rsidR="00A76BEC" w:rsidRPr="00ED4D49">
        <w:rPr>
          <w:b/>
        </w:rPr>
        <w:t xml:space="preserve"> </w:t>
      </w:r>
      <w:r w:rsidRPr="00ED4D49">
        <w:rPr>
          <w:b/>
        </w:rPr>
        <w:t>required</w:t>
      </w:r>
      <w:r w:rsidR="00A76BEC" w:rsidRPr="00ED4D49">
        <w:rPr>
          <w:b/>
        </w:rPr>
        <w:t xml:space="preserve"> </w:t>
      </w:r>
      <w:r w:rsidR="00A76BEC" w:rsidRPr="00ED4D49">
        <w:t>to register worker</w:t>
      </w:r>
      <w:r w:rsidRPr="00ED4D49">
        <w:t>s</w:t>
      </w:r>
      <w:r w:rsidR="00A76BEC" w:rsidRPr="00ED4D49">
        <w:t xml:space="preserve"> for pension and disability, health and unemployment insurance.</w:t>
      </w:r>
    </w:p>
    <w:p w14:paraId="7E386507" w14:textId="15EC45B9" w:rsidR="00A76BEC" w:rsidRPr="00ED4D49" w:rsidRDefault="00A76BEC" w:rsidP="008D64BA">
      <w:pPr>
        <w:pStyle w:val="Bullets"/>
      </w:pPr>
      <w:bookmarkStart w:id="202" w:name="_Hlk25266178"/>
      <w:bookmarkEnd w:id="201"/>
      <w:r w:rsidRPr="00ED4D49">
        <w:rPr>
          <w:b/>
        </w:rPr>
        <w:t xml:space="preserve">Workers are entitled </w:t>
      </w:r>
      <w:r w:rsidRPr="00ED4D49">
        <w:t xml:space="preserve">to </w:t>
      </w:r>
      <w:r w:rsidR="002D0D28" w:rsidRPr="00ED4D49">
        <w:t xml:space="preserve">a </w:t>
      </w:r>
      <w:r w:rsidRPr="00ED4D49">
        <w:t>salary and salary compensation during absence from work, as well as to working conditions which ensure safety and protection of their life and health at work.</w:t>
      </w:r>
    </w:p>
    <w:bookmarkEnd w:id="202"/>
    <w:p w14:paraId="5488B98D" w14:textId="5015C849" w:rsidR="00A76BEC" w:rsidRPr="00ED4D49" w:rsidRDefault="00A76BEC" w:rsidP="008D64BA">
      <w:pPr>
        <w:pStyle w:val="Bullets"/>
      </w:pPr>
      <w:r w:rsidRPr="00ED4D49">
        <w:rPr>
          <w:b/>
        </w:rPr>
        <w:t xml:space="preserve">Full time work </w:t>
      </w:r>
      <w:r w:rsidRPr="00ED4D49">
        <w:t xml:space="preserve">is, as a rule, 40 hours a week. </w:t>
      </w:r>
      <w:r w:rsidRPr="00ED4D49">
        <w:rPr>
          <w:b/>
        </w:rPr>
        <w:t>Overtime</w:t>
      </w:r>
      <w:r w:rsidRPr="00ED4D49">
        <w:t xml:space="preserve"> work is allowed in FBiH</w:t>
      </w:r>
      <w:r w:rsidR="002D0D28" w:rsidRPr="00ED4D49">
        <w:t>,</w:t>
      </w:r>
      <w:r w:rsidRPr="00ED4D49">
        <w:t xml:space="preserve"> RS and BD </w:t>
      </w:r>
      <w:bookmarkStart w:id="203" w:name="_Hlk25266195"/>
      <w:r w:rsidR="002D0D28" w:rsidRPr="00ED4D49">
        <w:t>in the duration of</w:t>
      </w:r>
      <w:bookmarkEnd w:id="203"/>
      <w:r w:rsidR="002D0D28" w:rsidRPr="00ED4D49">
        <w:t xml:space="preserve"> </w:t>
      </w:r>
      <w:r w:rsidRPr="00ED4D49">
        <w:t>maximum 8, 10 and 12 hours a week, respectively.</w:t>
      </w:r>
      <w:r w:rsidR="00C6478C" w:rsidRPr="00ED4D49">
        <w:t xml:space="preserve"> </w:t>
      </w:r>
    </w:p>
    <w:p w14:paraId="1C432CEB" w14:textId="3F2A69E7" w:rsidR="00A76BEC" w:rsidRPr="00ED4D49" w:rsidRDefault="002D0D28" w:rsidP="008D64BA">
      <w:pPr>
        <w:pStyle w:val="Bullets"/>
      </w:pPr>
      <w:bookmarkStart w:id="204" w:name="_Hlk25266216"/>
      <w:r w:rsidRPr="00ED4D49">
        <w:t>W</w:t>
      </w:r>
      <w:r w:rsidR="00A76BEC" w:rsidRPr="00ED4D49">
        <w:t>orker</w:t>
      </w:r>
      <w:r w:rsidRPr="00ED4D49">
        <w:t>s</w:t>
      </w:r>
      <w:r w:rsidR="00A76BEC" w:rsidRPr="00ED4D49">
        <w:t xml:space="preserve"> </w:t>
      </w:r>
      <w:r w:rsidRPr="00ED4D49">
        <w:t>are</w:t>
      </w:r>
      <w:r w:rsidR="00A76BEC" w:rsidRPr="00ED4D49">
        <w:t xml:space="preserve"> entitled to</w:t>
      </w:r>
      <w:r w:rsidRPr="00ED4D49">
        <w:t xml:space="preserve"> an</w:t>
      </w:r>
      <w:r w:rsidR="00A76BEC" w:rsidRPr="00ED4D49">
        <w:t xml:space="preserve"> </w:t>
      </w:r>
      <w:r w:rsidR="00A76BEC" w:rsidRPr="00ED4D49">
        <w:rPr>
          <w:b/>
        </w:rPr>
        <w:t>increased</w:t>
      </w:r>
      <w:r w:rsidR="00A76BEC" w:rsidRPr="00ED4D49">
        <w:t xml:space="preserve"> salary for overtime, night work and work during holidays.</w:t>
      </w:r>
      <w:r w:rsidR="00C6478C" w:rsidRPr="00ED4D49">
        <w:t xml:space="preserve"> </w:t>
      </w:r>
    </w:p>
    <w:bookmarkEnd w:id="204"/>
    <w:p w14:paraId="581EECEA" w14:textId="00675DB4" w:rsidR="00A76BEC" w:rsidRPr="00ED4D49" w:rsidRDefault="00A76BEC" w:rsidP="008D64BA">
      <w:pPr>
        <w:pStyle w:val="Bullets"/>
      </w:pPr>
      <w:r w:rsidRPr="00ED4D49">
        <w:t xml:space="preserve">The </w:t>
      </w:r>
      <w:r w:rsidR="002D0D28" w:rsidRPr="00ED4D49">
        <w:t>l</w:t>
      </w:r>
      <w:r w:rsidRPr="00ED4D49">
        <w:t xml:space="preserve">aws define </w:t>
      </w:r>
      <w:bookmarkStart w:id="205" w:name="_Hlk25266224"/>
      <w:r w:rsidRPr="00ED4D49">
        <w:t xml:space="preserve">in detail </w:t>
      </w:r>
      <w:r w:rsidRPr="00ED4D49">
        <w:rPr>
          <w:b/>
        </w:rPr>
        <w:t>breaks</w:t>
      </w:r>
      <w:r w:rsidRPr="00ED4D49">
        <w:t xml:space="preserve"> from work to which workers are entitled (break</w:t>
      </w:r>
      <w:r w:rsidR="002D0D28" w:rsidRPr="00ED4D49">
        <w:t>s</w:t>
      </w:r>
      <w:r w:rsidRPr="00ED4D49">
        <w:t xml:space="preserve"> during working </w:t>
      </w:r>
      <w:r w:rsidR="002D0D28" w:rsidRPr="00ED4D49">
        <w:t>hours</w:t>
      </w:r>
      <w:r w:rsidRPr="00ED4D49">
        <w:t xml:space="preserve">, </w:t>
      </w:r>
      <w:r w:rsidR="002D0D28" w:rsidRPr="00ED4D49">
        <w:t>daily</w:t>
      </w:r>
      <w:r w:rsidRPr="00ED4D49">
        <w:t>, week</w:t>
      </w:r>
      <w:r w:rsidR="002D0D28" w:rsidRPr="00ED4D49">
        <w:t>ly</w:t>
      </w:r>
      <w:r w:rsidRPr="00ED4D49">
        <w:t xml:space="preserve"> and annual leave).</w:t>
      </w:r>
    </w:p>
    <w:bookmarkEnd w:id="205"/>
    <w:p w14:paraId="3573BA08" w14:textId="1C5CDBD7" w:rsidR="00A76BEC" w:rsidRPr="00ED4D49" w:rsidRDefault="00A76BEC" w:rsidP="008D64BA">
      <w:pPr>
        <w:pStyle w:val="Bullets"/>
      </w:pPr>
      <w:r w:rsidRPr="00ED4D49">
        <w:t xml:space="preserve">All </w:t>
      </w:r>
      <w:r w:rsidR="002D0D28" w:rsidRPr="00ED4D49">
        <w:t>l</w:t>
      </w:r>
      <w:r w:rsidRPr="00ED4D49">
        <w:t xml:space="preserve">aws </w:t>
      </w:r>
      <w:r w:rsidR="002D0D28" w:rsidRPr="00ED4D49">
        <w:t>foresee</w:t>
      </w:r>
      <w:r w:rsidRPr="00ED4D49">
        <w:t xml:space="preserve"> that </w:t>
      </w:r>
      <w:r w:rsidR="002D0D28" w:rsidRPr="00ED4D49">
        <w:t xml:space="preserve">a </w:t>
      </w:r>
      <w:r w:rsidRPr="00ED4D49">
        <w:t>worker</w:t>
      </w:r>
      <w:r w:rsidR="002D0D28" w:rsidRPr="00ED4D49">
        <w:t xml:space="preserve"> who </w:t>
      </w:r>
      <w:bookmarkStart w:id="206" w:name="_Hlk25266241"/>
      <w:r w:rsidR="002D0D28" w:rsidRPr="00ED4D49">
        <w:t xml:space="preserve">believes </w:t>
      </w:r>
      <w:bookmarkEnd w:id="206"/>
      <w:r w:rsidRPr="00ED4D49">
        <w:t xml:space="preserve">that the employer violated any of </w:t>
      </w:r>
      <w:bookmarkStart w:id="207" w:name="_Hlk25266247"/>
      <w:r w:rsidRPr="00ED4D49">
        <w:t xml:space="preserve">his/her </w:t>
      </w:r>
      <w:bookmarkEnd w:id="207"/>
      <w:r w:rsidRPr="00ED4D49">
        <w:t xml:space="preserve">employment-related rights </w:t>
      </w:r>
      <w:bookmarkStart w:id="208" w:name="_Hlk25266253"/>
      <w:r w:rsidRPr="00ED4D49">
        <w:t xml:space="preserve">can </w:t>
      </w:r>
      <w:r w:rsidRPr="00ED4D49">
        <w:rPr>
          <w:b/>
        </w:rPr>
        <w:t xml:space="preserve">request </w:t>
      </w:r>
      <w:r w:rsidR="002D0D28" w:rsidRPr="00ED4D49">
        <w:rPr>
          <w:b/>
        </w:rPr>
        <w:t xml:space="preserve">from </w:t>
      </w:r>
      <w:r w:rsidRPr="00ED4D49">
        <w:rPr>
          <w:b/>
        </w:rPr>
        <w:t>the employer to provide him/her with such right</w:t>
      </w:r>
      <w:bookmarkEnd w:id="208"/>
      <w:r w:rsidRPr="00ED4D49">
        <w:t xml:space="preserve">. </w:t>
      </w:r>
      <w:r w:rsidR="002D0D28" w:rsidRPr="00ED4D49">
        <w:t xml:space="preserve">The </w:t>
      </w:r>
      <w:r w:rsidRPr="00ED4D49">
        <w:t xml:space="preserve">RS Law prescribes that the employer is obliged to respond </w:t>
      </w:r>
      <w:r w:rsidR="00C10EE8" w:rsidRPr="00ED4D49">
        <w:t xml:space="preserve">to </w:t>
      </w:r>
      <w:bookmarkStart w:id="209" w:name="_Hlk25266281"/>
      <w:r w:rsidR="00C10EE8" w:rsidRPr="00ED4D49">
        <w:t xml:space="preserve">such </w:t>
      </w:r>
      <w:r w:rsidRPr="00ED4D49">
        <w:t>request within</w:t>
      </w:r>
      <w:bookmarkEnd w:id="209"/>
      <w:r w:rsidRPr="00ED4D49">
        <w:t xml:space="preserve"> 30 days, while </w:t>
      </w:r>
      <w:r w:rsidR="002D0D28" w:rsidRPr="00ED4D49">
        <w:t xml:space="preserve">the </w:t>
      </w:r>
      <w:r w:rsidRPr="00ED4D49">
        <w:t xml:space="preserve">FBiH and BD Laws do not specify </w:t>
      </w:r>
      <w:r w:rsidR="002D0D28" w:rsidRPr="00ED4D49">
        <w:t>a</w:t>
      </w:r>
      <w:r w:rsidRPr="00ED4D49">
        <w:t xml:space="preserve"> deadline. All </w:t>
      </w:r>
      <w:r w:rsidR="002D0D28" w:rsidRPr="00ED4D49">
        <w:t>the l</w:t>
      </w:r>
      <w:r w:rsidRPr="00ED4D49">
        <w:t xml:space="preserve">aws envisage </w:t>
      </w:r>
      <w:r w:rsidR="002D0D28" w:rsidRPr="00ED4D49">
        <w:t xml:space="preserve">a </w:t>
      </w:r>
      <w:r w:rsidRPr="00ED4D49">
        <w:t xml:space="preserve">mechanism of </w:t>
      </w:r>
      <w:r w:rsidRPr="00ED4D49">
        <w:rPr>
          <w:b/>
        </w:rPr>
        <w:t>amicable dispute resolution</w:t>
      </w:r>
      <w:r w:rsidRPr="00ED4D49">
        <w:t xml:space="preserve"> as well as </w:t>
      </w:r>
      <w:r w:rsidRPr="00ED4D49">
        <w:rPr>
          <w:b/>
        </w:rPr>
        <w:t>lodging court suits</w:t>
      </w:r>
      <w:r w:rsidRPr="00ED4D49">
        <w:rPr>
          <w:rStyle w:val="FootnoteReference"/>
          <w:b/>
          <w:bCs/>
          <w:szCs w:val="24"/>
        </w:rPr>
        <w:footnoteReference w:id="69"/>
      </w:r>
      <w:r w:rsidRPr="00ED4D49">
        <w:t>.</w:t>
      </w:r>
    </w:p>
    <w:p w14:paraId="33B48366" w14:textId="5F11961D" w:rsidR="00A76BEC" w:rsidRPr="00ED4D49" w:rsidRDefault="002D0D28" w:rsidP="00A76BEC">
      <w:pPr>
        <w:spacing w:after="0"/>
        <w:jc w:val="both"/>
        <w:rPr>
          <w:rFonts w:cs="Calibri"/>
          <w:szCs w:val="24"/>
          <w:lang w:val="en-US"/>
        </w:rPr>
      </w:pPr>
      <w:r w:rsidRPr="00ED4D49">
        <w:rPr>
          <w:rFonts w:cs="Calibri"/>
          <w:szCs w:val="24"/>
          <w:lang w:val="en-US"/>
        </w:rPr>
        <w:t>The k</w:t>
      </w:r>
      <w:r w:rsidR="00A76BEC" w:rsidRPr="00ED4D49">
        <w:rPr>
          <w:rFonts w:cs="Calibri"/>
          <w:szCs w:val="24"/>
          <w:lang w:val="en-US"/>
        </w:rPr>
        <w:t xml:space="preserve">ey provisions of </w:t>
      </w:r>
      <w:r w:rsidRPr="00ED4D49">
        <w:rPr>
          <w:rFonts w:cs="Calibri"/>
          <w:b/>
          <w:szCs w:val="24"/>
          <w:lang w:val="en-US"/>
        </w:rPr>
        <w:t xml:space="preserve">the </w:t>
      </w:r>
      <w:bookmarkStart w:id="210" w:name="_Hlk25266306"/>
      <w:r w:rsidRPr="00ED4D49">
        <w:rPr>
          <w:rFonts w:cs="Calibri"/>
          <w:b/>
          <w:szCs w:val="24"/>
          <w:lang w:val="en-US"/>
        </w:rPr>
        <w:t>legislation on occupational health and safety</w:t>
      </w:r>
      <w:r w:rsidR="00A76BEC" w:rsidRPr="00ED4D49">
        <w:rPr>
          <w:rFonts w:cs="Calibri"/>
          <w:szCs w:val="24"/>
          <w:lang w:val="en-US"/>
        </w:rPr>
        <w:t xml:space="preserve"> </w:t>
      </w:r>
      <w:r w:rsidRPr="00ED4D49">
        <w:rPr>
          <w:rFonts w:cs="Calibri"/>
          <w:szCs w:val="24"/>
          <w:lang w:val="en-US"/>
        </w:rPr>
        <w:t xml:space="preserve">(OHS) </w:t>
      </w:r>
      <w:bookmarkEnd w:id="210"/>
      <w:r w:rsidR="00A76BEC" w:rsidRPr="00ED4D49">
        <w:rPr>
          <w:lang w:val="en-US"/>
        </w:rPr>
        <w:t xml:space="preserve">in FBiH, RS and BD </w:t>
      </w:r>
      <w:r w:rsidR="00A76BEC" w:rsidRPr="00ED4D49">
        <w:rPr>
          <w:rFonts w:cs="Calibri"/>
          <w:szCs w:val="24"/>
          <w:lang w:val="en-US"/>
        </w:rPr>
        <w:t xml:space="preserve">are </w:t>
      </w:r>
      <w:r w:rsidRPr="00ED4D49">
        <w:rPr>
          <w:rFonts w:cs="Calibri"/>
          <w:szCs w:val="24"/>
          <w:lang w:val="en-US"/>
        </w:rPr>
        <w:t>as follows</w:t>
      </w:r>
      <w:r w:rsidR="00A76BEC" w:rsidRPr="00ED4D49">
        <w:rPr>
          <w:rFonts w:cs="Calibri"/>
          <w:szCs w:val="24"/>
          <w:lang w:val="en-US"/>
        </w:rPr>
        <w:t xml:space="preserve">: </w:t>
      </w:r>
    </w:p>
    <w:p w14:paraId="2F21A644" w14:textId="40F0947A" w:rsidR="00A76BEC" w:rsidRPr="00ED4D49" w:rsidRDefault="00A76BEC" w:rsidP="008D64BA">
      <w:pPr>
        <w:pStyle w:val="Bullets"/>
      </w:pPr>
      <w:r w:rsidRPr="00ED4D49">
        <w:t xml:space="preserve">Employers are obliged to </w:t>
      </w:r>
      <w:r w:rsidRPr="00ED4D49">
        <w:rPr>
          <w:b/>
          <w:bCs/>
        </w:rPr>
        <w:t xml:space="preserve">ensure </w:t>
      </w:r>
      <w:r w:rsidR="002D0D28" w:rsidRPr="00ED4D49">
        <w:rPr>
          <w:b/>
          <w:bCs/>
        </w:rPr>
        <w:t>OHS</w:t>
      </w:r>
      <w:r w:rsidRPr="00ED4D49">
        <w:t xml:space="preserve"> </w:t>
      </w:r>
      <w:r w:rsidRPr="00ED4D49">
        <w:rPr>
          <w:b/>
          <w:bCs/>
        </w:rPr>
        <w:t xml:space="preserve">and provide </w:t>
      </w:r>
      <w:r w:rsidR="002D0D28" w:rsidRPr="00ED4D49">
        <w:rPr>
          <w:b/>
          <w:bCs/>
        </w:rPr>
        <w:t xml:space="preserve">the </w:t>
      </w:r>
      <w:r w:rsidRPr="00ED4D49">
        <w:rPr>
          <w:b/>
          <w:bCs/>
        </w:rPr>
        <w:t>necessary means</w:t>
      </w:r>
      <w:r w:rsidRPr="00ED4D49">
        <w:t xml:space="preserve"> to implement and improve </w:t>
      </w:r>
      <w:r w:rsidR="002D0D28" w:rsidRPr="00ED4D49">
        <w:t>OHS</w:t>
      </w:r>
      <w:r w:rsidRPr="00ED4D49">
        <w:t>, as well as to organize</w:t>
      </w:r>
      <w:r w:rsidR="002D0D28" w:rsidRPr="00ED4D49">
        <w:t xml:space="preserve"> </w:t>
      </w:r>
      <w:r w:rsidR="002D0D28" w:rsidRPr="00ED4D49">
        <w:rPr>
          <w:b/>
          <w:bCs/>
        </w:rPr>
        <w:t>OHS</w:t>
      </w:r>
      <w:r w:rsidRPr="00ED4D49">
        <w:t xml:space="preserve"> </w:t>
      </w:r>
      <w:r w:rsidRPr="00ED4D49">
        <w:rPr>
          <w:b/>
          <w:bCs/>
        </w:rPr>
        <w:t>training</w:t>
      </w:r>
      <w:r w:rsidRPr="00ED4D49">
        <w:t xml:space="preserve"> for workers,</w:t>
      </w:r>
    </w:p>
    <w:p w14:paraId="38F439BF" w14:textId="54101970" w:rsidR="00A76BEC" w:rsidRPr="00ED4D49" w:rsidRDefault="00A76BEC" w:rsidP="008D64BA">
      <w:pPr>
        <w:pStyle w:val="Bullets"/>
      </w:pPr>
      <w:bookmarkStart w:id="211" w:name="_Hlk25266460"/>
      <w:r w:rsidRPr="00ED4D49">
        <w:t xml:space="preserve">Workers must be provided with </w:t>
      </w:r>
      <w:r w:rsidR="002D0D28" w:rsidRPr="00ED4D49">
        <w:t xml:space="preserve">a </w:t>
      </w:r>
      <w:r w:rsidRPr="00ED4D49">
        <w:t>working environment, assets for work</w:t>
      </w:r>
      <w:r w:rsidR="002D0D28" w:rsidRPr="00ED4D49">
        <w:t xml:space="preserve"> and</w:t>
      </w:r>
      <w:r w:rsidRPr="00ED4D49">
        <w:t xml:space="preserve"> personal protection equipment </w:t>
      </w:r>
      <w:r w:rsidR="002D0D28" w:rsidRPr="00ED4D49">
        <w:t>that do not endanger the</w:t>
      </w:r>
      <w:r w:rsidRPr="00ED4D49">
        <w:t xml:space="preserve"> safety or health of worker</w:t>
      </w:r>
      <w:r w:rsidR="002D0D28" w:rsidRPr="00ED4D49">
        <w:t>s</w:t>
      </w:r>
      <w:r w:rsidRPr="00ED4D49">
        <w:t xml:space="preserve"> and other persons, </w:t>
      </w:r>
    </w:p>
    <w:bookmarkEnd w:id="211"/>
    <w:p w14:paraId="0C583353" w14:textId="77777777" w:rsidR="00A76BEC" w:rsidRPr="00ED4D49" w:rsidRDefault="00A76BEC" w:rsidP="008D64BA">
      <w:pPr>
        <w:pStyle w:val="Bullets"/>
        <w:rPr>
          <w:color w:val="336699"/>
        </w:rPr>
      </w:pPr>
      <w:r w:rsidRPr="00ED4D49">
        <w:t xml:space="preserve">Workers are obliged to use personal protection equipment and comply with other instructions related to safety at work. </w:t>
      </w:r>
    </w:p>
    <w:p w14:paraId="4D4FF2C1" w14:textId="5371134E" w:rsidR="00F57E67" w:rsidRPr="00ED4D49" w:rsidRDefault="00F57E67" w:rsidP="00C27BB5">
      <w:pPr>
        <w:rPr>
          <w:color w:val="336699"/>
          <w:lang w:val="en-US"/>
        </w:rPr>
      </w:pPr>
      <w:r w:rsidRPr="00ED4D49">
        <w:rPr>
          <w:lang w:val="en-US"/>
        </w:rPr>
        <w:t xml:space="preserve"> </w:t>
      </w:r>
    </w:p>
    <w:p w14:paraId="141DA8AC" w14:textId="44A35201" w:rsidR="00A76BEC" w:rsidRPr="00ED4D49" w:rsidRDefault="00A76BEC">
      <w:pPr>
        <w:spacing w:before="0" w:after="0" w:line="240" w:lineRule="auto"/>
        <w:rPr>
          <w:rFonts w:cs="Calibri"/>
          <w:lang w:val="en-US" w:eastAsia="x-none"/>
        </w:rPr>
      </w:pPr>
      <w:r w:rsidRPr="00ED4D49">
        <w:rPr>
          <w:rFonts w:cs="Calibri"/>
          <w:lang w:val="en-US" w:eastAsia="x-none"/>
        </w:rPr>
        <w:br w:type="page"/>
      </w:r>
    </w:p>
    <w:p w14:paraId="59E38BB8" w14:textId="4E0A5A70" w:rsidR="008700A3" w:rsidRPr="00ED4D49" w:rsidRDefault="008700A3" w:rsidP="008700A3">
      <w:pPr>
        <w:pStyle w:val="Heading1"/>
        <w:shd w:val="clear" w:color="auto" w:fill="F2F2F2"/>
        <w:spacing w:before="0"/>
        <w:rPr>
          <w:rFonts w:cs="Calibri"/>
          <w:lang w:val="en-US"/>
        </w:rPr>
      </w:pPr>
      <w:bookmarkStart w:id="212" w:name="_Toc31811093"/>
      <w:bookmarkEnd w:id="2"/>
      <w:r w:rsidRPr="00ED4D49">
        <w:rPr>
          <w:rFonts w:cs="Calibri"/>
          <w:lang w:val="en-US"/>
        </w:rPr>
        <w:lastRenderedPageBreak/>
        <w:t>INSTITUTIONAL STRUCTURE</w:t>
      </w:r>
      <w:bookmarkEnd w:id="212"/>
      <w:r w:rsidR="00B765C5" w:rsidRPr="00ED4D49">
        <w:rPr>
          <w:rFonts w:cs="Calibri"/>
          <w:lang w:val="en-US"/>
        </w:rPr>
        <w:t xml:space="preserve"> </w:t>
      </w:r>
    </w:p>
    <w:p w14:paraId="718FCE65" w14:textId="77777777" w:rsidR="00A76BEC" w:rsidRPr="00ED4D49" w:rsidRDefault="00A76BEC" w:rsidP="0063606C">
      <w:pPr>
        <w:pStyle w:val="Heading2"/>
      </w:pPr>
      <w:bookmarkStart w:id="213" w:name="_Toc20858948"/>
      <w:bookmarkStart w:id="214" w:name="_Toc31811094"/>
      <w:r w:rsidRPr="00ED4D49">
        <w:t>BiH Level Institutions</w:t>
      </w:r>
      <w:bookmarkEnd w:id="213"/>
      <w:bookmarkEnd w:id="214"/>
      <w:r w:rsidRPr="00ED4D49">
        <w:t xml:space="preserve"> </w:t>
      </w:r>
    </w:p>
    <w:p w14:paraId="34EDDD9F" w14:textId="7764861C" w:rsidR="00A76BEC" w:rsidRPr="00ED4D49" w:rsidRDefault="00A76BEC" w:rsidP="00A76BEC">
      <w:pPr>
        <w:jc w:val="both"/>
        <w:rPr>
          <w:szCs w:val="23"/>
          <w:lang w:val="en-US"/>
        </w:rPr>
      </w:pPr>
      <w:r w:rsidRPr="00ED4D49">
        <w:rPr>
          <w:szCs w:val="23"/>
          <w:lang w:val="en-US"/>
        </w:rPr>
        <w:t>According to the Dayton Agreement, issues such as foreign policy, foreign trade policy and customs policy fall within the area of competence of BiH institutions. All governmental functions and authorities that are not expressly assigned to the institutions of BiH, are those of the entities</w:t>
      </w:r>
      <w:r w:rsidR="00426CC0" w:rsidRPr="00ED4D49">
        <w:rPr>
          <w:szCs w:val="23"/>
          <w:lang w:val="en-US"/>
        </w:rPr>
        <w:t>/District.</w:t>
      </w:r>
      <w:r w:rsidR="00B22CB7" w:rsidRPr="00ED4D49">
        <w:rPr>
          <w:szCs w:val="23"/>
          <w:lang w:val="en-US"/>
        </w:rPr>
        <w:t xml:space="preserve"> </w:t>
      </w:r>
      <w:r w:rsidR="007E1FBB" w:rsidRPr="00ED4D49">
        <w:rPr>
          <w:szCs w:val="23"/>
          <w:lang w:val="en-US"/>
        </w:rPr>
        <w:t>T</w:t>
      </w:r>
      <w:r w:rsidR="00B22CB7" w:rsidRPr="00ED4D49">
        <w:rPr>
          <w:szCs w:val="23"/>
          <w:lang w:val="en-US"/>
        </w:rPr>
        <w:t>h</w:t>
      </w:r>
      <w:r w:rsidR="007E1FBB" w:rsidRPr="00ED4D49">
        <w:rPr>
          <w:szCs w:val="23"/>
          <w:lang w:val="en-US"/>
        </w:rPr>
        <w:t>is includes</w:t>
      </w:r>
      <w:r w:rsidR="00426CC0" w:rsidRPr="00ED4D49">
        <w:rPr>
          <w:szCs w:val="23"/>
          <w:lang w:val="en-US"/>
        </w:rPr>
        <w:t xml:space="preserve"> </w:t>
      </w:r>
      <w:r w:rsidRPr="00ED4D49">
        <w:rPr>
          <w:szCs w:val="23"/>
          <w:lang w:val="en-US"/>
        </w:rPr>
        <w:t>water management, environmental protection, agriculture, land</w:t>
      </w:r>
      <w:r w:rsidR="004F2339" w:rsidRPr="00ED4D49">
        <w:rPr>
          <w:szCs w:val="23"/>
          <w:lang w:val="en-US"/>
        </w:rPr>
        <w:t xml:space="preserve"> and </w:t>
      </w:r>
      <w:r w:rsidRPr="00ED4D49">
        <w:rPr>
          <w:szCs w:val="23"/>
          <w:lang w:val="en-US"/>
        </w:rPr>
        <w:t xml:space="preserve">forestry. However, </w:t>
      </w:r>
      <w:r w:rsidR="007E1FBB" w:rsidRPr="00ED4D49">
        <w:rPr>
          <w:szCs w:val="23"/>
          <w:lang w:val="en-US"/>
        </w:rPr>
        <w:t>the national level</w:t>
      </w:r>
      <w:r w:rsidRPr="00ED4D49">
        <w:rPr>
          <w:szCs w:val="23"/>
          <w:lang w:val="en-US"/>
        </w:rPr>
        <w:t xml:space="preserve"> does have some competences in the fields related to implementation of international treaties, environmental protection and water management.</w:t>
      </w:r>
    </w:p>
    <w:p w14:paraId="245BEA04" w14:textId="6AC28CB0" w:rsidR="00A76BEC" w:rsidRPr="00ED4D49" w:rsidRDefault="00A76BEC" w:rsidP="00A76BEC">
      <w:pPr>
        <w:jc w:val="both"/>
        <w:rPr>
          <w:szCs w:val="23"/>
          <w:lang w:val="en-US"/>
        </w:rPr>
      </w:pPr>
      <w:r w:rsidRPr="00ED4D49">
        <w:rPr>
          <w:szCs w:val="23"/>
          <w:lang w:val="en-US"/>
        </w:rPr>
        <w:t xml:space="preserve">At the </w:t>
      </w:r>
      <w:r w:rsidR="00B2043B" w:rsidRPr="00ED4D49">
        <w:rPr>
          <w:szCs w:val="23"/>
          <w:lang w:val="en-US"/>
        </w:rPr>
        <w:t>s</w:t>
      </w:r>
      <w:r w:rsidRPr="00ED4D49">
        <w:rPr>
          <w:szCs w:val="23"/>
          <w:lang w:val="en-US"/>
        </w:rPr>
        <w:t>tate level, the Ministry of Foreign Trade and Economic Relations (</w:t>
      </w:r>
      <w:proofErr w:type="spellStart"/>
      <w:r w:rsidRPr="00ED4D49">
        <w:rPr>
          <w:szCs w:val="23"/>
          <w:lang w:val="en-US"/>
        </w:rPr>
        <w:t>MoFTER</w:t>
      </w:r>
      <w:proofErr w:type="spellEnd"/>
      <w:r w:rsidRPr="00ED4D49">
        <w:rPr>
          <w:lang w:val="en-US"/>
        </w:rPr>
        <w:t>) is responsible for, among others, tasks and duties falling within the competence of BiH which are related to definition of policy, basic principles, coordination of activities and harmonization of plans of entity-level authorities and institutions on the international level in the areas of agriculture, energy, environmental protection, development and use of natural resources and tourism.</w:t>
      </w:r>
      <w:r w:rsidRPr="00ED4D49">
        <w:rPr>
          <w:szCs w:val="23"/>
          <w:lang w:val="en-US"/>
        </w:rPr>
        <w:t xml:space="preserve"> In relation to water management, </w:t>
      </w:r>
      <w:r w:rsidR="00B2043B" w:rsidRPr="00ED4D49">
        <w:rPr>
          <w:szCs w:val="23"/>
          <w:lang w:val="en-US"/>
        </w:rPr>
        <w:t xml:space="preserve">the </w:t>
      </w:r>
      <w:r w:rsidRPr="00ED4D49">
        <w:rPr>
          <w:szCs w:val="23"/>
          <w:lang w:val="en-US"/>
        </w:rPr>
        <w:t xml:space="preserve">Water Resources Department within </w:t>
      </w:r>
      <w:proofErr w:type="spellStart"/>
      <w:r w:rsidRPr="00ED4D49">
        <w:rPr>
          <w:szCs w:val="23"/>
          <w:lang w:val="en-US"/>
        </w:rPr>
        <w:t>MoFTER</w:t>
      </w:r>
      <w:proofErr w:type="spellEnd"/>
      <w:r w:rsidRPr="00ED4D49">
        <w:rPr>
          <w:szCs w:val="23"/>
          <w:lang w:val="en-US"/>
        </w:rPr>
        <w:t xml:space="preserve"> contributes, through regional and international cooperation, as well as cooperation with entity institutions, to better management and use of water resources in BiH and wider. </w:t>
      </w:r>
    </w:p>
    <w:p w14:paraId="752D5957" w14:textId="56FDC6C3" w:rsidR="00A76BEC" w:rsidRPr="00ED4D49" w:rsidRDefault="00A76BEC" w:rsidP="00A76BEC">
      <w:pPr>
        <w:jc w:val="both"/>
        <w:rPr>
          <w:szCs w:val="23"/>
          <w:lang w:val="en-US"/>
        </w:rPr>
      </w:pPr>
      <w:r w:rsidRPr="00ED4D49">
        <w:rPr>
          <w:szCs w:val="23"/>
          <w:lang w:val="en-US"/>
        </w:rPr>
        <w:t>BiH is a signatory to several conventions and protocols in this area, among which are the</w:t>
      </w:r>
      <w:r w:rsidRPr="00ED4D49">
        <w:rPr>
          <w:b/>
          <w:bCs/>
          <w:szCs w:val="23"/>
          <w:lang w:val="en-US"/>
        </w:rPr>
        <w:t xml:space="preserve"> Convention on the Protection and Sustainable Use of the Danube River </w:t>
      </w:r>
      <w:r w:rsidRPr="00ED4D49">
        <w:rPr>
          <w:szCs w:val="23"/>
          <w:lang w:val="en-US"/>
        </w:rPr>
        <w:t xml:space="preserve">and the </w:t>
      </w:r>
      <w:r w:rsidRPr="00ED4D49">
        <w:rPr>
          <w:b/>
          <w:bCs/>
          <w:szCs w:val="23"/>
          <w:lang w:val="en-US"/>
        </w:rPr>
        <w:t>Framework Agreement on the Sava River Basin</w:t>
      </w:r>
      <w:r w:rsidRPr="00ED4D49">
        <w:rPr>
          <w:szCs w:val="23"/>
          <w:lang w:val="en-US"/>
        </w:rPr>
        <w:t xml:space="preserve">, with a number of related protocols. The Water Resources Department is actively involved in the implementation of the mentioned </w:t>
      </w:r>
      <w:r w:rsidR="00B363A5" w:rsidRPr="00ED4D49">
        <w:rPr>
          <w:szCs w:val="23"/>
          <w:lang w:val="en-US"/>
        </w:rPr>
        <w:t>a</w:t>
      </w:r>
      <w:r w:rsidRPr="00ED4D49">
        <w:rPr>
          <w:szCs w:val="23"/>
          <w:lang w:val="en-US"/>
        </w:rPr>
        <w:t xml:space="preserve">greements. In addition, this Department participates in the implementation of a number of projects in the country as well as at the regional level, which contribute to the sustainable management of water resources in BiH. </w:t>
      </w:r>
    </w:p>
    <w:p w14:paraId="67C96028" w14:textId="77777777" w:rsidR="00A76BEC" w:rsidRPr="00ED4D49" w:rsidRDefault="00A76BEC" w:rsidP="0063606C">
      <w:pPr>
        <w:pStyle w:val="Heading2"/>
      </w:pPr>
      <w:bookmarkStart w:id="215" w:name="_Toc20858949"/>
      <w:bookmarkStart w:id="216" w:name="_Toc31811095"/>
      <w:r w:rsidRPr="00ED4D49">
        <w:t>FBiH Level Institutions</w:t>
      </w:r>
      <w:bookmarkEnd w:id="215"/>
      <w:bookmarkEnd w:id="216"/>
      <w:r w:rsidRPr="00ED4D49">
        <w:t xml:space="preserve"> </w:t>
      </w:r>
    </w:p>
    <w:p w14:paraId="337ABA9F" w14:textId="62BABE63" w:rsidR="00A76BEC" w:rsidRPr="00ED4D49" w:rsidRDefault="00A76BEC" w:rsidP="00A76BEC">
      <w:pPr>
        <w:jc w:val="both"/>
        <w:rPr>
          <w:rFonts w:cs="Calibri"/>
          <w:szCs w:val="24"/>
          <w:lang w:val="en-US"/>
        </w:rPr>
      </w:pPr>
      <w:r w:rsidRPr="00ED4D49">
        <w:rPr>
          <w:szCs w:val="23"/>
          <w:lang w:val="en-US"/>
        </w:rPr>
        <w:t>Pursuant to the FBiH Constitution</w:t>
      </w:r>
      <w:r w:rsidRPr="00ED4D49">
        <w:rPr>
          <w:szCs w:val="23"/>
          <w:vertAlign w:val="superscript"/>
          <w:lang w:val="en-US"/>
        </w:rPr>
        <w:footnoteReference w:id="70"/>
      </w:r>
      <w:r w:rsidRPr="00ED4D49">
        <w:rPr>
          <w:szCs w:val="23"/>
          <w:lang w:val="en-US"/>
        </w:rPr>
        <w:t xml:space="preserve">, water management and environmental protection policy is </w:t>
      </w:r>
      <w:r w:rsidR="00B363A5" w:rsidRPr="00ED4D49">
        <w:rPr>
          <w:szCs w:val="23"/>
          <w:lang w:val="en-US"/>
        </w:rPr>
        <w:t>under</w:t>
      </w:r>
      <w:r w:rsidRPr="00ED4D49">
        <w:rPr>
          <w:szCs w:val="23"/>
          <w:lang w:val="en-US"/>
        </w:rPr>
        <w:t xml:space="preserve"> the joint responsibility of FBiH and cantons. </w:t>
      </w:r>
      <w:r w:rsidRPr="00ED4D49">
        <w:rPr>
          <w:lang w:val="en-US"/>
        </w:rPr>
        <w:fldChar w:fldCharType="begin"/>
      </w:r>
      <w:r w:rsidRPr="00ED4D49">
        <w:rPr>
          <w:lang w:val="en-US"/>
        </w:rPr>
        <w:instrText xml:space="preserve"> REF _Ref20834147 \h  \* MERGEFORMAT </w:instrText>
      </w:r>
      <w:r w:rsidRPr="00ED4D49">
        <w:rPr>
          <w:lang w:val="en-US"/>
        </w:rPr>
      </w:r>
      <w:r w:rsidRPr="00ED4D49">
        <w:rPr>
          <w:lang w:val="en-US"/>
        </w:rPr>
        <w:fldChar w:fldCharType="separate"/>
      </w:r>
      <w:r w:rsidR="00F60130" w:rsidRPr="00ED4D49">
        <w:rPr>
          <w:szCs w:val="23"/>
          <w:lang w:val="en-US"/>
        </w:rPr>
        <w:t>Table 19</w:t>
      </w:r>
      <w:r w:rsidRPr="00ED4D49">
        <w:rPr>
          <w:lang w:val="en-US"/>
        </w:rPr>
        <w:fldChar w:fldCharType="end"/>
      </w:r>
      <w:r w:rsidRPr="00ED4D49">
        <w:rPr>
          <w:szCs w:val="23"/>
          <w:lang w:val="en-US"/>
        </w:rPr>
        <w:t xml:space="preserve"> </w:t>
      </w:r>
      <w:r w:rsidR="002D2858" w:rsidRPr="00ED4D49">
        <w:rPr>
          <w:szCs w:val="23"/>
          <w:lang w:val="en-US"/>
        </w:rPr>
        <w:t>provides</w:t>
      </w:r>
      <w:r w:rsidRPr="00ED4D49">
        <w:rPr>
          <w:szCs w:val="23"/>
          <w:lang w:val="en-US"/>
        </w:rPr>
        <w:t xml:space="preserve"> an overview of institutions and their responsibilities relevant for this Project.</w:t>
      </w:r>
      <w:r w:rsidRPr="00ED4D49">
        <w:rPr>
          <w:rFonts w:cs="Calibri"/>
          <w:szCs w:val="24"/>
          <w:lang w:val="en-US"/>
        </w:rPr>
        <w:t xml:space="preserve"> (For the list of cantonal ministries responsible for water management and environmental issues, please refer to Annex </w:t>
      </w:r>
      <w:r w:rsidR="00A32F87" w:rsidRPr="00ED4D49">
        <w:rPr>
          <w:rFonts w:cs="Calibri"/>
          <w:szCs w:val="24"/>
          <w:lang w:val="en-US"/>
        </w:rPr>
        <w:fldChar w:fldCharType="begin"/>
      </w:r>
      <w:r w:rsidR="00A32F87" w:rsidRPr="00ED4D49">
        <w:rPr>
          <w:rFonts w:cs="Calibri"/>
          <w:szCs w:val="24"/>
          <w:lang w:val="en-US"/>
        </w:rPr>
        <w:instrText xml:space="preserve"> REF _Ref22584504 \r \h </w:instrText>
      </w:r>
      <w:r w:rsidR="00ED4D49">
        <w:rPr>
          <w:rFonts w:cs="Calibri"/>
          <w:szCs w:val="24"/>
          <w:lang w:val="en-US"/>
        </w:rPr>
        <w:instrText xml:space="preserve"> \* MERGEFORMAT </w:instrText>
      </w:r>
      <w:r w:rsidR="00A32F87" w:rsidRPr="00ED4D49">
        <w:rPr>
          <w:rFonts w:cs="Calibri"/>
          <w:szCs w:val="24"/>
          <w:lang w:val="en-US"/>
        </w:rPr>
      </w:r>
      <w:r w:rsidR="00A32F87" w:rsidRPr="00ED4D49">
        <w:rPr>
          <w:rFonts w:cs="Calibri"/>
          <w:szCs w:val="24"/>
          <w:lang w:val="en-US"/>
        </w:rPr>
        <w:fldChar w:fldCharType="separate"/>
      </w:r>
      <w:r w:rsidR="00F60130" w:rsidRPr="00ED4D49">
        <w:rPr>
          <w:rFonts w:cs="Calibri"/>
          <w:szCs w:val="24"/>
          <w:lang w:val="en-US"/>
        </w:rPr>
        <w:t>C</w:t>
      </w:r>
      <w:r w:rsidR="00A32F87" w:rsidRPr="00ED4D49">
        <w:rPr>
          <w:rFonts w:cs="Calibri"/>
          <w:szCs w:val="24"/>
          <w:lang w:val="en-US"/>
        </w:rPr>
        <w:fldChar w:fldCharType="end"/>
      </w:r>
      <w:r w:rsidRPr="00ED4D49">
        <w:rPr>
          <w:rFonts w:cs="Calibri"/>
          <w:szCs w:val="24"/>
          <w:lang w:val="en-US"/>
        </w:rPr>
        <w:t>).</w:t>
      </w:r>
    </w:p>
    <w:p w14:paraId="0656224F" w14:textId="26CA19F9" w:rsidR="00A76BEC" w:rsidRPr="00ED4D49" w:rsidRDefault="00A76BEC" w:rsidP="00A76BEC">
      <w:pPr>
        <w:pStyle w:val="Caption"/>
        <w:spacing w:line="276" w:lineRule="auto"/>
        <w:rPr>
          <w:rFonts w:cs="Calibri"/>
          <w:b w:val="0"/>
          <w:i/>
          <w:color w:val="auto"/>
          <w:sz w:val="16"/>
          <w:szCs w:val="24"/>
        </w:rPr>
      </w:pPr>
      <w:bookmarkStart w:id="217" w:name="_Ref20834147"/>
      <w:bookmarkStart w:id="218" w:name="_Toc28188044"/>
      <w:r w:rsidRPr="00ED4D49">
        <w:rPr>
          <w:rFonts w:cs="Calibri"/>
          <w:b w:val="0"/>
          <w:i/>
          <w:color w:val="1F497D"/>
          <w:sz w:val="16"/>
        </w:rPr>
        <w:t xml:space="preserve">Table </w:t>
      </w:r>
      <w:r w:rsidRPr="00ED4D49">
        <w:rPr>
          <w:rFonts w:cs="Calibri"/>
          <w:b w:val="0"/>
          <w:i/>
          <w:color w:val="1F497D"/>
          <w:sz w:val="16"/>
        </w:rPr>
        <w:fldChar w:fldCharType="begin"/>
      </w:r>
      <w:r w:rsidRPr="00ED4D49">
        <w:rPr>
          <w:rFonts w:cs="Calibri"/>
          <w:b w:val="0"/>
          <w:i/>
          <w:color w:val="1F497D"/>
          <w:sz w:val="16"/>
        </w:rPr>
        <w:instrText xml:space="preserve"> SEQ Table \* ARABIC </w:instrText>
      </w:r>
      <w:r w:rsidRPr="00ED4D49">
        <w:rPr>
          <w:rFonts w:cs="Calibri"/>
          <w:b w:val="0"/>
          <w:i/>
          <w:color w:val="1F497D"/>
          <w:sz w:val="16"/>
        </w:rPr>
        <w:fldChar w:fldCharType="separate"/>
      </w:r>
      <w:r w:rsidR="00F60130" w:rsidRPr="00ED4D49">
        <w:rPr>
          <w:rFonts w:cs="Calibri"/>
          <w:b w:val="0"/>
          <w:i/>
          <w:noProof/>
          <w:color w:val="1F497D"/>
          <w:sz w:val="16"/>
        </w:rPr>
        <w:t>19</w:t>
      </w:r>
      <w:r w:rsidRPr="00ED4D49">
        <w:rPr>
          <w:rFonts w:cs="Calibri"/>
          <w:b w:val="0"/>
          <w:i/>
          <w:color w:val="1F497D"/>
          <w:sz w:val="16"/>
        </w:rPr>
        <w:fldChar w:fldCharType="end"/>
      </w:r>
      <w:bookmarkEnd w:id="217"/>
      <w:r w:rsidRPr="00ED4D49">
        <w:rPr>
          <w:rFonts w:cs="Calibri"/>
          <w:b w:val="0"/>
          <w:i/>
          <w:color w:val="1F497D"/>
          <w:sz w:val="16"/>
        </w:rPr>
        <w:t>:</w:t>
      </w:r>
      <w:r w:rsidRPr="00ED4D49">
        <w:rPr>
          <w:rFonts w:cs="Calibri"/>
          <w:b w:val="0"/>
          <w:i/>
          <w:color w:val="auto"/>
          <w:sz w:val="16"/>
        </w:rPr>
        <w:t xml:space="preserve"> FBiH level institutions responsible for water management and environmental issues relevant for this Project</w:t>
      </w:r>
      <w:bookmarkEnd w:id="218"/>
    </w:p>
    <w:tbl>
      <w:tblPr>
        <w:tblW w:w="4998"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2740"/>
        <w:gridCol w:w="6266"/>
      </w:tblGrid>
      <w:tr w:rsidR="00A76BEC" w:rsidRPr="00ED4D49" w14:paraId="71EC4A53" w14:textId="77777777" w:rsidTr="0063606C">
        <w:trPr>
          <w:tblHeader/>
        </w:trPr>
        <w:tc>
          <w:tcPr>
            <w:tcW w:w="1521" w:type="pct"/>
            <w:shd w:val="clear" w:color="auto" w:fill="auto"/>
          </w:tcPr>
          <w:p w14:paraId="316EDB2F" w14:textId="77777777" w:rsidR="00A76BEC" w:rsidRPr="00ED4D49" w:rsidRDefault="00A76BEC" w:rsidP="00A76BEC">
            <w:pPr>
              <w:spacing w:before="0" w:after="0"/>
              <w:ind w:left="144" w:right="144"/>
              <w:jc w:val="both"/>
              <w:rPr>
                <w:rFonts w:cs="Calibri"/>
                <w:color w:val="336699"/>
                <w:sz w:val="16"/>
                <w:szCs w:val="16"/>
                <w:lang w:val="en-US"/>
              </w:rPr>
            </w:pPr>
            <w:r w:rsidRPr="00ED4D49">
              <w:rPr>
                <w:rFonts w:cs="Calibri"/>
                <w:color w:val="336699"/>
                <w:sz w:val="16"/>
                <w:szCs w:val="16"/>
                <w:lang w:val="en-US"/>
              </w:rPr>
              <w:t>Institution</w:t>
            </w:r>
          </w:p>
        </w:tc>
        <w:tc>
          <w:tcPr>
            <w:tcW w:w="3479" w:type="pct"/>
            <w:shd w:val="clear" w:color="auto" w:fill="auto"/>
          </w:tcPr>
          <w:p w14:paraId="04DB738B" w14:textId="77777777" w:rsidR="00A76BEC" w:rsidRPr="00ED4D49" w:rsidRDefault="00A76BEC" w:rsidP="00A76BEC">
            <w:pPr>
              <w:spacing w:before="0" w:after="0"/>
              <w:ind w:left="144" w:right="144"/>
              <w:rPr>
                <w:rFonts w:cs="Calibri"/>
                <w:color w:val="336699"/>
                <w:sz w:val="16"/>
                <w:szCs w:val="16"/>
                <w:lang w:val="en-US"/>
              </w:rPr>
            </w:pPr>
            <w:r w:rsidRPr="00ED4D49">
              <w:rPr>
                <w:rFonts w:cs="Calibri"/>
                <w:color w:val="336699"/>
                <w:sz w:val="16"/>
                <w:szCs w:val="16"/>
                <w:lang w:val="en-US"/>
              </w:rPr>
              <w:t>Responsibilities</w:t>
            </w:r>
          </w:p>
        </w:tc>
      </w:tr>
      <w:tr w:rsidR="00A76BEC" w:rsidRPr="00ED4D49" w14:paraId="243CE1E5" w14:textId="77777777" w:rsidTr="00A76BEC">
        <w:tc>
          <w:tcPr>
            <w:tcW w:w="1521" w:type="pct"/>
            <w:shd w:val="clear" w:color="auto" w:fill="auto"/>
          </w:tcPr>
          <w:p w14:paraId="10EC4026" w14:textId="13BF12A1" w:rsidR="00A76BEC" w:rsidRPr="00ED4D49" w:rsidRDefault="00A76BEC" w:rsidP="00A76BEC">
            <w:pPr>
              <w:spacing w:before="0" w:after="0"/>
              <w:ind w:left="144" w:right="144"/>
              <w:rPr>
                <w:rFonts w:cs="Calibri"/>
                <w:sz w:val="16"/>
                <w:szCs w:val="16"/>
                <w:lang w:val="en-US"/>
              </w:rPr>
            </w:pPr>
            <w:r w:rsidRPr="00ED4D49">
              <w:rPr>
                <w:rFonts w:cs="Calibri"/>
                <w:iCs/>
                <w:sz w:val="16"/>
                <w:szCs w:val="16"/>
                <w:lang w:val="en-US"/>
              </w:rPr>
              <w:t>Federal Ministry of Agriculture, Water Management and Forestry (FMAWMF)</w:t>
            </w:r>
          </w:p>
        </w:tc>
        <w:tc>
          <w:tcPr>
            <w:tcW w:w="3479" w:type="pct"/>
            <w:shd w:val="clear" w:color="auto" w:fill="auto"/>
          </w:tcPr>
          <w:p w14:paraId="5265BE28" w14:textId="77777777" w:rsidR="00A76BEC" w:rsidRPr="00ED4D49" w:rsidRDefault="00A76BEC" w:rsidP="00A76BEC">
            <w:pPr>
              <w:spacing w:before="0" w:after="0"/>
              <w:ind w:left="144" w:right="144"/>
              <w:jc w:val="both"/>
              <w:rPr>
                <w:rFonts w:cs="Calibri"/>
                <w:sz w:val="16"/>
                <w:szCs w:val="16"/>
                <w:lang w:val="en-US"/>
              </w:rPr>
            </w:pPr>
            <w:r w:rsidRPr="00ED4D49">
              <w:rPr>
                <w:rFonts w:cs="Calibri"/>
                <w:iCs/>
                <w:sz w:val="16"/>
                <w:szCs w:val="16"/>
                <w:lang w:val="en-US"/>
              </w:rPr>
              <w:t xml:space="preserve">Performs administrative, professional and other tasks </w:t>
            </w:r>
            <w:r w:rsidRPr="00ED4D49">
              <w:rPr>
                <w:rFonts w:cs="Calibri"/>
                <w:sz w:val="16"/>
                <w:szCs w:val="16"/>
                <w:lang w:val="en-US"/>
              </w:rPr>
              <w:t>in the field of water management, management of the basins among which are: preparation of strategies and development policies for water management, water management facilities and public water properties, proposing development documents for the integrated water management, preparation of legislation and regulations and institutional arrangement in the field of water management within the competence of FBiH, coordination of monitoring activities in water resources, implementation of development projects and cooperation with water management institutions and other institutions, carrying out concession granting procedures within the competence of the Ministry in this field, carrying out activities related to international contracts, agreements, conventions and protocols in water management.</w:t>
            </w:r>
          </w:p>
        </w:tc>
      </w:tr>
      <w:tr w:rsidR="00A76BEC" w:rsidRPr="00ED4D49" w14:paraId="706784FC" w14:textId="77777777" w:rsidTr="00A76BEC">
        <w:tc>
          <w:tcPr>
            <w:tcW w:w="1521" w:type="pct"/>
            <w:shd w:val="clear" w:color="auto" w:fill="auto"/>
          </w:tcPr>
          <w:p w14:paraId="4EB2CE1B" w14:textId="77777777" w:rsidR="00A76BEC" w:rsidRPr="00ED4D49" w:rsidRDefault="00A76BEC" w:rsidP="00A76BEC">
            <w:pPr>
              <w:spacing w:before="0" w:after="0"/>
              <w:ind w:left="144" w:right="144"/>
              <w:rPr>
                <w:rFonts w:cs="Calibri"/>
                <w:iCs/>
                <w:sz w:val="16"/>
                <w:szCs w:val="16"/>
                <w:lang w:val="en-US"/>
              </w:rPr>
            </w:pPr>
            <w:r w:rsidRPr="00ED4D49">
              <w:rPr>
                <w:rFonts w:cs="Calibri"/>
                <w:iCs/>
                <w:sz w:val="16"/>
                <w:szCs w:val="16"/>
                <w:lang w:val="en-US"/>
              </w:rPr>
              <w:t>Water Agencies in FBiH (Sava River Watershed Agency)</w:t>
            </w:r>
          </w:p>
        </w:tc>
        <w:tc>
          <w:tcPr>
            <w:tcW w:w="3479" w:type="pct"/>
            <w:shd w:val="clear" w:color="auto" w:fill="auto"/>
          </w:tcPr>
          <w:p w14:paraId="3C99B953" w14:textId="77777777" w:rsidR="00A76BEC" w:rsidRPr="00ED4D49" w:rsidRDefault="00A76BEC" w:rsidP="00A76BEC">
            <w:pPr>
              <w:spacing w:before="0" w:after="0"/>
              <w:ind w:left="144" w:right="144"/>
              <w:jc w:val="both"/>
              <w:rPr>
                <w:rFonts w:cs="Calibri"/>
                <w:iCs/>
                <w:sz w:val="16"/>
                <w:szCs w:val="16"/>
                <w:lang w:val="en-US"/>
              </w:rPr>
            </w:pPr>
            <w:r w:rsidRPr="00ED4D49">
              <w:rPr>
                <w:rFonts w:cs="Calibri"/>
                <w:iCs/>
                <w:sz w:val="16"/>
                <w:szCs w:val="16"/>
                <w:lang w:val="en-US"/>
              </w:rPr>
              <w:t>Organize hydrological monitoring and water quality monitoring, monitoring of ecological status of surface waters, monitoring of ground water quality. They prepare reports on the status of water quality and recommend measures necessary for achievement of goals related to water protection of waters, regulation of waters, protection from adverse effects of waters, and use of waters. They issue water-related acts and order measures which entities must observe in the periods of validity of these acts. They establish and manage the water information system.</w:t>
            </w:r>
          </w:p>
        </w:tc>
      </w:tr>
      <w:tr w:rsidR="00A76BEC" w:rsidRPr="00ED4D49" w14:paraId="7EA1F685" w14:textId="77777777" w:rsidTr="00A76BEC">
        <w:tc>
          <w:tcPr>
            <w:tcW w:w="1521" w:type="pct"/>
            <w:shd w:val="clear" w:color="auto" w:fill="auto"/>
          </w:tcPr>
          <w:p w14:paraId="4E659D99" w14:textId="243A7365" w:rsidR="00A76BEC" w:rsidRPr="00ED4D49" w:rsidRDefault="00A76BEC" w:rsidP="00A76BEC">
            <w:pPr>
              <w:spacing w:before="0" w:after="0"/>
              <w:ind w:left="144" w:right="144"/>
              <w:rPr>
                <w:rFonts w:cs="Calibri"/>
                <w:sz w:val="16"/>
                <w:szCs w:val="16"/>
                <w:lang w:val="en-US"/>
              </w:rPr>
            </w:pPr>
            <w:r w:rsidRPr="00ED4D49">
              <w:rPr>
                <w:rFonts w:cs="Calibri"/>
                <w:iCs/>
                <w:sz w:val="16"/>
                <w:szCs w:val="16"/>
                <w:lang w:val="en-US"/>
              </w:rPr>
              <w:lastRenderedPageBreak/>
              <w:t>Federal Ministry of Environment and Tourism (FMET)</w:t>
            </w:r>
          </w:p>
        </w:tc>
        <w:tc>
          <w:tcPr>
            <w:tcW w:w="3479" w:type="pct"/>
            <w:shd w:val="clear" w:color="auto" w:fill="auto"/>
          </w:tcPr>
          <w:p w14:paraId="2B5BDFB5" w14:textId="77777777" w:rsidR="00A76BEC" w:rsidRPr="00ED4D49" w:rsidRDefault="00A76BEC" w:rsidP="00A76BEC">
            <w:pPr>
              <w:spacing w:before="0" w:after="0"/>
              <w:ind w:left="144" w:right="144"/>
              <w:jc w:val="both"/>
              <w:rPr>
                <w:rFonts w:cs="Calibri"/>
                <w:sz w:val="16"/>
                <w:szCs w:val="16"/>
                <w:lang w:val="en-US"/>
              </w:rPr>
            </w:pPr>
            <w:r w:rsidRPr="00ED4D49">
              <w:rPr>
                <w:rFonts w:cs="Calibri"/>
                <w:iCs/>
                <w:sz w:val="16"/>
                <w:szCs w:val="16"/>
                <w:lang w:val="en-US"/>
              </w:rPr>
              <w:t>Performs administrative, professional and other tasks within the competence of FBiH related to air, water and soil protection; drafting environmental strategy and policy, standards for air, water and soil quality, environmental monitoring and control of air, water and soil. The Ministry is also responsible for issuance of Environmental Permits at FBiH level.</w:t>
            </w:r>
          </w:p>
        </w:tc>
      </w:tr>
      <w:tr w:rsidR="00A76BEC" w:rsidRPr="00ED4D49" w14:paraId="22D36A05" w14:textId="77777777" w:rsidTr="00A76BEC">
        <w:tc>
          <w:tcPr>
            <w:tcW w:w="1521" w:type="pct"/>
            <w:shd w:val="clear" w:color="auto" w:fill="auto"/>
          </w:tcPr>
          <w:p w14:paraId="267B4F5E" w14:textId="7169B96A" w:rsidR="00A76BEC" w:rsidRPr="00ED4D49" w:rsidRDefault="00A76BEC" w:rsidP="00A76BEC">
            <w:pPr>
              <w:spacing w:before="0" w:after="0"/>
              <w:ind w:left="144" w:right="144"/>
              <w:rPr>
                <w:rFonts w:cs="Calibri"/>
                <w:sz w:val="16"/>
                <w:szCs w:val="16"/>
                <w:lang w:val="en-US"/>
              </w:rPr>
            </w:pPr>
            <w:r w:rsidRPr="00ED4D49">
              <w:rPr>
                <w:rFonts w:cs="Calibri"/>
                <w:iCs/>
                <w:sz w:val="16"/>
                <w:szCs w:val="16"/>
                <w:lang w:val="en-US"/>
              </w:rPr>
              <w:t>Federal Ministry of Transport and Communications</w:t>
            </w:r>
          </w:p>
        </w:tc>
        <w:tc>
          <w:tcPr>
            <w:tcW w:w="3479" w:type="pct"/>
            <w:shd w:val="clear" w:color="auto" w:fill="auto"/>
          </w:tcPr>
          <w:p w14:paraId="63A09726" w14:textId="77777777" w:rsidR="00A76BEC" w:rsidRPr="00ED4D49" w:rsidRDefault="00A76BEC" w:rsidP="00A76BEC">
            <w:pPr>
              <w:spacing w:before="0" w:after="0"/>
              <w:ind w:left="144" w:right="144"/>
              <w:jc w:val="both"/>
              <w:rPr>
                <w:rFonts w:cs="Calibri"/>
                <w:iCs/>
                <w:sz w:val="16"/>
                <w:szCs w:val="16"/>
                <w:lang w:val="en-US"/>
              </w:rPr>
            </w:pPr>
            <w:r w:rsidRPr="00ED4D49">
              <w:rPr>
                <w:rFonts w:cs="Calibri"/>
                <w:iCs/>
                <w:sz w:val="16"/>
                <w:szCs w:val="16"/>
                <w:lang w:val="en-US"/>
              </w:rPr>
              <w:t>Performs administrative, professional and other tasks within the competence of FBiH related to transport and communications which include, among others, river and lake traffic. It monitors the state of development and the safety of water-navigation and combined transport, initiate and cooperate in the development of development plans and maintenance programs in individual forms of transport, initiates the achievement of international treaties, conventions, agreements and other acts, participates in the drafting of legislation and by-laws in the field of transport.</w:t>
            </w:r>
          </w:p>
        </w:tc>
      </w:tr>
      <w:tr w:rsidR="00A76BEC" w:rsidRPr="00ED4D49" w14:paraId="16E83DF3" w14:textId="77777777" w:rsidTr="00A76BEC">
        <w:tc>
          <w:tcPr>
            <w:tcW w:w="1521" w:type="pct"/>
            <w:shd w:val="clear" w:color="auto" w:fill="auto"/>
          </w:tcPr>
          <w:p w14:paraId="2396F3CC" w14:textId="7FFAFB89" w:rsidR="00A76BEC" w:rsidRPr="00ED4D49" w:rsidRDefault="00A76BEC" w:rsidP="00A76BEC">
            <w:pPr>
              <w:spacing w:before="0" w:after="0"/>
              <w:ind w:left="144" w:right="144"/>
              <w:rPr>
                <w:rFonts w:cs="Calibri"/>
                <w:sz w:val="16"/>
                <w:szCs w:val="16"/>
                <w:lang w:val="en-US"/>
              </w:rPr>
            </w:pPr>
            <w:r w:rsidRPr="00ED4D49">
              <w:rPr>
                <w:rFonts w:cs="Calibri"/>
                <w:iCs/>
                <w:sz w:val="16"/>
                <w:szCs w:val="16"/>
                <w:lang w:val="en-US"/>
              </w:rPr>
              <w:t>Federal Ministry of Spatial Planning</w:t>
            </w:r>
          </w:p>
        </w:tc>
        <w:tc>
          <w:tcPr>
            <w:tcW w:w="3479" w:type="pct"/>
            <w:shd w:val="clear" w:color="auto" w:fill="auto"/>
          </w:tcPr>
          <w:p w14:paraId="71139280" w14:textId="77777777" w:rsidR="00A76BEC" w:rsidRPr="00ED4D49" w:rsidRDefault="00A76BEC" w:rsidP="00A76BEC">
            <w:pPr>
              <w:spacing w:before="0" w:after="0"/>
              <w:ind w:left="144" w:right="144"/>
              <w:jc w:val="both"/>
              <w:rPr>
                <w:rFonts w:cs="Calibri"/>
                <w:iCs/>
                <w:sz w:val="16"/>
                <w:szCs w:val="16"/>
                <w:lang w:val="en-US"/>
              </w:rPr>
            </w:pPr>
            <w:r w:rsidRPr="00ED4D49">
              <w:rPr>
                <w:rFonts w:cs="Calibri"/>
                <w:iCs/>
                <w:sz w:val="16"/>
                <w:szCs w:val="16"/>
                <w:lang w:val="en-US"/>
              </w:rPr>
              <w:t>Responsible for spatial planning and land use at FBiH level, long-term plans for exploitation of natural resources and protection of national monuments and areas of exceptional natural, architectural and cultural and historical importance. Also responsible for issuing Urban Consents, Construction Permits, and Use Permits at FBiH level.</w:t>
            </w:r>
          </w:p>
        </w:tc>
      </w:tr>
    </w:tbl>
    <w:p w14:paraId="669D5A15" w14:textId="77777777" w:rsidR="00A76BEC" w:rsidRPr="00ED4D49" w:rsidRDefault="00A76BEC" w:rsidP="00A76BEC">
      <w:pPr>
        <w:spacing w:before="0" w:after="0"/>
        <w:jc w:val="both"/>
        <w:rPr>
          <w:rFonts w:cs="Calibri"/>
          <w:color w:val="1F497D"/>
          <w:szCs w:val="24"/>
          <w:lang w:val="en-US"/>
        </w:rPr>
      </w:pPr>
    </w:p>
    <w:p w14:paraId="3D95CA6B" w14:textId="77777777" w:rsidR="00A76BEC" w:rsidRPr="00ED4D49" w:rsidRDefault="00A76BEC" w:rsidP="0063606C">
      <w:pPr>
        <w:pStyle w:val="Heading2"/>
      </w:pPr>
      <w:bookmarkStart w:id="219" w:name="_Toc20858950"/>
      <w:bookmarkStart w:id="220" w:name="_Toc31811096"/>
      <w:r w:rsidRPr="00ED4D49">
        <w:t>RS Level Institutions</w:t>
      </w:r>
      <w:bookmarkEnd w:id="219"/>
      <w:bookmarkEnd w:id="220"/>
    </w:p>
    <w:p w14:paraId="36834F33" w14:textId="3FC214AE" w:rsidR="00A76BEC" w:rsidRPr="00ED4D49" w:rsidRDefault="00A76BEC" w:rsidP="00A76BEC">
      <w:pPr>
        <w:jc w:val="both"/>
        <w:rPr>
          <w:szCs w:val="23"/>
          <w:lang w:val="en-US"/>
        </w:rPr>
      </w:pPr>
      <w:r w:rsidRPr="00ED4D49">
        <w:rPr>
          <w:szCs w:val="23"/>
          <w:lang w:val="en-US"/>
        </w:rPr>
        <w:t>The Constitution of RS</w:t>
      </w:r>
      <w:r w:rsidRPr="00ED4D49">
        <w:rPr>
          <w:szCs w:val="23"/>
          <w:vertAlign w:val="superscript"/>
          <w:lang w:val="en-US"/>
        </w:rPr>
        <w:footnoteReference w:id="71"/>
      </w:r>
      <w:r w:rsidRPr="00ED4D49">
        <w:rPr>
          <w:szCs w:val="23"/>
          <w:vertAlign w:val="superscript"/>
          <w:lang w:val="en-US"/>
        </w:rPr>
        <w:t xml:space="preserve"> </w:t>
      </w:r>
      <w:r w:rsidRPr="00ED4D49">
        <w:rPr>
          <w:szCs w:val="23"/>
          <w:lang w:val="en-US"/>
        </w:rPr>
        <w:t xml:space="preserve">defines that </w:t>
      </w:r>
      <w:r w:rsidR="00FE5500" w:rsidRPr="00ED4D49">
        <w:rPr>
          <w:szCs w:val="23"/>
          <w:lang w:val="en-US"/>
        </w:rPr>
        <w:t xml:space="preserve">the </w:t>
      </w:r>
      <w:r w:rsidRPr="00ED4D49">
        <w:rPr>
          <w:szCs w:val="23"/>
          <w:lang w:val="en-US"/>
        </w:rPr>
        <w:t xml:space="preserve">RS </w:t>
      </w:r>
      <w:r w:rsidR="00FE5500" w:rsidRPr="00ED4D49">
        <w:rPr>
          <w:szCs w:val="23"/>
          <w:lang w:val="en-US"/>
        </w:rPr>
        <w:t xml:space="preserve">level authorities </w:t>
      </w:r>
      <w:r w:rsidRPr="00ED4D49">
        <w:rPr>
          <w:szCs w:val="23"/>
          <w:lang w:val="en-US"/>
        </w:rPr>
        <w:t>organize and provide environmental protection</w:t>
      </w:r>
      <w:r w:rsidR="00FE5500" w:rsidRPr="00ED4D49">
        <w:rPr>
          <w:szCs w:val="23"/>
          <w:lang w:val="en-US"/>
        </w:rPr>
        <w:t>.</w:t>
      </w:r>
      <w:r w:rsidRPr="00ED4D49">
        <w:rPr>
          <w:szCs w:val="23"/>
          <w:lang w:val="en-US"/>
        </w:rPr>
        <w:t xml:space="preserve"> </w:t>
      </w:r>
      <w:r w:rsidRPr="00ED4D49">
        <w:rPr>
          <w:lang w:val="en-US"/>
        </w:rPr>
        <w:fldChar w:fldCharType="begin"/>
      </w:r>
      <w:r w:rsidRPr="00ED4D49">
        <w:rPr>
          <w:lang w:val="en-US"/>
        </w:rPr>
        <w:instrText xml:space="preserve"> REF _Ref20836933 \h  \* MERGEFORMAT </w:instrText>
      </w:r>
      <w:r w:rsidRPr="00ED4D49">
        <w:rPr>
          <w:lang w:val="en-US"/>
        </w:rPr>
      </w:r>
      <w:r w:rsidRPr="00ED4D49">
        <w:rPr>
          <w:lang w:val="en-US"/>
        </w:rPr>
        <w:fldChar w:fldCharType="separate"/>
      </w:r>
      <w:r w:rsidR="00F60130" w:rsidRPr="00ED4D49">
        <w:rPr>
          <w:szCs w:val="23"/>
          <w:lang w:val="en-US"/>
        </w:rPr>
        <w:t>Table 20</w:t>
      </w:r>
      <w:r w:rsidRPr="00ED4D49">
        <w:rPr>
          <w:lang w:val="en-US"/>
        </w:rPr>
        <w:fldChar w:fldCharType="end"/>
      </w:r>
      <w:r w:rsidRPr="00ED4D49">
        <w:rPr>
          <w:szCs w:val="23"/>
          <w:lang w:val="en-US"/>
        </w:rPr>
        <w:t xml:space="preserve"> </w:t>
      </w:r>
      <w:r w:rsidR="00C917A9" w:rsidRPr="00ED4D49">
        <w:rPr>
          <w:szCs w:val="23"/>
          <w:lang w:val="en-US"/>
        </w:rPr>
        <w:t>provides</w:t>
      </w:r>
      <w:r w:rsidRPr="00ED4D49">
        <w:rPr>
          <w:szCs w:val="23"/>
          <w:lang w:val="en-US"/>
        </w:rPr>
        <w:t xml:space="preserve"> an overview of institutions responsible for environmental protection in RS.</w:t>
      </w:r>
    </w:p>
    <w:p w14:paraId="668239AE" w14:textId="375C87F4" w:rsidR="00A76BEC" w:rsidRPr="00ED4D49" w:rsidRDefault="00A76BEC" w:rsidP="00A76BEC">
      <w:pPr>
        <w:pStyle w:val="Caption"/>
        <w:spacing w:line="276" w:lineRule="auto"/>
        <w:rPr>
          <w:rFonts w:cs="Calibri"/>
          <w:b w:val="0"/>
          <w:i/>
          <w:color w:val="auto"/>
          <w:sz w:val="16"/>
          <w:szCs w:val="24"/>
        </w:rPr>
      </w:pPr>
      <w:bookmarkStart w:id="221" w:name="_Ref20836933"/>
      <w:bookmarkStart w:id="222" w:name="_Toc28188045"/>
      <w:r w:rsidRPr="00ED4D49">
        <w:rPr>
          <w:rFonts w:cs="Calibri"/>
          <w:b w:val="0"/>
          <w:i/>
          <w:color w:val="1F497D"/>
          <w:sz w:val="16"/>
        </w:rPr>
        <w:t xml:space="preserve">Table </w:t>
      </w:r>
      <w:r w:rsidRPr="00ED4D49">
        <w:rPr>
          <w:rFonts w:cs="Calibri"/>
          <w:b w:val="0"/>
          <w:i/>
          <w:color w:val="1F497D"/>
          <w:sz w:val="16"/>
        </w:rPr>
        <w:fldChar w:fldCharType="begin"/>
      </w:r>
      <w:r w:rsidRPr="00ED4D49">
        <w:rPr>
          <w:rFonts w:cs="Calibri"/>
          <w:b w:val="0"/>
          <w:i/>
          <w:color w:val="1F497D"/>
          <w:sz w:val="16"/>
        </w:rPr>
        <w:instrText xml:space="preserve"> SEQ Table \* ARABIC </w:instrText>
      </w:r>
      <w:r w:rsidRPr="00ED4D49">
        <w:rPr>
          <w:rFonts w:cs="Calibri"/>
          <w:b w:val="0"/>
          <w:i/>
          <w:color w:val="1F497D"/>
          <w:sz w:val="16"/>
        </w:rPr>
        <w:fldChar w:fldCharType="separate"/>
      </w:r>
      <w:r w:rsidR="00F60130" w:rsidRPr="00ED4D49">
        <w:rPr>
          <w:rFonts w:cs="Calibri"/>
          <w:b w:val="0"/>
          <w:i/>
          <w:noProof/>
          <w:color w:val="1F497D"/>
          <w:sz w:val="16"/>
        </w:rPr>
        <w:t>20</w:t>
      </w:r>
      <w:r w:rsidRPr="00ED4D49">
        <w:rPr>
          <w:rFonts w:cs="Calibri"/>
          <w:b w:val="0"/>
          <w:i/>
          <w:color w:val="1F497D"/>
          <w:sz w:val="16"/>
        </w:rPr>
        <w:fldChar w:fldCharType="end"/>
      </w:r>
      <w:bookmarkEnd w:id="221"/>
      <w:r w:rsidRPr="00ED4D49">
        <w:rPr>
          <w:rFonts w:cs="Calibri"/>
          <w:b w:val="0"/>
          <w:i/>
          <w:color w:val="1F497D"/>
          <w:sz w:val="16"/>
        </w:rPr>
        <w:t>:</w:t>
      </w:r>
      <w:r w:rsidRPr="00ED4D49">
        <w:rPr>
          <w:rFonts w:cs="Calibri"/>
          <w:b w:val="0"/>
          <w:i/>
          <w:color w:val="auto"/>
          <w:sz w:val="16"/>
        </w:rPr>
        <w:t xml:space="preserve"> RS level institutions responsible for water management and environmental issues relevant for this Project</w:t>
      </w:r>
      <w:bookmarkEnd w:id="222"/>
    </w:p>
    <w:tbl>
      <w:tblPr>
        <w:tblW w:w="4998"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2740"/>
        <w:gridCol w:w="6266"/>
      </w:tblGrid>
      <w:tr w:rsidR="00A76BEC" w:rsidRPr="00ED4D49" w14:paraId="13DA68F2" w14:textId="77777777" w:rsidTr="0063606C">
        <w:trPr>
          <w:tblHeader/>
        </w:trPr>
        <w:tc>
          <w:tcPr>
            <w:tcW w:w="1521" w:type="pct"/>
            <w:shd w:val="clear" w:color="auto" w:fill="auto"/>
          </w:tcPr>
          <w:p w14:paraId="2CEBC677" w14:textId="77777777" w:rsidR="00A76BEC" w:rsidRPr="00ED4D49" w:rsidRDefault="00A76BEC" w:rsidP="00A76BEC">
            <w:pPr>
              <w:spacing w:before="0" w:after="0"/>
              <w:ind w:left="144" w:right="144"/>
              <w:jc w:val="both"/>
              <w:rPr>
                <w:rFonts w:cs="Calibri"/>
                <w:color w:val="336699"/>
                <w:sz w:val="16"/>
                <w:szCs w:val="16"/>
                <w:lang w:val="en-US"/>
              </w:rPr>
            </w:pPr>
            <w:r w:rsidRPr="00ED4D49">
              <w:rPr>
                <w:rFonts w:cs="Calibri"/>
                <w:color w:val="336699"/>
                <w:sz w:val="16"/>
                <w:szCs w:val="16"/>
                <w:lang w:val="en-US"/>
              </w:rPr>
              <w:t>Institution</w:t>
            </w:r>
          </w:p>
        </w:tc>
        <w:tc>
          <w:tcPr>
            <w:tcW w:w="3479" w:type="pct"/>
            <w:shd w:val="clear" w:color="auto" w:fill="auto"/>
          </w:tcPr>
          <w:p w14:paraId="6C299F8A" w14:textId="77777777" w:rsidR="00A76BEC" w:rsidRPr="00ED4D49" w:rsidRDefault="00A76BEC" w:rsidP="00A76BEC">
            <w:pPr>
              <w:spacing w:before="0" w:after="0"/>
              <w:ind w:left="144" w:right="144"/>
              <w:rPr>
                <w:rFonts w:cs="Calibri"/>
                <w:color w:val="336699"/>
                <w:sz w:val="16"/>
                <w:szCs w:val="16"/>
                <w:lang w:val="en-US"/>
              </w:rPr>
            </w:pPr>
            <w:r w:rsidRPr="00ED4D49">
              <w:rPr>
                <w:rFonts w:cs="Calibri"/>
                <w:color w:val="336699"/>
                <w:sz w:val="16"/>
                <w:szCs w:val="16"/>
                <w:lang w:val="en-US"/>
              </w:rPr>
              <w:t>Responsibilities</w:t>
            </w:r>
          </w:p>
        </w:tc>
      </w:tr>
      <w:tr w:rsidR="00A76BEC" w:rsidRPr="00ED4D49" w14:paraId="50C1F576" w14:textId="77777777" w:rsidTr="00A76BEC">
        <w:tc>
          <w:tcPr>
            <w:tcW w:w="1521" w:type="pct"/>
            <w:shd w:val="clear" w:color="auto" w:fill="auto"/>
          </w:tcPr>
          <w:p w14:paraId="3CF8D079" w14:textId="5A90A37D" w:rsidR="00A76BEC" w:rsidRPr="00ED4D49" w:rsidRDefault="00A76BEC" w:rsidP="00C917A9">
            <w:pPr>
              <w:spacing w:before="0" w:after="0"/>
              <w:ind w:right="144"/>
              <w:rPr>
                <w:rFonts w:cs="Calibri"/>
                <w:sz w:val="16"/>
                <w:szCs w:val="16"/>
                <w:lang w:val="en-US"/>
              </w:rPr>
            </w:pPr>
            <w:r w:rsidRPr="00ED4D49">
              <w:rPr>
                <w:rFonts w:cs="Calibri"/>
                <w:iCs/>
                <w:sz w:val="16"/>
                <w:szCs w:val="16"/>
                <w:lang w:val="en-US"/>
              </w:rPr>
              <w:t>Ministry of Agriculture, Forestry and Water Management of RS</w:t>
            </w:r>
          </w:p>
        </w:tc>
        <w:tc>
          <w:tcPr>
            <w:tcW w:w="3479" w:type="pct"/>
            <w:shd w:val="clear" w:color="auto" w:fill="auto"/>
          </w:tcPr>
          <w:p w14:paraId="30629384" w14:textId="17E768A8" w:rsidR="00A76BEC" w:rsidRPr="00ED4D49" w:rsidRDefault="00A76BEC" w:rsidP="00A76BEC">
            <w:pPr>
              <w:spacing w:before="0" w:after="0"/>
              <w:ind w:left="144" w:right="144"/>
              <w:jc w:val="both"/>
              <w:rPr>
                <w:rFonts w:cs="Calibri"/>
                <w:sz w:val="16"/>
                <w:szCs w:val="16"/>
                <w:lang w:val="en-US"/>
              </w:rPr>
            </w:pPr>
            <w:r w:rsidRPr="00ED4D49">
              <w:rPr>
                <w:rFonts w:cs="Calibri"/>
                <w:iCs/>
                <w:sz w:val="16"/>
                <w:szCs w:val="16"/>
                <w:lang w:val="en-US"/>
              </w:rPr>
              <w:t xml:space="preserve">Administrative, professional and other tasks in the field of water management, management of two river basins (Sava River Basin and </w:t>
            </w:r>
            <w:proofErr w:type="spellStart"/>
            <w:r w:rsidRPr="00ED4D49">
              <w:rPr>
                <w:rFonts w:cs="Calibri"/>
                <w:iCs/>
                <w:sz w:val="16"/>
                <w:szCs w:val="16"/>
                <w:lang w:val="en-US"/>
              </w:rPr>
              <w:t>Trebi</w:t>
            </w:r>
            <w:r w:rsidR="00A7018E" w:rsidRPr="00ED4D49">
              <w:rPr>
                <w:rFonts w:cs="Calibri"/>
                <w:iCs/>
                <w:sz w:val="16"/>
                <w:szCs w:val="16"/>
                <w:lang w:val="en-US"/>
              </w:rPr>
              <w:t>s</w:t>
            </w:r>
            <w:r w:rsidRPr="00ED4D49">
              <w:rPr>
                <w:rFonts w:cs="Calibri"/>
                <w:iCs/>
                <w:sz w:val="16"/>
                <w:szCs w:val="16"/>
                <w:lang w:val="en-US"/>
              </w:rPr>
              <w:t>njica</w:t>
            </w:r>
            <w:proofErr w:type="spellEnd"/>
            <w:r w:rsidRPr="00ED4D49">
              <w:rPr>
                <w:rFonts w:cs="Calibri"/>
                <w:iCs/>
                <w:sz w:val="16"/>
                <w:szCs w:val="16"/>
                <w:lang w:val="en-US"/>
              </w:rPr>
              <w:t xml:space="preserve"> River Basin)</w:t>
            </w:r>
            <w:r w:rsidRPr="00ED4D49">
              <w:rPr>
                <w:rFonts w:cs="Calibri"/>
                <w:sz w:val="16"/>
                <w:szCs w:val="16"/>
                <w:lang w:val="en-US"/>
              </w:rPr>
              <w:t>. This Ministry is responsible for development and adoption of plans in water management sector, balance water, enforcement of protection from harmful water, determining conditions and issuing water permits, implementation and organization of quality control of water, monitoring, hydro melioration, establishment and maintenance of information systems, keeping registers; preparation of strategies, programs, monitoring and coordination of the work of other organizations in the field of water management and other activities determined by law.</w:t>
            </w:r>
          </w:p>
        </w:tc>
      </w:tr>
      <w:tr w:rsidR="00A76BEC" w:rsidRPr="00ED4D49" w14:paraId="713E2B40" w14:textId="77777777" w:rsidTr="00A76BEC">
        <w:tc>
          <w:tcPr>
            <w:tcW w:w="1521" w:type="pct"/>
            <w:shd w:val="clear" w:color="auto" w:fill="auto"/>
          </w:tcPr>
          <w:p w14:paraId="3BF286C9" w14:textId="77777777" w:rsidR="00A76BEC" w:rsidRPr="00ED4D49" w:rsidRDefault="00A76BEC" w:rsidP="00C917A9">
            <w:pPr>
              <w:spacing w:before="0" w:after="0"/>
              <w:ind w:right="144"/>
              <w:rPr>
                <w:rFonts w:cs="Calibri"/>
                <w:iCs/>
                <w:sz w:val="16"/>
                <w:szCs w:val="16"/>
                <w:lang w:val="en-US"/>
              </w:rPr>
            </w:pPr>
            <w:r w:rsidRPr="00ED4D49">
              <w:rPr>
                <w:rFonts w:cs="Calibri"/>
                <w:iCs/>
                <w:sz w:val="16"/>
                <w:szCs w:val="16"/>
                <w:lang w:val="en-US"/>
              </w:rPr>
              <w:t xml:space="preserve">Public Institution “Vode </w:t>
            </w:r>
            <w:proofErr w:type="gramStart"/>
            <w:r w:rsidRPr="00ED4D49">
              <w:rPr>
                <w:rFonts w:cs="Calibri"/>
                <w:iCs/>
                <w:sz w:val="16"/>
                <w:szCs w:val="16"/>
                <w:lang w:val="en-US"/>
              </w:rPr>
              <w:t>Srpske“</w:t>
            </w:r>
            <w:proofErr w:type="gramEnd"/>
          </w:p>
        </w:tc>
        <w:tc>
          <w:tcPr>
            <w:tcW w:w="3479" w:type="pct"/>
            <w:shd w:val="clear" w:color="auto" w:fill="auto"/>
          </w:tcPr>
          <w:p w14:paraId="62299B78" w14:textId="77777777" w:rsidR="00A76BEC" w:rsidRPr="00ED4D49" w:rsidRDefault="00A76BEC" w:rsidP="00A76BEC">
            <w:pPr>
              <w:spacing w:before="0" w:after="0"/>
              <w:ind w:left="144" w:right="144"/>
              <w:jc w:val="both"/>
              <w:rPr>
                <w:rFonts w:cs="Calibri"/>
                <w:iCs/>
                <w:sz w:val="16"/>
                <w:szCs w:val="16"/>
                <w:lang w:val="en-US"/>
              </w:rPr>
            </w:pPr>
            <w:r w:rsidRPr="00ED4D49">
              <w:rPr>
                <w:rFonts w:cs="Calibri"/>
                <w:iCs/>
                <w:sz w:val="16"/>
                <w:szCs w:val="16"/>
                <w:lang w:val="en-US"/>
              </w:rPr>
              <w:t>Organizes hydrological monitoring and water quality monitoring, monitoring of the ecological status of surface waters, monitoring of ground water quality. Prepares reports on the status of water quality and recommends measures necessary for achievement of goals related to water protection of waters, regulation of waters, protection from adverse effects of waters, and use of waters. Issues water-related acts and orders measures which entities must observe in the period of validity of these acts. Establishes and manages the water information system.</w:t>
            </w:r>
          </w:p>
        </w:tc>
      </w:tr>
      <w:tr w:rsidR="00A76BEC" w:rsidRPr="00ED4D49" w14:paraId="007B0C2B" w14:textId="77777777" w:rsidTr="00A76BEC">
        <w:tc>
          <w:tcPr>
            <w:tcW w:w="1521" w:type="pct"/>
            <w:shd w:val="clear" w:color="auto" w:fill="auto"/>
          </w:tcPr>
          <w:p w14:paraId="790E1C39" w14:textId="29D05FAD" w:rsidR="00A76BEC" w:rsidRPr="00ED4D49" w:rsidRDefault="00A76BEC" w:rsidP="00C917A9">
            <w:pPr>
              <w:spacing w:before="0" w:after="0"/>
              <w:ind w:right="144"/>
              <w:rPr>
                <w:rFonts w:cs="Calibri"/>
                <w:iCs/>
                <w:sz w:val="16"/>
                <w:szCs w:val="16"/>
                <w:lang w:val="en-US"/>
              </w:rPr>
            </w:pPr>
            <w:r w:rsidRPr="00ED4D49">
              <w:rPr>
                <w:rFonts w:cs="Calibri"/>
                <w:iCs/>
                <w:sz w:val="16"/>
                <w:szCs w:val="16"/>
                <w:lang w:val="en-US"/>
              </w:rPr>
              <w:t>Ministry of Spatial Planning, Civil Engineering and Ecology of RS</w:t>
            </w:r>
          </w:p>
        </w:tc>
        <w:tc>
          <w:tcPr>
            <w:tcW w:w="3479" w:type="pct"/>
            <w:shd w:val="clear" w:color="auto" w:fill="auto"/>
          </w:tcPr>
          <w:p w14:paraId="2D5DBF27" w14:textId="77777777" w:rsidR="00A76BEC" w:rsidRPr="00ED4D49" w:rsidRDefault="00A76BEC" w:rsidP="00A76BEC">
            <w:pPr>
              <w:spacing w:before="0" w:after="0"/>
              <w:ind w:left="144" w:right="144"/>
              <w:jc w:val="both"/>
              <w:rPr>
                <w:rFonts w:cs="Calibri"/>
                <w:iCs/>
                <w:sz w:val="16"/>
                <w:szCs w:val="16"/>
                <w:lang w:val="en-US"/>
              </w:rPr>
            </w:pPr>
            <w:r w:rsidRPr="00ED4D49">
              <w:rPr>
                <w:rFonts w:cs="Calibri"/>
                <w:iCs/>
                <w:sz w:val="16"/>
                <w:szCs w:val="16"/>
                <w:lang w:val="en-US"/>
              </w:rPr>
              <w:t xml:space="preserve">Integral planning and spatial planning, implementation of the Spatial Plan of RS, approval of spatial plans of local self-government units and special areas, urban and regulatory plans, integral protection and promotion of the environment and nature in general, research, planning and management through environmental measures, protection of the ozone layer, monitoring of climate change, comprehensive protection of goods of general interest, natural resources, natural and cultural heritage, issuance of Environmental Permit, </w:t>
            </w:r>
          </w:p>
        </w:tc>
      </w:tr>
      <w:tr w:rsidR="00A76BEC" w:rsidRPr="00ED4D49" w14:paraId="64774836" w14:textId="77777777" w:rsidTr="00A76BEC">
        <w:tc>
          <w:tcPr>
            <w:tcW w:w="1521" w:type="pct"/>
            <w:shd w:val="clear" w:color="auto" w:fill="auto"/>
          </w:tcPr>
          <w:p w14:paraId="0B8E8EAA" w14:textId="79DCE1D3" w:rsidR="00A76BEC" w:rsidRPr="00ED4D49" w:rsidRDefault="00A76BEC" w:rsidP="00A76BEC">
            <w:pPr>
              <w:spacing w:before="0" w:after="0"/>
              <w:ind w:left="144" w:right="144"/>
              <w:rPr>
                <w:rFonts w:cs="Calibri"/>
                <w:sz w:val="16"/>
                <w:szCs w:val="16"/>
                <w:lang w:val="en-US"/>
              </w:rPr>
            </w:pPr>
            <w:r w:rsidRPr="00ED4D49">
              <w:rPr>
                <w:rFonts w:cs="Calibri"/>
                <w:iCs/>
                <w:sz w:val="16"/>
                <w:szCs w:val="16"/>
                <w:lang w:val="en-US"/>
              </w:rPr>
              <w:t>Ministry of Transport and Communications of RS</w:t>
            </w:r>
          </w:p>
        </w:tc>
        <w:tc>
          <w:tcPr>
            <w:tcW w:w="3479" w:type="pct"/>
            <w:shd w:val="clear" w:color="auto" w:fill="auto"/>
          </w:tcPr>
          <w:p w14:paraId="7703B658" w14:textId="546B1FAD" w:rsidR="00A76BEC" w:rsidRPr="00ED4D49" w:rsidRDefault="00A76BEC" w:rsidP="00A76BEC">
            <w:pPr>
              <w:spacing w:before="0" w:after="0"/>
              <w:ind w:left="144" w:right="144"/>
              <w:jc w:val="both"/>
              <w:rPr>
                <w:rFonts w:cs="Calibri"/>
                <w:iCs/>
                <w:sz w:val="16"/>
                <w:szCs w:val="16"/>
                <w:lang w:val="en-US"/>
              </w:rPr>
            </w:pPr>
            <w:r w:rsidRPr="00ED4D49">
              <w:rPr>
                <w:rFonts w:cs="Calibri"/>
                <w:iCs/>
                <w:sz w:val="16"/>
                <w:szCs w:val="16"/>
                <w:lang w:val="en-US"/>
              </w:rPr>
              <w:t xml:space="preserve">Performs administrative, professional and other tasks within the competence of RS related to transport and communications which include, among others river and lake traffic, safety of river and lake traffic, arrangement of waterways, navigable vessels and their registration, water infrastructure (ports, docks, moorings, etc.), issuance of certificates on the ability to operate a boat, issuance of traffic approvals and permits for ship navigation, combined traffic and </w:t>
            </w:r>
            <w:r w:rsidR="00B71C89" w:rsidRPr="00ED4D49">
              <w:rPr>
                <w:rFonts w:cs="Calibri"/>
                <w:iCs/>
                <w:sz w:val="16"/>
                <w:szCs w:val="16"/>
                <w:lang w:val="en-US"/>
              </w:rPr>
              <w:t>transshipment</w:t>
            </w:r>
            <w:r w:rsidRPr="00ED4D49">
              <w:rPr>
                <w:rFonts w:cs="Calibri"/>
                <w:iCs/>
                <w:sz w:val="16"/>
                <w:szCs w:val="16"/>
                <w:lang w:val="en-US"/>
              </w:rPr>
              <w:t xml:space="preserve"> services.</w:t>
            </w:r>
          </w:p>
        </w:tc>
      </w:tr>
    </w:tbl>
    <w:p w14:paraId="4F1A39F9" w14:textId="77777777" w:rsidR="00A76BEC" w:rsidRPr="00ED4D49" w:rsidRDefault="00A76BEC" w:rsidP="00A76BEC">
      <w:pPr>
        <w:spacing w:before="0" w:after="0"/>
        <w:jc w:val="both"/>
        <w:rPr>
          <w:rFonts w:cs="Calibri"/>
          <w:color w:val="1F497D"/>
          <w:szCs w:val="24"/>
          <w:lang w:val="en-US"/>
        </w:rPr>
      </w:pPr>
    </w:p>
    <w:p w14:paraId="3C2EF70D" w14:textId="39F34BC9" w:rsidR="00A76BEC" w:rsidRPr="00ED4D49" w:rsidRDefault="00A76BEC" w:rsidP="0063606C">
      <w:pPr>
        <w:pStyle w:val="Heading2"/>
      </w:pPr>
      <w:bookmarkStart w:id="223" w:name="_Toc20858951"/>
      <w:bookmarkStart w:id="224" w:name="_Toc31811097"/>
      <w:r w:rsidRPr="00ED4D49">
        <w:lastRenderedPageBreak/>
        <w:t>BD Level Institutions</w:t>
      </w:r>
      <w:bookmarkEnd w:id="223"/>
      <w:bookmarkEnd w:id="224"/>
    </w:p>
    <w:p w14:paraId="70C86F48" w14:textId="3DC08678" w:rsidR="00A76BEC" w:rsidRPr="00ED4D49" w:rsidRDefault="00A76BEC" w:rsidP="00A76BEC">
      <w:pPr>
        <w:jc w:val="both"/>
        <w:rPr>
          <w:szCs w:val="23"/>
          <w:lang w:val="en-US"/>
        </w:rPr>
      </w:pPr>
      <w:r w:rsidRPr="00ED4D49">
        <w:rPr>
          <w:szCs w:val="23"/>
          <w:lang w:val="en-US"/>
        </w:rPr>
        <w:t xml:space="preserve">BD is a single administrative unit of local self-government existing under the sovereignty of </w:t>
      </w:r>
      <w:r w:rsidR="00C917A9" w:rsidRPr="00ED4D49">
        <w:rPr>
          <w:szCs w:val="23"/>
          <w:lang w:val="en-US"/>
        </w:rPr>
        <w:t>BiH</w:t>
      </w:r>
      <w:r w:rsidRPr="00ED4D49">
        <w:rPr>
          <w:szCs w:val="23"/>
          <w:lang w:val="en-US"/>
        </w:rPr>
        <w:t xml:space="preserve">. </w:t>
      </w:r>
      <w:r w:rsidR="00C917A9" w:rsidRPr="00ED4D49">
        <w:rPr>
          <w:szCs w:val="23"/>
          <w:lang w:val="en-US"/>
        </w:rPr>
        <w:t>It</w:t>
      </w:r>
      <w:r w:rsidRPr="00ED4D49">
        <w:rPr>
          <w:szCs w:val="23"/>
          <w:lang w:val="en-US"/>
        </w:rPr>
        <w:t xml:space="preserve"> is distinct from the </w:t>
      </w:r>
      <w:r w:rsidR="00C917A9" w:rsidRPr="00ED4D49">
        <w:rPr>
          <w:szCs w:val="23"/>
          <w:lang w:val="en-US"/>
        </w:rPr>
        <w:t>e</w:t>
      </w:r>
      <w:r w:rsidRPr="00ED4D49">
        <w:rPr>
          <w:szCs w:val="23"/>
          <w:lang w:val="en-US"/>
        </w:rPr>
        <w:t>ntities and has the status of an autonomous territory with its own sources of revenue. Legislative power is vested in the BD Assembly, and the executive power with the Government (which consists of the Mayor,</w:t>
      </w:r>
      <w:r w:rsidRPr="00ED4D49">
        <w:rPr>
          <w:lang w:val="en-US"/>
        </w:rPr>
        <w:t xml:space="preserve"> </w:t>
      </w:r>
      <w:r w:rsidRPr="00ED4D49">
        <w:rPr>
          <w:szCs w:val="23"/>
          <w:lang w:val="en-US"/>
        </w:rPr>
        <w:t>Deputy Mayor, Government Chief Coordinator and the Heads of Departments).</w:t>
      </w:r>
      <w:r w:rsidRPr="00ED4D49">
        <w:rPr>
          <w:rFonts w:eastAsiaTheme="minorHAnsi" w:cs="Calibri"/>
          <w:szCs w:val="20"/>
          <w:lang w:val="en-US"/>
        </w:rPr>
        <w:t xml:space="preserve"> </w:t>
      </w:r>
      <w:r w:rsidR="00C917A9" w:rsidRPr="00ED4D49">
        <w:rPr>
          <w:szCs w:val="23"/>
          <w:lang w:val="en-US"/>
        </w:rPr>
        <w:t>The BD</w:t>
      </w:r>
      <w:r w:rsidRPr="00ED4D49">
        <w:rPr>
          <w:szCs w:val="23"/>
          <w:lang w:val="en-US"/>
        </w:rPr>
        <w:t xml:space="preserve"> Statute</w:t>
      </w:r>
      <w:r w:rsidRPr="00ED4D49">
        <w:rPr>
          <w:szCs w:val="23"/>
          <w:vertAlign w:val="superscript"/>
          <w:lang w:val="en-US"/>
        </w:rPr>
        <w:footnoteReference w:id="72"/>
      </w:r>
      <w:r w:rsidRPr="00ED4D49">
        <w:rPr>
          <w:szCs w:val="23"/>
          <w:lang w:val="en-US"/>
        </w:rPr>
        <w:t xml:space="preserve"> defines that </w:t>
      </w:r>
      <w:r w:rsidR="00C917A9" w:rsidRPr="00ED4D49">
        <w:rPr>
          <w:szCs w:val="23"/>
          <w:lang w:val="en-US"/>
        </w:rPr>
        <w:t xml:space="preserve">the </w:t>
      </w:r>
      <w:r w:rsidRPr="00ED4D49">
        <w:rPr>
          <w:szCs w:val="23"/>
          <w:lang w:val="en-US"/>
        </w:rPr>
        <w:t>competences of BD in the field of water management and environmental protection</w:t>
      </w:r>
      <w:r w:rsidR="00C917A9" w:rsidRPr="00ED4D49">
        <w:rPr>
          <w:szCs w:val="23"/>
          <w:lang w:val="en-US"/>
        </w:rPr>
        <w:t xml:space="preserve"> </w:t>
      </w:r>
      <w:r w:rsidRPr="00ED4D49">
        <w:rPr>
          <w:szCs w:val="23"/>
          <w:lang w:val="en-US"/>
        </w:rPr>
        <w:t xml:space="preserve">are delegated to the Department of Agriculture, Forestry and Water Management and Department for Spatial Planning and Property Affairs </w:t>
      </w:r>
      <w:r w:rsidR="00C917A9" w:rsidRPr="00ED4D49">
        <w:rPr>
          <w:szCs w:val="23"/>
          <w:lang w:val="en-US"/>
        </w:rPr>
        <w:t>within</w:t>
      </w:r>
      <w:r w:rsidRPr="00ED4D49">
        <w:rPr>
          <w:szCs w:val="23"/>
          <w:lang w:val="en-US"/>
        </w:rPr>
        <w:t xml:space="preserve"> the BD Government. In addition to these </w:t>
      </w:r>
      <w:r w:rsidR="00C917A9" w:rsidRPr="00ED4D49">
        <w:rPr>
          <w:szCs w:val="23"/>
          <w:lang w:val="en-US"/>
        </w:rPr>
        <w:t xml:space="preserve">two </w:t>
      </w:r>
      <w:r w:rsidRPr="00ED4D49">
        <w:rPr>
          <w:szCs w:val="23"/>
          <w:lang w:val="en-US"/>
        </w:rPr>
        <w:t>Departments, other Departments</w:t>
      </w:r>
      <w:r w:rsidRPr="00ED4D49">
        <w:rPr>
          <w:rFonts w:ascii="Tahoma" w:hAnsi="Tahoma" w:cs="Calibri"/>
          <w:sz w:val="16"/>
          <w:szCs w:val="16"/>
          <w:lang w:val="en-US"/>
        </w:rPr>
        <w:t xml:space="preserve"> </w:t>
      </w:r>
      <w:r w:rsidRPr="00ED4D49">
        <w:rPr>
          <w:szCs w:val="23"/>
          <w:lang w:val="en-US"/>
        </w:rPr>
        <w:t xml:space="preserve">within the BD </w:t>
      </w:r>
      <w:proofErr w:type="spellStart"/>
      <w:proofErr w:type="gramStart"/>
      <w:r w:rsidRPr="00ED4D49">
        <w:rPr>
          <w:szCs w:val="23"/>
          <w:lang w:val="en-US"/>
        </w:rPr>
        <w:t>Government</w:t>
      </w:r>
      <w:r w:rsidR="004409DF" w:rsidRPr="00ED4D49">
        <w:rPr>
          <w:szCs w:val="23"/>
          <w:lang w:val="en-US"/>
        </w:rPr>
        <w:t>,</w:t>
      </w:r>
      <w:r w:rsidR="00F76B90" w:rsidRPr="00ED4D49">
        <w:rPr>
          <w:szCs w:val="23"/>
          <w:lang w:val="en-US"/>
        </w:rPr>
        <w:t>Harbor</w:t>
      </w:r>
      <w:proofErr w:type="spellEnd"/>
      <w:proofErr w:type="gramEnd"/>
      <w:r w:rsidRPr="00ED4D49">
        <w:rPr>
          <w:szCs w:val="23"/>
          <w:lang w:val="en-US"/>
        </w:rPr>
        <w:t xml:space="preserve"> Master of BD </w:t>
      </w:r>
      <w:r w:rsidR="004409DF" w:rsidRPr="00ED4D49">
        <w:rPr>
          <w:szCs w:val="23"/>
          <w:lang w:val="en-US"/>
        </w:rPr>
        <w:t xml:space="preserve">and International Projects Implementation Unit (IPIU) </w:t>
      </w:r>
      <w:r w:rsidRPr="00ED4D49">
        <w:rPr>
          <w:szCs w:val="23"/>
          <w:lang w:val="en-US"/>
        </w:rPr>
        <w:t xml:space="preserve">are relevant for this Project. </w:t>
      </w:r>
      <w:r w:rsidRPr="00ED4D49">
        <w:rPr>
          <w:lang w:val="en-US"/>
        </w:rPr>
        <w:fldChar w:fldCharType="begin"/>
      </w:r>
      <w:r w:rsidRPr="00ED4D49">
        <w:rPr>
          <w:lang w:val="en-US"/>
        </w:rPr>
        <w:instrText xml:space="preserve"> REF _Ref20849291 \h  \* MERGEFORMAT </w:instrText>
      </w:r>
      <w:r w:rsidRPr="00ED4D49">
        <w:rPr>
          <w:lang w:val="en-US"/>
        </w:rPr>
      </w:r>
      <w:r w:rsidRPr="00ED4D49">
        <w:rPr>
          <w:lang w:val="en-US"/>
        </w:rPr>
        <w:fldChar w:fldCharType="separate"/>
      </w:r>
      <w:r w:rsidR="00F60130" w:rsidRPr="00ED4D49">
        <w:rPr>
          <w:szCs w:val="23"/>
          <w:lang w:val="en-US"/>
        </w:rPr>
        <w:t>Table 21</w:t>
      </w:r>
      <w:r w:rsidRPr="00ED4D49">
        <w:rPr>
          <w:lang w:val="en-US"/>
        </w:rPr>
        <w:fldChar w:fldCharType="end"/>
      </w:r>
      <w:r w:rsidR="00C6478C" w:rsidRPr="00ED4D49">
        <w:rPr>
          <w:szCs w:val="23"/>
          <w:lang w:val="en-US"/>
        </w:rPr>
        <w:t xml:space="preserve"> </w:t>
      </w:r>
      <w:r w:rsidR="00C917A9" w:rsidRPr="00ED4D49">
        <w:rPr>
          <w:szCs w:val="23"/>
          <w:lang w:val="en-US"/>
        </w:rPr>
        <w:t>provides</w:t>
      </w:r>
      <w:r w:rsidRPr="00ED4D49">
        <w:rPr>
          <w:szCs w:val="23"/>
          <w:lang w:val="en-US"/>
        </w:rPr>
        <w:t xml:space="preserve"> an overview of institutions responsible for environmental protection in BD.</w:t>
      </w:r>
    </w:p>
    <w:p w14:paraId="54621AE3" w14:textId="44B01E88" w:rsidR="00A76BEC" w:rsidRPr="00ED4D49" w:rsidRDefault="00A76BEC" w:rsidP="00A76BEC">
      <w:pPr>
        <w:pStyle w:val="Caption"/>
        <w:spacing w:line="276" w:lineRule="auto"/>
        <w:rPr>
          <w:rFonts w:cs="Calibri"/>
          <w:b w:val="0"/>
          <w:i/>
          <w:color w:val="auto"/>
          <w:sz w:val="16"/>
          <w:szCs w:val="24"/>
        </w:rPr>
      </w:pPr>
      <w:bookmarkStart w:id="225" w:name="_Ref20849291"/>
      <w:bookmarkStart w:id="226" w:name="_Toc28188046"/>
      <w:r w:rsidRPr="00ED4D49">
        <w:rPr>
          <w:rFonts w:cs="Calibri"/>
          <w:b w:val="0"/>
          <w:i/>
          <w:color w:val="1F497D"/>
          <w:sz w:val="16"/>
        </w:rPr>
        <w:t xml:space="preserve">Table </w:t>
      </w:r>
      <w:r w:rsidRPr="00ED4D49">
        <w:rPr>
          <w:rFonts w:cs="Calibri"/>
          <w:b w:val="0"/>
          <w:i/>
          <w:color w:val="1F497D"/>
          <w:sz w:val="16"/>
        </w:rPr>
        <w:fldChar w:fldCharType="begin"/>
      </w:r>
      <w:r w:rsidRPr="00ED4D49">
        <w:rPr>
          <w:rFonts w:cs="Calibri"/>
          <w:b w:val="0"/>
          <w:i/>
          <w:color w:val="1F497D"/>
          <w:sz w:val="16"/>
        </w:rPr>
        <w:instrText xml:space="preserve"> SEQ Table \* ARABIC </w:instrText>
      </w:r>
      <w:r w:rsidRPr="00ED4D49">
        <w:rPr>
          <w:rFonts w:cs="Calibri"/>
          <w:b w:val="0"/>
          <w:i/>
          <w:color w:val="1F497D"/>
          <w:sz w:val="16"/>
        </w:rPr>
        <w:fldChar w:fldCharType="separate"/>
      </w:r>
      <w:r w:rsidR="00F60130" w:rsidRPr="00ED4D49">
        <w:rPr>
          <w:rFonts w:cs="Calibri"/>
          <w:b w:val="0"/>
          <w:i/>
          <w:noProof/>
          <w:color w:val="1F497D"/>
          <w:sz w:val="16"/>
        </w:rPr>
        <w:t>21</w:t>
      </w:r>
      <w:r w:rsidRPr="00ED4D49">
        <w:rPr>
          <w:rFonts w:cs="Calibri"/>
          <w:b w:val="0"/>
          <w:i/>
          <w:color w:val="1F497D"/>
          <w:sz w:val="16"/>
        </w:rPr>
        <w:fldChar w:fldCharType="end"/>
      </w:r>
      <w:bookmarkEnd w:id="225"/>
      <w:r w:rsidRPr="00ED4D49">
        <w:rPr>
          <w:rFonts w:cs="Calibri"/>
          <w:b w:val="0"/>
          <w:i/>
          <w:color w:val="1F497D"/>
          <w:sz w:val="16"/>
        </w:rPr>
        <w:t>:</w:t>
      </w:r>
      <w:r w:rsidRPr="00ED4D49">
        <w:rPr>
          <w:rFonts w:cs="Calibri"/>
          <w:b w:val="0"/>
          <w:i/>
          <w:color w:val="auto"/>
          <w:sz w:val="16"/>
        </w:rPr>
        <w:t xml:space="preserve"> BD BiH level institutions responsible for water management and environmental issues relevant for this Project</w:t>
      </w:r>
      <w:bookmarkEnd w:id="226"/>
    </w:p>
    <w:tbl>
      <w:tblPr>
        <w:tblW w:w="4998"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2740"/>
        <w:gridCol w:w="6266"/>
      </w:tblGrid>
      <w:tr w:rsidR="00A76BEC" w:rsidRPr="00ED4D49" w14:paraId="15922B7D" w14:textId="77777777" w:rsidTr="00A76BEC">
        <w:trPr>
          <w:tblHeader/>
        </w:trPr>
        <w:tc>
          <w:tcPr>
            <w:tcW w:w="1521" w:type="pct"/>
            <w:shd w:val="clear" w:color="auto" w:fill="auto"/>
          </w:tcPr>
          <w:p w14:paraId="52AE4883" w14:textId="77777777" w:rsidR="00A76BEC" w:rsidRPr="00ED4D49" w:rsidRDefault="00A76BEC" w:rsidP="00A76BEC">
            <w:pPr>
              <w:spacing w:before="0" w:after="0"/>
              <w:ind w:left="144" w:right="144"/>
              <w:jc w:val="both"/>
              <w:rPr>
                <w:rFonts w:cs="Calibri"/>
                <w:color w:val="336699"/>
                <w:sz w:val="16"/>
                <w:szCs w:val="16"/>
                <w:lang w:val="en-US"/>
              </w:rPr>
            </w:pPr>
            <w:r w:rsidRPr="00ED4D49">
              <w:rPr>
                <w:rFonts w:cs="Calibri"/>
                <w:color w:val="336699"/>
                <w:sz w:val="16"/>
                <w:szCs w:val="16"/>
                <w:lang w:val="en-US"/>
              </w:rPr>
              <w:t>Institution</w:t>
            </w:r>
          </w:p>
        </w:tc>
        <w:tc>
          <w:tcPr>
            <w:tcW w:w="3479" w:type="pct"/>
            <w:shd w:val="clear" w:color="auto" w:fill="auto"/>
          </w:tcPr>
          <w:p w14:paraId="03209F76" w14:textId="77777777" w:rsidR="00A76BEC" w:rsidRPr="00ED4D49" w:rsidRDefault="00A76BEC" w:rsidP="00A76BEC">
            <w:pPr>
              <w:spacing w:before="0" w:after="0"/>
              <w:ind w:left="144" w:right="144"/>
              <w:rPr>
                <w:rFonts w:cs="Calibri"/>
                <w:color w:val="336699"/>
                <w:sz w:val="16"/>
                <w:szCs w:val="16"/>
                <w:lang w:val="en-US"/>
              </w:rPr>
            </w:pPr>
            <w:r w:rsidRPr="00ED4D49">
              <w:rPr>
                <w:rFonts w:cs="Calibri"/>
                <w:color w:val="336699"/>
                <w:sz w:val="16"/>
                <w:szCs w:val="16"/>
                <w:lang w:val="en-US"/>
              </w:rPr>
              <w:t>Responsibilities</w:t>
            </w:r>
          </w:p>
        </w:tc>
      </w:tr>
      <w:tr w:rsidR="00A76BEC" w:rsidRPr="00ED4D49" w14:paraId="68A0DF3E" w14:textId="77777777" w:rsidTr="00A76BEC">
        <w:tc>
          <w:tcPr>
            <w:tcW w:w="1521" w:type="pct"/>
            <w:shd w:val="clear" w:color="auto" w:fill="auto"/>
          </w:tcPr>
          <w:p w14:paraId="239B280A" w14:textId="77777777" w:rsidR="00A76BEC" w:rsidRPr="00ED4D49" w:rsidRDefault="00A76BEC" w:rsidP="00C917A9">
            <w:pPr>
              <w:spacing w:before="0" w:after="0"/>
              <w:ind w:right="144"/>
              <w:rPr>
                <w:rFonts w:cs="Calibri"/>
                <w:sz w:val="16"/>
                <w:szCs w:val="16"/>
                <w:lang w:val="en-US"/>
              </w:rPr>
            </w:pPr>
            <w:r w:rsidRPr="00ED4D49">
              <w:rPr>
                <w:rFonts w:cs="Calibri"/>
                <w:bCs/>
                <w:iCs/>
                <w:sz w:val="16"/>
                <w:szCs w:val="16"/>
                <w:lang w:val="en-US"/>
              </w:rPr>
              <w:t>Department for Agriculture, Forestry and Water Management</w:t>
            </w:r>
          </w:p>
        </w:tc>
        <w:tc>
          <w:tcPr>
            <w:tcW w:w="3479" w:type="pct"/>
            <w:shd w:val="clear" w:color="auto" w:fill="auto"/>
          </w:tcPr>
          <w:p w14:paraId="125BD902" w14:textId="77777777" w:rsidR="00A76BEC" w:rsidRPr="00ED4D49" w:rsidRDefault="00A76BEC" w:rsidP="00A76BEC">
            <w:pPr>
              <w:spacing w:before="0" w:after="0"/>
              <w:ind w:left="144" w:right="144"/>
              <w:jc w:val="both"/>
              <w:rPr>
                <w:rFonts w:cs="Calibri"/>
                <w:iCs/>
                <w:sz w:val="16"/>
                <w:szCs w:val="16"/>
                <w:lang w:val="en-US"/>
              </w:rPr>
            </w:pPr>
            <w:r w:rsidRPr="00ED4D49">
              <w:rPr>
                <w:rFonts w:cs="Calibri"/>
                <w:iCs/>
                <w:sz w:val="16"/>
                <w:szCs w:val="16"/>
                <w:lang w:val="en-US"/>
              </w:rPr>
              <w:t>Administrative, professional and other tasks in field of water management, among which, preparation of water management strategies and development policies, tasks related to facilities and public water resources (in the field of water use, water protection and protection against harmful effects of water) and monitoring of water status, development of documents for integrated water management (River Basin Management, Programs of Measures, Flood Defense Plans, Water Pollution Plans, Contingency Plans and Other Documents under Applicable Legislation) and monitoring the implementation of these documents, preparation of laws and other regulations in the field of water management, monitoring of water resources and preparation of information in the field of water management, issuance of concessions and Water Protection Permits, Water Management Consents and Permits.</w:t>
            </w:r>
          </w:p>
        </w:tc>
      </w:tr>
      <w:tr w:rsidR="00A76BEC" w:rsidRPr="00ED4D49" w14:paraId="6BB000DC" w14:textId="77777777" w:rsidTr="00A76BEC">
        <w:tc>
          <w:tcPr>
            <w:tcW w:w="1521" w:type="pct"/>
            <w:shd w:val="clear" w:color="auto" w:fill="auto"/>
          </w:tcPr>
          <w:p w14:paraId="7EA12C3B" w14:textId="77777777" w:rsidR="00A76BEC" w:rsidRPr="00ED4D49" w:rsidRDefault="00A76BEC" w:rsidP="00C917A9">
            <w:pPr>
              <w:spacing w:before="0" w:after="0"/>
              <w:ind w:right="144"/>
              <w:rPr>
                <w:rFonts w:cs="Calibri"/>
                <w:bCs/>
                <w:iCs/>
                <w:sz w:val="16"/>
                <w:szCs w:val="16"/>
                <w:lang w:val="en-US"/>
              </w:rPr>
            </w:pPr>
            <w:r w:rsidRPr="00ED4D49">
              <w:rPr>
                <w:rFonts w:cs="Calibri"/>
                <w:bCs/>
                <w:iCs/>
                <w:sz w:val="16"/>
                <w:szCs w:val="16"/>
                <w:lang w:val="en-US"/>
              </w:rPr>
              <w:t>Department of Spatial Planning and Property Affairs</w:t>
            </w:r>
          </w:p>
        </w:tc>
        <w:tc>
          <w:tcPr>
            <w:tcW w:w="3479" w:type="pct"/>
            <w:shd w:val="clear" w:color="auto" w:fill="auto"/>
          </w:tcPr>
          <w:p w14:paraId="082AC40E" w14:textId="77777777" w:rsidR="00A76BEC" w:rsidRPr="00ED4D49" w:rsidRDefault="00A76BEC" w:rsidP="00A76BEC">
            <w:pPr>
              <w:spacing w:before="0" w:after="0"/>
              <w:ind w:left="144" w:right="144"/>
              <w:jc w:val="both"/>
              <w:rPr>
                <w:rFonts w:cs="Calibri"/>
                <w:iCs/>
                <w:sz w:val="16"/>
                <w:szCs w:val="16"/>
                <w:lang w:val="en-US"/>
              </w:rPr>
            </w:pPr>
            <w:r w:rsidRPr="00ED4D49">
              <w:rPr>
                <w:rFonts w:cs="Calibri"/>
                <w:iCs/>
                <w:sz w:val="16"/>
                <w:szCs w:val="16"/>
                <w:lang w:val="en-US"/>
              </w:rPr>
              <w:t>Performs tasks related to environmental protection, issues Environmental Permits in accordance with the provisions of the Law on Environmental Protection and other environmental legislation. This Department is responsible for development of spatial planning documents, issuance of urban approvals, protection of cultural, historical and natural heritage for the issuance of zoning permits and establishing procedures for the list of protected buildings.</w:t>
            </w:r>
          </w:p>
        </w:tc>
      </w:tr>
      <w:tr w:rsidR="00A76BEC" w:rsidRPr="00ED4D49" w14:paraId="34F4BEF7" w14:textId="77777777" w:rsidTr="00A76BEC">
        <w:tc>
          <w:tcPr>
            <w:tcW w:w="1521" w:type="pct"/>
            <w:shd w:val="clear" w:color="auto" w:fill="auto"/>
          </w:tcPr>
          <w:p w14:paraId="5A1DE577" w14:textId="77777777" w:rsidR="00A76BEC" w:rsidRPr="00ED4D49" w:rsidRDefault="00A76BEC" w:rsidP="00C917A9">
            <w:pPr>
              <w:spacing w:before="0" w:after="0"/>
              <w:ind w:right="144"/>
              <w:rPr>
                <w:rFonts w:cs="Calibri"/>
                <w:bCs/>
                <w:iCs/>
                <w:sz w:val="16"/>
                <w:szCs w:val="16"/>
                <w:lang w:val="en-US"/>
              </w:rPr>
            </w:pPr>
            <w:r w:rsidRPr="00ED4D49">
              <w:rPr>
                <w:rFonts w:cs="Calibri"/>
                <w:bCs/>
                <w:iCs/>
                <w:sz w:val="16"/>
                <w:szCs w:val="16"/>
                <w:lang w:val="en-US"/>
              </w:rPr>
              <w:t>Department of Public Safety</w:t>
            </w:r>
          </w:p>
        </w:tc>
        <w:tc>
          <w:tcPr>
            <w:tcW w:w="3479" w:type="pct"/>
            <w:shd w:val="clear" w:color="auto" w:fill="auto"/>
          </w:tcPr>
          <w:p w14:paraId="47F8F5A6" w14:textId="11889C6D" w:rsidR="00A76BEC" w:rsidRPr="00ED4D49" w:rsidRDefault="00A76BEC" w:rsidP="00A76BEC">
            <w:pPr>
              <w:spacing w:before="0" w:after="0"/>
              <w:ind w:left="144" w:right="144"/>
              <w:jc w:val="both"/>
              <w:rPr>
                <w:rFonts w:cs="Calibri"/>
                <w:iCs/>
                <w:sz w:val="16"/>
                <w:szCs w:val="16"/>
                <w:lang w:val="en-US"/>
              </w:rPr>
            </w:pPr>
            <w:r w:rsidRPr="00ED4D49">
              <w:rPr>
                <w:rFonts w:cs="Calibri"/>
                <w:iCs/>
                <w:sz w:val="16"/>
                <w:szCs w:val="16"/>
                <w:lang w:val="en-US"/>
              </w:rPr>
              <w:t xml:space="preserve">Administrative, professional and other tasks in the field of planning of fire protection, protection from accidents and other disasters, civil </w:t>
            </w:r>
            <w:r w:rsidR="003162D3" w:rsidRPr="00ED4D49">
              <w:rPr>
                <w:rFonts w:cs="Calibri"/>
                <w:iCs/>
                <w:sz w:val="16"/>
                <w:szCs w:val="16"/>
                <w:lang w:val="en-US"/>
              </w:rPr>
              <w:t>defense</w:t>
            </w:r>
            <w:r w:rsidRPr="00ED4D49">
              <w:rPr>
                <w:rFonts w:cs="Calibri"/>
                <w:iCs/>
                <w:sz w:val="16"/>
                <w:szCs w:val="16"/>
                <w:lang w:val="en-US"/>
              </w:rPr>
              <w:t>, protection and rescue from natural and other disasters, surveillance and information and physical-technical security of facilities. This Department is responsible for the issuance of Construction Permit, Use Permit, Technical and Work Consents, issuance of authorization according to the Law on Spatial Planning and Construction, and authorization to perform transport for own needs.</w:t>
            </w:r>
          </w:p>
        </w:tc>
      </w:tr>
      <w:tr w:rsidR="00A76BEC" w:rsidRPr="00ED4D49" w14:paraId="1497E2BA" w14:textId="77777777" w:rsidTr="00A76BEC">
        <w:tc>
          <w:tcPr>
            <w:tcW w:w="1521" w:type="pct"/>
            <w:shd w:val="clear" w:color="auto" w:fill="auto"/>
          </w:tcPr>
          <w:p w14:paraId="2C4EE585" w14:textId="49FE2D71" w:rsidR="00A76BEC" w:rsidRPr="00ED4D49" w:rsidRDefault="003162D3" w:rsidP="00C917A9">
            <w:pPr>
              <w:spacing w:before="0" w:after="0"/>
              <w:ind w:right="144"/>
              <w:rPr>
                <w:rFonts w:cs="Calibri"/>
                <w:bCs/>
                <w:iCs/>
                <w:sz w:val="16"/>
                <w:szCs w:val="16"/>
                <w:lang w:val="en-US"/>
              </w:rPr>
            </w:pPr>
            <w:r w:rsidRPr="00ED4D49">
              <w:rPr>
                <w:rFonts w:cs="Calibri"/>
                <w:bCs/>
                <w:iCs/>
                <w:sz w:val="16"/>
                <w:szCs w:val="16"/>
                <w:lang w:val="en-US"/>
              </w:rPr>
              <w:t>Harbor</w:t>
            </w:r>
            <w:r w:rsidR="00A76BEC" w:rsidRPr="00ED4D49">
              <w:rPr>
                <w:rFonts w:cs="Calibri"/>
                <w:bCs/>
                <w:iCs/>
                <w:sz w:val="16"/>
                <w:szCs w:val="16"/>
                <w:lang w:val="en-US"/>
              </w:rPr>
              <w:t xml:space="preserve"> Master of BD</w:t>
            </w:r>
          </w:p>
          <w:p w14:paraId="69C7E659" w14:textId="77777777" w:rsidR="00A76BEC" w:rsidRPr="00ED4D49" w:rsidRDefault="00A76BEC" w:rsidP="00C917A9">
            <w:pPr>
              <w:spacing w:before="0" w:after="0"/>
              <w:ind w:right="144"/>
              <w:rPr>
                <w:rFonts w:cs="Calibri"/>
                <w:bCs/>
                <w:iCs/>
                <w:sz w:val="16"/>
                <w:szCs w:val="16"/>
                <w:lang w:val="en-US"/>
              </w:rPr>
            </w:pPr>
            <w:r w:rsidRPr="00ED4D49">
              <w:rPr>
                <w:rFonts w:cs="Calibri"/>
                <w:bCs/>
                <w:iCs/>
                <w:sz w:val="16"/>
                <w:szCs w:val="16"/>
                <w:lang w:val="en-US"/>
              </w:rPr>
              <w:t xml:space="preserve">(established as an organizational unit within the Department of Public Works according to the </w:t>
            </w:r>
            <w:r w:rsidRPr="00ED4D49">
              <w:rPr>
                <w:rFonts w:cs="Calibri"/>
                <w:bCs/>
                <w:i/>
                <w:iCs/>
                <w:sz w:val="16"/>
                <w:szCs w:val="16"/>
                <w:lang w:val="en-US"/>
              </w:rPr>
              <w:t>Law on Inland Navigation of Brcko District</w:t>
            </w:r>
            <w:r w:rsidRPr="00ED4D49">
              <w:rPr>
                <w:rFonts w:cs="Calibri"/>
                <w:bCs/>
                <w:iCs/>
                <w:sz w:val="16"/>
                <w:szCs w:val="16"/>
                <w:vertAlign w:val="superscript"/>
                <w:lang w:val="en-US"/>
              </w:rPr>
              <w:footnoteReference w:id="73"/>
            </w:r>
            <w:r w:rsidRPr="00ED4D49">
              <w:rPr>
                <w:rFonts w:cs="Calibri"/>
                <w:bCs/>
                <w:iCs/>
                <w:sz w:val="16"/>
                <w:szCs w:val="16"/>
                <w:lang w:val="en-US"/>
              </w:rPr>
              <w:t xml:space="preserve"> )</w:t>
            </w:r>
          </w:p>
        </w:tc>
        <w:tc>
          <w:tcPr>
            <w:tcW w:w="3479" w:type="pct"/>
            <w:shd w:val="clear" w:color="auto" w:fill="auto"/>
          </w:tcPr>
          <w:p w14:paraId="34DCC5AA" w14:textId="77777777" w:rsidR="00A76BEC" w:rsidRPr="00ED4D49" w:rsidRDefault="00A76BEC" w:rsidP="00A76BEC">
            <w:pPr>
              <w:spacing w:before="0" w:after="0"/>
              <w:ind w:left="144" w:right="144"/>
              <w:jc w:val="both"/>
              <w:rPr>
                <w:rFonts w:cs="Calibri"/>
                <w:iCs/>
                <w:sz w:val="16"/>
                <w:szCs w:val="16"/>
                <w:lang w:val="en-US"/>
              </w:rPr>
            </w:pPr>
            <w:r w:rsidRPr="00ED4D49">
              <w:rPr>
                <w:rFonts w:cs="Calibri"/>
                <w:iCs/>
                <w:sz w:val="16"/>
                <w:szCs w:val="16"/>
                <w:lang w:val="en-US"/>
              </w:rPr>
              <w:t>Performs administrative, professional, technical and other activities on navigable waterways related to the registration of ships and floating facilities, issuance of ship documents and books, deciding upon the ability for navigation of certain vessels and floating structures, maintenance of order in the port and winter shelter, marina, ferry crossing, bathing and other parts of the waters and shores of inland waterways, hydrological security of navigation on inland waterways, search and rescue of passengers and goods on inland waterways, issuing supplementary documents for navigation planning.</w:t>
            </w:r>
          </w:p>
        </w:tc>
      </w:tr>
      <w:tr w:rsidR="004409DF" w:rsidRPr="00ED4D49" w14:paraId="51D27705" w14:textId="77777777" w:rsidTr="00A76BEC">
        <w:tc>
          <w:tcPr>
            <w:tcW w:w="1521" w:type="pct"/>
            <w:shd w:val="clear" w:color="auto" w:fill="auto"/>
          </w:tcPr>
          <w:p w14:paraId="79823C5F" w14:textId="7367B1A7" w:rsidR="004409DF" w:rsidRPr="00ED4D49" w:rsidRDefault="004409DF" w:rsidP="00C917A9">
            <w:pPr>
              <w:spacing w:before="0" w:after="0"/>
              <w:ind w:right="144"/>
              <w:rPr>
                <w:rFonts w:cs="Calibri"/>
                <w:bCs/>
                <w:iCs/>
                <w:sz w:val="16"/>
                <w:szCs w:val="16"/>
                <w:lang w:val="en-US"/>
              </w:rPr>
            </w:pPr>
            <w:r w:rsidRPr="00ED4D49">
              <w:rPr>
                <w:rFonts w:cs="Calibri"/>
                <w:bCs/>
                <w:iCs/>
                <w:sz w:val="16"/>
                <w:szCs w:val="16"/>
                <w:lang w:val="en-US"/>
              </w:rPr>
              <w:t>International Projects Implementation Unit (IPIU)</w:t>
            </w:r>
          </w:p>
        </w:tc>
        <w:tc>
          <w:tcPr>
            <w:tcW w:w="3479" w:type="pct"/>
            <w:shd w:val="clear" w:color="auto" w:fill="auto"/>
          </w:tcPr>
          <w:p w14:paraId="1453117C" w14:textId="3C363DA5" w:rsidR="004409DF" w:rsidRPr="00ED4D49" w:rsidRDefault="004409DF" w:rsidP="00A76BEC">
            <w:pPr>
              <w:spacing w:before="0" w:after="0"/>
              <w:ind w:left="144" w:right="144"/>
              <w:jc w:val="both"/>
              <w:rPr>
                <w:rFonts w:cs="Calibri"/>
                <w:iCs/>
                <w:sz w:val="16"/>
                <w:szCs w:val="16"/>
                <w:lang w:val="en-US"/>
              </w:rPr>
            </w:pPr>
            <w:r w:rsidRPr="00ED4D49">
              <w:rPr>
                <w:rFonts w:cs="Calibri"/>
                <w:iCs/>
                <w:sz w:val="16"/>
                <w:szCs w:val="16"/>
                <w:lang w:val="en-US"/>
              </w:rPr>
              <w:t>Performs implementation of internationally funded projects, both donor and credits ones, with the approval and delegation of the authority from the Brčko District Government. In addition, in charge of preparation, implementation, monitoring and evaluation of the projects defined in the strategic documents, responsible for the preparation (with other Working Groups) of the Green City Action Plan.</w:t>
            </w:r>
          </w:p>
        </w:tc>
      </w:tr>
    </w:tbl>
    <w:p w14:paraId="21E1B67D" w14:textId="77777777" w:rsidR="00A76BEC" w:rsidRPr="00ED4D49" w:rsidRDefault="00A76BEC" w:rsidP="00A76BEC">
      <w:pPr>
        <w:spacing w:before="0" w:after="0"/>
        <w:jc w:val="both"/>
        <w:rPr>
          <w:rFonts w:cs="Calibri"/>
          <w:color w:val="1F497D"/>
          <w:szCs w:val="24"/>
          <w:lang w:val="en-US"/>
        </w:rPr>
      </w:pPr>
    </w:p>
    <w:p w14:paraId="6B22A6BC" w14:textId="3207B060" w:rsidR="00A76BEC" w:rsidRPr="00ED4D49" w:rsidRDefault="00A76BEC">
      <w:pPr>
        <w:spacing w:before="0" w:after="0" w:line="240" w:lineRule="auto"/>
        <w:rPr>
          <w:szCs w:val="23"/>
          <w:lang w:val="en-US"/>
        </w:rPr>
      </w:pPr>
      <w:r w:rsidRPr="00ED4D49">
        <w:rPr>
          <w:szCs w:val="23"/>
          <w:lang w:val="en-US"/>
        </w:rPr>
        <w:br w:type="page"/>
      </w:r>
    </w:p>
    <w:p w14:paraId="2815C7AD" w14:textId="1F9A8919" w:rsidR="008700A3" w:rsidRPr="00ED4D49" w:rsidRDefault="007D1D57" w:rsidP="008700A3">
      <w:pPr>
        <w:pStyle w:val="Heading1"/>
        <w:shd w:val="clear" w:color="auto" w:fill="F2F2F2"/>
        <w:spacing w:before="0"/>
        <w:rPr>
          <w:rFonts w:cs="Calibri"/>
          <w:lang w:val="en-US"/>
        </w:rPr>
      </w:pPr>
      <w:bookmarkStart w:id="227" w:name="_Toc31811098"/>
      <w:r w:rsidRPr="00ED4D49">
        <w:rPr>
          <w:rFonts w:cs="Calibri"/>
          <w:lang w:val="en-US"/>
        </w:rPr>
        <w:lastRenderedPageBreak/>
        <w:t xml:space="preserve">ENVIRONMENTAL AND SOCIAL ASSESSMENT OF THE </w:t>
      </w:r>
      <w:r w:rsidR="00BB3655" w:rsidRPr="00ED4D49">
        <w:rPr>
          <w:rFonts w:cs="Calibri"/>
          <w:lang w:val="en-US"/>
        </w:rPr>
        <w:t>SUBPROJECTS</w:t>
      </w:r>
      <w:bookmarkEnd w:id="227"/>
    </w:p>
    <w:p w14:paraId="5433EAD4" w14:textId="75C9D085" w:rsidR="00214451" w:rsidRPr="00ED4D49" w:rsidRDefault="00214451" w:rsidP="0063606C">
      <w:pPr>
        <w:pStyle w:val="Heading2"/>
      </w:pPr>
      <w:bookmarkStart w:id="228" w:name="_Ref22308656"/>
      <w:bookmarkStart w:id="229" w:name="_Toc31811099"/>
      <w:r w:rsidRPr="00ED4D49">
        <w:t xml:space="preserve">ESSs </w:t>
      </w:r>
      <w:r w:rsidR="00AB5077" w:rsidRPr="00ED4D49">
        <w:t xml:space="preserve">Relevant to </w:t>
      </w:r>
      <w:r w:rsidRPr="00ED4D49">
        <w:t xml:space="preserve">the </w:t>
      </w:r>
      <w:bookmarkEnd w:id="228"/>
      <w:r w:rsidR="0048126F" w:rsidRPr="00ED4D49">
        <w:t>Program</w:t>
      </w:r>
      <w:bookmarkEnd w:id="229"/>
      <w:r w:rsidRPr="00ED4D49">
        <w:t xml:space="preserve"> </w:t>
      </w:r>
    </w:p>
    <w:p w14:paraId="66C4B4A2" w14:textId="3C8CB331" w:rsidR="00214451" w:rsidRPr="00ED4D49" w:rsidRDefault="00214451" w:rsidP="00214451">
      <w:pPr>
        <w:rPr>
          <w:lang w:val="en-US"/>
        </w:rPr>
      </w:pPr>
      <w:bookmarkStart w:id="230" w:name="_Hlk25324020"/>
      <w:r w:rsidRPr="00ED4D49">
        <w:rPr>
          <w:lang w:val="en-US"/>
        </w:rPr>
        <w:t xml:space="preserve">Following is </w:t>
      </w:r>
      <w:r w:rsidR="00C917A9" w:rsidRPr="00ED4D49">
        <w:rPr>
          <w:lang w:val="en-US"/>
        </w:rPr>
        <w:t>an</w:t>
      </w:r>
      <w:r w:rsidRPr="00ED4D49">
        <w:rPr>
          <w:lang w:val="en-US"/>
        </w:rPr>
        <w:t xml:space="preserve"> overview of </w:t>
      </w:r>
      <w:r w:rsidR="00AB5077" w:rsidRPr="00ED4D49">
        <w:rPr>
          <w:lang w:val="en-US"/>
        </w:rPr>
        <w:t xml:space="preserve">the WB </w:t>
      </w:r>
      <w:r w:rsidR="00C917A9" w:rsidRPr="00ED4D49">
        <w:rPr>
          <w:lang w:val="en-US"/>
        </w:rPr>
        <w:t>E&amp;S</w:t>
      </w:r>
      <w:r w:rsidR="00AB5077" w:rsidRPr="00ED4D49">
        <w:rPr>
          <w:lang w:val="en-US"/>
        </w:rPr>
        <w:t xml:space="preserve"> standards considered applicable to </w:t>
      </w:r>
      <w:r w:rsidRPr="00ED4D49">
        <w:rPr>
          <w:lang w:val="en-US"/>
        </w:rPr>
        <w:t xml:space="preserve">the SDIP and </w:t>
      </w:r>
      <w:r w:rsidR="00C917A9" w:rsidRPr="00ED4D49">
        <w:rPr>
          <w:lang w:val="en-US"/>
        </w:rPr>
        <w:t>a</w:t>
      </w:r>
      <w:r w:rsidR="00CC409E" w:rsidRPr="00ED4D49">
        <w:rPr>
          <w:lang w:val="en-US"/>
        </w:rPr>
        <w:t xml:space="preserve"> </w:t>
      </w:r>
      <w:r w:rsidRPr="00ED4D49">
        <w:rPr>
          <w:lang w:val="en-US"/>
        </w:rPr>
        <w:t>brief</w:t>
      </w:r>
      <w:r w:rsidR="00AB5077" w:rsidRPr="00ED4D49">
        <w:rPr>
          <w:lang w:val="en-US"/>
        </w:rPr>
        <w:t xml:space="preserve"> explanation of their</w:t>
      </w:r>
      <w:r w:rsidRPr="00ED4D49">
        <w:rPr>
          <w:lang w:val="en-US"/>
        </w:rPr>
        <w:t xml:space="preserve"> </w:t>
      </w:r>
      <w:r w:rsidR="00272385" w:rsidRPr="00ED4D49">
        <w:rPr>
          <w:lang w:val="en-US"/>
        </w:rPr>
        <w:t>relevance</w:t>
      </w:r>
      <w:r w:rsidRPr="00ED4D49">
        <w:rPr>
          <w:lang w:val="en-US"/>
        </w:rPr>
        <w:t>.</w:t>
      </w:r>
    </w:p>
    <w:p w14:paraId="33FABAF6" w14:textId="4EAA87A6" w:rsidR="00214451" w:rsidRPr="00ED4D49" w:rsidRDefault="00214451" w:rsidP="00214451">
      <w:pPr>
        <w:pStyle w:val="Caption"/>
        <w:spacing w:line="276" w:lineRule="auto"/>
        <w:rPr>
          <w:rFonts w:cs="Calibri"/>
          <w:b w:val="0"/>
          <w:i/>
          <w:color w:val="auto"/>
          <w:sz w:val="16"/>
          <w:szCs w:val="24"/>
        </w:rPr>
      </w:pPr>
      <w:bookmarkStart w:id="231" w:name="_Toc28188047"/>
      <w:bookmarkEnd w:id="230"/>
      <w:r w:rsidRPr="00ED4D49">
        <w:rPr>
          <w:rFonts w:cs="Calibri"/>
          <w:b w:val="0"/>
          <w:i/>
          <w:color w:val="1F497D"/>
          <w:sz w:val="16"/>
        </w:rPr>
        <w:t xml:space="preserve">Table </w:t>
      </w:r>
      <w:r w:rsidRPr="00ED4D49">
        <w:rPr>
          <w:rFonts w:cs="Calibri"/>
          <w:b w:val="0"/>
          <w:i/>
          <w:color w:val="1F497D"/>
          <w:sz w:val="16"/>
        </w:rPr>
        <w:fldChar w:fldCharType="begin"/>
      </w:r>
      <w:r w:rsidRPr="00ED4D49">
        <w:rPr>
          <w:rFonts w:cs="Calibri"/>
          <w:b w:val="0"/>
          <w:i/>
          <w:color w:val="1F497D"/>
          <w:sz w:val="16"/>
        </w:rPr>
        <w:instrText xml:space="preserve"> SEQ Table \* ARABIC </w:instrText>
      </w:r>
      <w:r w:rsidRPr="00ED4D49">
        <w:rPr>
          <w:rFonts w:cs="Calibri"/>
          <w:b w:val="0"/>
          <w:i/>
          <w:color w:val="1F497D"/>
          <w:sz w:val="16"/>
        </w:rPr>
        <w:fldChar w:fldCharType="separate"/>
      </w:r>
      <w:r w:rsidR="00F60130" w:rsidRPr="00ED4D49">
        <w:rPr>
          <w:rFonts w:cs="Calibri"/>
          <w:b w:val="0"/>
          <w:i/>
          <w:noProof/>
          <w:color w:val="1F497D"/>
          <w:sz w:val="16"/>
        </w:rPr>
        <w:t>22</w:t>
      </w:r>
      <w:r w:rsidRPr="00ED4D49">
        <w:rPr>
          <w:rFonts w:cs="Calibri"/>
          <w:b w:val="0"/>
          <w:i/>
          <w:color w:val="1F497D"/>
          <w:sz w:val="16"/>
        </w:rPr>
        <w:fldChar w:fldCharType="end"/>
      </w:r>
      <w:r w:rsidRPr="00ED4D49">
        <w:rPr>
          <w:rFonts w:cs="Calibri"/>
          <w:b w:val="0"/>
          <w:i/>
          <w:color w:val="1F497D"/>
          <w:sz w:val="16"/>
        </w:rPr>
        <w:t>:</w:t>
      </w:r>
      <w:r w:rsidRPr="00ED4D49">
        <w:rPr>
          <w:rFonts w:cs="Calibri"/>
          <w:b w:val="0"/>
          <w:i/>
          <w:color w:val="auto"/>
          <w:sz w:val="16"/>
        </w:rPr>
        <w:t xml:space="preserve"> ESSs considered relevant for the SDIP at the time of the </w:t>
      </w:r>
      <w:r w:rsidR="0048126F" w:rsidRPr="00ED4D49">
        <w:rPr>
          <w:rFonts w:cs="Calibri"/>
          <w:b w:val="0"/>
          <w:i/>
          <w:color w:val="auto"/>
          <w:sz w:val="16"/>
        </w:rPr>
        <w:t>Program</w:t>
      </w:r>
      <w:r w:rsidRPr="00ED4D49">
        <w:rPr>
          <w:rFonts w:cs="Calibri"/>
          <w:b w:val="0"/>
          <w:i/>
          <w:color w:val="auto"/>
          <w:sz w:val="16"/>
        </w:rPr>
        <w:t xml:space="preserve"> appraisal</w:t>
      </w:r>
      <w:bookmarkEnd w:id="231"/>
      <w:r w:rsidR="00C6478C" w:rsidRPr="00ED4D49">
        <w:rPr>
          <w:rFonts w:cs="Calibri"/>
          <w:b w:val="0"/>
          <w:i/>
          <w:color w:val="auto"/>
          <w:sz w:val="16"/>
        </w:rPr>
        <w:t xml:space="preserve"> </w:t>
      </w:r>
    </w:p>
    <w:tbl>
      <w:tblPr>
        <w:tblStyle w:val="TableGridLight"/>
        <w:tblW w:w="0" w:type="auto"/>
        <w:tblLook w:val="04A0" w:firstRow="1" w:lastRow="0" w:firstColumn="1" w:lastColumn="0" w:noHBand="0" w:noVBand="1"/>
      </w:tblPr>
      <w:tblGrid>
        <w:gridCol w:w="704"/>
        <w:gridCol w:w="2552"/>
        <w:gridCol w:w="5670"/>
      </w:tblGrid>
      <w:tr w:rsidR="00AA40F6" w:rsidRPr="00ED4D49" w14:paraId="7AE5D668" w14:textId="77777777" w:rsidTr="0084744B">
        <w:tc>
          <w:tcPr>
            <w:tcW w:w="3256" w:type="dxa"/>
            <w:gridSpan w:val="2"/>
          </w:tcPr>
          <w:p w14:paraId="34E32D69" w14:textId="03E38957" w:rsidR="00AA40F6" w:rsidRPr="00ED4D49" w:rsidRDefault="00AA40F6" w:rsidP="00EB256A">
            <w:pPr>
              <w:spacing w:after="0"/>
              <w:ind w:right="144"/>
              <w:rPr>
                <w:color w:val="336699"/>
                <w:sz w:val="16"/>
                <w:szCs w:val="16"/>
                <w:lang w:val="en-US"/>
              </w:rPr>
            </w:pPr>
            <w:bookmarkStart w:id="232" w:name="_Hlk25324042"/>
            <w:r w:rsidRPr="00ED4D49">
              <w:rPr>
                <w:color w:val="336699"/>
                <w:sz w:val="16"/>
                <w:szCs w:val="16"/>
                <w:lang w:val="en-US"/>
              </w:rPr>
              <w:t xml:space="preserve">ESS </w:t>
            </w:r>
          </w:p>
        </w:tc>
        <w:tc>
          <w:tcPr>
            <w:tcW w:w="5670" w:type="dxa"/>
          </w:tcPr>
          <w:p w14:paraId="0A51D7E9" w14:textId="408132D2" w:rsidR="00AA40F6" w:rsidRPr="00ED4D49" w:rsidRDefault="00272385" w:rsidP="00EB256A">
            <w:pPr>
              <w:spacing w:after="0"/>
              <w:ind w:right="144"/>
              <w:rPr>
                <w:color w:val="336699"/>
                <w:sz w:val="16"/>
                <w:szCs w:val="16"/>
                <w:lang w:val="en-US"/>
              </w:rPr>
            </w:pPr>
            <w:r w:rsidRPr="00ED4D49">
              <w:rPr>
                <w:color w:val="336699"/>
                <w:sz w:val="16"/>
                <w:szCs w:val="16"/>
                <w:lang w:val="en-US"/>
              </w:rPr>
              <w:t>Re</w:t>
            </w:r>
            <w:r w:rsidR="00CC409E" w:rsidRPr="00ED4D49">
              <w:rPr>
                <w:color w:val="336699"/>
                <w:sz w:val="16"/>
                <w:szCs w:val="16"/>
                <w:lang w:val="en-US"/>
              </w:rPr>
              <w:t xml:space="preserve">levance to </w:t>
            </w:r>
            <w:r w:rsidR="00AB5077" w:rsidRPr="00ED4D49">
              <w:rPr>
                <w:color w:val="336699"/>
                <w:sz w:val="16"/>
                <w:szCs w:val="16"/>
                <w:lang w:val="en-US"/>
              </w:rPr>
              <w:t xml:space="preserve">the </w:t>
            </w:r>
            <w:r w:rsidRPr="00ED4D49">
              <w:rPr>
                <w:color w:val="336699"/>
                <w:sz w:val="16"/>
                <w:szCs w:val="16"/>
                <w:lang w:val="en-US"/>
              </w:rPr>
              <w:t>SDIP</w:t>
            </w:r>
            <w:r w:rsidR="00CC409E" w:rsidRPr="00ED4D49">
              <w:rPr>
                <w:color w:val="336699"/>
                <w:sz w:val="16"/>
                <w:szCs w:val="16"/>
                <w:lang w:val="en-US"/>
              </w:rPr>
              <w:t xml:space="preserve"> </w:t>
            </w:r>
          </w:p>
        </w:tc>
      </w:tr>
      <w:tr w:rsidR="00AA40F6" w:rsidRPr="00ED4D49" w14:paraId="0274BEFE" w14:textId="77777777" w:rsidTr="0084744B">
        <w:tc>
          <w:tcPr>
            <w:tcW w:w="704" w:type="dxa"/>
          </w:tcPr>
          <w:p w14:paraId="5E5F4812" w14:textId="77777777" w:rsidR="00AA40F6" w:rsidRPr="00ED4D49" w:rsidRDefault="00AA40F6" w:rsidP="00EB256A">
            <w:pPr>
              <w:rPr>
                <w:bCs/>
                <w:sz w:val="16"/>
                <w:szCs w:val="16"/>
                <w:lang w:val="en-US"/>
              </w:rPr>
            </w:pPr>
            <w:r w:rsidRPr="00ED4D49">
              <w:rPr>
                <w:bCs/>
                <w:sz w:val="16"/>
                <w:szCs w:val="16"/>
                <w:lang w:val="en-US"/>
              </w:rPr>
              <w:t>ESS1</w:t>
            </w:r>
          </w:p>
        </w:tc>
        <w:tc>
          <w:tcPr>
            <w:tcW w:w="2552" w:type="dxa"/>
          </w:tcPr>
          <w:p w14:paraId="085CBC53" w14:textId="4CF44666" w:rsidR="00AA40F6" w:rsidRPr="00ED4D49" w:rsidRDefault="00AA40F6" w:rsidP="00EB256A">
            <w:pPr>
              <w:rPr>
                <w:bCs/>
                <w:sz w:val="16"/>
                <w:szCs w:val="16"/>
                <w:lang w:val="en-US"/>
              </w:rPr>
            </w:pPr>
            <w:r w:rsidRPr="00ED4D49">
              <w:rPr>
                <w:bCs/>
                <w:sz w:val="16"/>
                <w:szCs w:val="16"/>
                <w:lang w:val="en-US"/>
              </w:rPr>
              <w:t xml:space="preserve">Assessment and Management of </w:t>
            </w:r>
            <w:r w:rsidR="001314BA" w:rsidRPr="00ED4D49">
              <w:rPr>
                <w:bCs/>
                <w:sz w:val="16"/>
                <w:szCs w:val="16"/>
                <w:lang w:val="en-US"/>
              </w:rPr>
              <w:t>E&amp;S</w:t>
            </w:r>
            <w:r w:rsidRPr="00ED4D49">
              <w:rPr>
                <w:bCs/>
                <w:sz w:val="16"/>
                <w:szCs w:val="16"/>
                <w:lang w:val="en-US"/>
              </w:rPr>
              <w:t xml:space="preserve"> Risks and Impacts</w:t>
            </w:r>
          </w:p>
        </w:tc>
        <w:tc>
          <w:tcPr>
            <w:tcW w:w="5670" w:type="dxa"/>
          </w:tcPr>
          <w:p w14:paraId="68B17133" w14:textId="26EF9928" w:rsidR="00AA40F6" w:rsidRPr="00ED4D49" w:rsidRDefault="00CC409E" w:rsidP="0084744B">
            <w:pPr>
              <w:rPr>
                <w:bCs/>
                <w:i/>
                <w:iCs/>
                <w:sz w:val="16"/>
                <w:szCs w:val="16"/>
                <w:lang w:val="en-US"/>
              </w:rPr>
            </w:pPr>
            <w:r w:rsidRPr="00ED4D49">
              <w:rPr>
                <w:bCs/>
                <w:sz w:val="16"/>
                <w:szCs w:val="16"/>
                <w:lang w:val="en-US"/>
              </w:rPr>
              <w:t>T</w:t>
            </w:r>
            <w:r w:rsidR="00AA40F6" w:rsidRPr="00ED4D49">
              <w:rPr>
                <w:bCs/>
                <w:sz w:val="16"/>
                <w:szCs w:val="16"/>
                <w:lang w:val="en-US"/>
              </w:rPr>
              <w:t>his st</w:t>
            </w:r>
            <w:r w:rsidRPr="00ED4D49">
              <w:rPr>
                <w:bCs/>
                <w:sz w:val="16"/>
                <w:szCs w:val="16"/>
                <w:lang w:val="en-US"/>
              </w:rPr>
              <w:t>a</w:t>
            </w:r>
            <w:r w:rsidR="00AA40F6" w:rsidRPr="00ED4D49">
              <w:rPr>
                <w:bCs/>
                <w:sz w:val="16"/>
                <w:szCs w:val="16"/>
                <w:lang w:val="en-US"/>
              </w:rPr>
              <w:t>ndard guide</w:t>
            </w:r>
            <w:r w:rsidR="001314BA" w:rsidRPr="00ED4D49">
              <w:rPr>
                <w:bCs/>
                <w:sz w:val="16"/>
                <w:szCs w:val="16"/>
                <w:lang w:val="en-US"/>
              </w:rPr>
              <w:t>s the</w:t>
            </w:r>
            <w:r w:rsidR="00AA40F6" w:rsidRPr="00ED4D49">
              <w:rPr>
                <w:bCs/>
                <w:sz w:val="16"/>
                <w:szCs w:val="16"/>
                <w:lang w:val="en-US"/>
              </w:rPr>
              <w:t xml:space="preserve"> preparation of </w:t>
            </w:r>
            <w:r w:rsidRPr="00ED4D49">
              <w:rPr>
                <w:bCs/>
                <w:sz w:val="16"/>
                <w:szCs w:val="16"/>
                <w:lang w:val="en-US"/>
              </w:rPr>
              <w:t xml:space="preserve">E&amp;S instruments including those </w:t>
            </w:r>
            <w:r w:rsidR="00AA40F6" w:rsidRPr="00ED4D49">
              <w:rPr>
                <w:bCs/>
                <w:sz w:val="16"/>
                <w:szCs w:val="16"/>
                <w:lang w:val="en-US"/>
              </w:rPr>
              <w:t xml:space="preserve">that have been prepared </w:t>
            </w:r>
            <w:r w:rsidR="0084744B" w:rsidRPr="00ED4D49">
              <w:rPr>
                <w:bCs/>
                <w:sz w:val="16"/>
                <w:szCs w:val="16"/>
                <w:lang w:val="en-US"/>
              </w:rPr>
              <w:t xml:space="preserve">for </w:t>
            </w:r>
            <w:r w:rsidR="00AA40F6" w:rsidRPr="00ED4D49">
              <w:rPr>
                <w:bCs/>
                <w:sz w:val="16"/>
                <w:szCs w:val="16"/>
                <w:lang w:val="en-US"/>
              </w:rPr>
              <w:t>SDIP: (i) ESMF, (ii) SEP, (iii) RPF (iv) LMP</w:t>
            </w:r>
            <w:r w:rsidR="0084744B" w:rsidRPr="00ED4D49">
              <w:rPr>
                <w:bCs/>
                <w:sz w:val="16"/>
                <w:szCs w:val="16"/>
                <w:lang w:val="en-US"/>
              </w:rPr>
              <w:t xml:space="preserve"> and appropriate risk assessment for individual activities implemented under the project.</w:t>
            </w:r>
          </w:p>
        </w:tc>
      </w:tr>
      <w:tr w:rsidR="00AA40F6" w:rsidRPr="00ED4D49" w14:paraId="3F6CDF2C" w14:textId="77777777" w:rsidTr="0084744B">
        <w:tc>
          <w:tcPr>
            <w:tcW w:w="704" w:type="dxa"/>
          </w:tcPr>
          <w:p w14:paraId="53CFC627" w14:textId="77777777" w:rsidR="00AA40F6" w:rsidRPr="00ED4D49" w:rsidRDefault="00AA40F6" w:rsidP="00EB256A">
            <w:pPr>
              <w:rPr>
                <w:bCs/>
                <w:sz w:val="16"/>
                <w:szCs w:val="16"/>
                <w:lang w:val="en-US"/>
              </w:rPr>
            </w:pPr>
            <w:r w:rsidRPr="00ED4D49">
              <w:rPr>
                <w:bCs/>
                <w:sz w:val="16"/>
                <w:szCs w:val="16"/>
                <w:lang w:val="en-US"/>
              </w:rPr>
              <w:t>ESS2</w:t>
            </w:r>
          </w:p>
        </w:tc>
        <w:tc>
          <w:tcPr>
            <w:tcW w:w="2552" w:type="dxa"/>
          </w:tcPr>
          <w:p w14:paraId="64F1A2A1" w14:textId="77777777" w:rsidR="00AA40F6" w:rsidRPr="00ED4D49" w:rsidRDefault="00AA40F6" w:rsidP="00EB256A">
            <w:pPr>
              <w:rPr>
                <w:bCs/>
                <w:sz w:val="16"/>
                <w:szCs w:val="16"/>
                <w:lang w:val="en-US"/>
              </w:rPr>
            </w:pPr>
            <w:r w:rsidRPr="00ED4D49">
              <w:rPr>
                <w:bCs/>
                <w:sz w:val="16"/>
                <w:szCs w:val="16"/>
                <w:lang w:val="en-US"/>
              </w:rPr>
              <w:t>Labor and Working Conditions</w:t>
            </w:r>
          </w:p>
        </w:tc>
        <w:tc>
          <w:tcPr>
            <w:tcW w:w="5670" w:type="dxa"/>
          </w:tcPr>
          <w:p w14:paraId="24F8F0E1" w14:textId="7B6B3DB4" w:rsidR="00AA40F6" w:rsidRPr="00ED4D49" w:rsidRDefault="00CC409E" w:rsidP="00AA40F6">
            <w:pPr>
              <w:rPr>
                <w:bCs/>
                <w:sz w:val="16"/>
                <w:szCs w:val="16"/>
                <w:lang w:val="en-US"/>
              </w:rPr>
            </w:pPr>
            <w:r w:rsidRPr="00ED4D49">
              <w:rPr>
                <w:bCs/>
                <w:sz w:val="16"/>
                <w:szCs w:val="16"/>
                <w:lang w:val="en-US"/>
              </w:rPr>
              <w:t>T</w:t>
            </w:r>
            <w:r w:rsidR="00AA40F6" w:rsidRPr="00ED4D49">
              <w:rPr>
                <w:bCs/>
                <w:sz w:val="16"/>
                <w:szCs w:val="16"/>
                <w:lang w:val="en-US"/>
              </w:rPr>
              <w:t>his standard guide</w:t>
            </w:r>
            <w:r w:rsidR="001314BA" w:rsidRPr="00ED4D49">
              <w:rPr>
                <w:bCs/>
                <w:sz w:val="16"/>
                <w:szCs w:val="16"/>
                <w:lang w:val="en-US"/>
              </w:rPr>
              <w:t>s the</w:t>
            </w:r>
            <w:r w:rsidR="00AA40F6" w:rsidRPr="00ED4D49">
              <w:rPr>
                <w:bCs/>
                <w:sz w:val="16"/>
                <w:szCs w:val="16"/>
                <w:lang w:val="en-US"/>
              </w:rPr>
              <w:t xml:space="preserve"> creation of sound worker-management relationships.</w:t>
            </w:r>
            <w:r w:rsidR="00C82587" w:rsidRPr="00ED4D49">
              <w:rPr>
                <w:bCs/>
                <w:sz w:val="16"/>
                <w:szCs w:val="16"/>
                <w:lang w:val="en-US"/>
              </w:rPr>
              <w:t xml:space="preserve"> </w:t>
            </w:r>
            <w:r w:rsidR="00AA40F6" w:rsidRPr="00ED4D49">
              <w:rPr>
                <w:bCs/>
                <w:sz w:val="16"/>
                <w:szCs w:val="16"/>
                <w:lang w:val="en-US"/>
              </w:rPr>
              <w:t>The primary labor risk is the risk of informal work.</w:t>
            </w:r>
            <w:r w:rsidR="00C6478C" w:rsidRPr="00ED4D49">
              <w:rPr>
                <w:bCs/>
                <w:sz w:val="16"/>
                <w:szCs w:val="16"/>
                <w:lang w:val="en-US"/>
              </w:rPr>
              <w:t xml:space="preserve"> </w:t>
            </w:r>
            <w:r w:rsidR="00AA40F6" w:rsidRPr="00ED4D49">
              <w:rPr>
                <w:bCs/>
                <w:sz w:val="16"/>
                <w:szCs w:val="16"/>
                <w:lang w:val="en-US"/>
              </w:rPr>
              <w:t xml:space="preserve">The risks of unpaid and underpaid work, work overload, poor terms and conditions of engagement, lack of occupational health and safety measures, and denied access to social security, pension or health insurance are associated with informal work. Labor Screening and Compliance </w:t>
            </w:r>
            <w:r w:rsidR="001314BA" w:rsidRPr="00ED4D49">
              <w:rPr>
                <w:bCs/>
                <w:sz w:val="16"/>
                <w:szCs w:val="16"/>
                <w:lang w:val="en-US"/>
              </w:rPr>
              <w:t>C</w:t>
            </w:r>
            <w:r w:rsidR="00AA40F6" w:rsidRPr="00ED4D49">
              <w:rPr>
                <w:bCs/>
                <w:sz w:val="16"/>
                <w:szCs w:val="16"/>
                <w:lang w:val="en-US"/>
              </w:rPr>
              <w:t>hecklist</w:t>
            </w:r>
            <w:r w:rsidR="001314BA" w:rsidRPr="00ED4D49">
              <w:rPr>
                <w:bCs/>
                <w:sz w:val="16"/>
                <w:szCs w:val="16"/>
                <w:lang w:val="en-US"/>
              </w:rPr>
              <w:t xml:space="preserve">, </w:t>
            </w:r>
            <w:r w:rsidR="00AA40F6" w:rsidRPr="00ED4D49">
              <w:rPr>
                <w:bCs/>
                <w:sz w:val="16"/>
                <w:szCs w:val="16"/>
                <w:lang w:val="en-US"/>
              </w:rPr>
              <w:t xml:space="preserve">and Monitoring and Evaluation procedures have been developed to be included as mandatory in </w:t>
            </w:r>
            <w:r w:rsidR="001314BA" w:rsidRPr="00ED4D49">
              <w:rPr>
                <w:bCs/>
                <w:sz w:val="16"/>
                <w:szCs w:val="16"/>
                <w:lang w:val="en-US"/>
              </w:rPr>
              <w:t>the</w:t>
            </w:r>
            <w:r w:rsidR="00AA40F6" w:rsidRPr="00ED4D49">
              <w:rPr>
                <w:bCs/>
                <w:sz w:val="16"/>
                <w:szCs w:val="16"/>
                <w:lang w:val="en-US"/>
              </w:rPr>
              <w:t xml:space="preserve"> tender documentation providing compliance of third parties i.e. different contractors to the ESS2 requirements.</w:t>
            </w:r>
            <w:r w:rsidR="00C6478C" w:rsidRPr="00ED4D49">
              <w:rPr>
                <w:bCs/>
                <w:sz w:val="16"/>
                <w:szCs w:val="16"/>
                <w:lang w:val="en-US" w:eastAsia="x-none"/>
              </w:rPr>
              <w:t xml:space="preserve"> </w:t>
            </w:r>
          </w:p>
        </w:tc>
      </w:tr>
      <w:tr w:rsidR="00AA40F6" w:rsidRPr="00ED4D49" w14:paraId="0D758EBD" w14:textId="77777777" w:rsidTr="0084744B">
        <w:tc>
          <w:tcPr>
            <w:tcW w:w="704" w:type="dxa"/>
          </w:tcPr>
          <w:p w14:paraId="4EBA5EA5" w14:textId="77777777" w:rsidR="00AA40F6" w:rsidRPr="00ED4D49" w:rsidRDefault="00AA40F6" w:rsidP="00EB256A">
            <w:pPr>
              <w:rPr>
                <w:bCs/>
                <w:sz w:val="16"/>
                <w:szCs w:val="16"/>
                <w:lang w:val="en-US"/>
              </w:rPr>
            </w:pPr>
            <w:r w:rsidRPr="00ED4D49">
              <w:rPr>
                <w:bCs/>
                <w:sz w:val="16"/>
                <w:szCs w:val="16"/>
                <w:lang w:val="en-US"/>
              </w:rPr>
              <w:t>ESS3</w:t>
            </w:r>
          </w:p>
        </w:tc>
        <w:tc>
          <w:tcPr>
            <w:tcW w:w="2552" w:type="dxa"/>
          </w:tcPr>
          <w:p w14:paraId="5ECDBA9A" w14:textId="77777777" w:rsidR="00AA40F6" w:rsidRPr="00ED4D49" w:rsidRDefault="00AA40F6" w:rsidP="00EB256A">
            <w:pPr>
              <w:rPr>
                <w:bCs/>
                <w:sz w:val="16"/>
                <w:szCs w:val="16"/>
                <w:lang w:val="en-US"/>
              </w:rPr>
            </w:pPr>
            <w:r w:rsidRPr="00ED4D49">
              <w:rPr>
                <w:bCs/>
                <w:sz w:val="16"/>
                <w:szCs w:val="16"/>
                <w:lang w:val="en-US"/>
              </w:rPr>
              <w:t>Resource Efficiency and Pollution Prevention and Management</w:t>
            </w:r>
          </w:p>
        </w:tc>
        <w:tc>
          <w:tcPr>
            <w:tcW w:w="5670" w:type="dxa"/>
          </w:tcPr>
          <w:p w14:paraId="157C9DE9" w14:textId="73A77299" w:rsidR="00AA40F6" w:rsidRPr="00ED4D49" w:rsidRDefault="00CC409E" w:rsidP="00C82587">
            <w:pPr>
              <w:rPr>
                <w:bCs/>
                <w:sz w:val="16"/>
                <w:szCs w:val="16"/>
                <w:lang w:val="en-US"/>
              </w:rPr>
            </w:pPr>
            <w:r w:rsidRPr="00ED4D49">
              <w:rPr>
                <w:bCs/>
                <w:sz w:val="16"/>
                <w:szCs w:val="16"/>
                <w:lang w:val="en-US"/>
              </w:rPr>
              <w:t>T</w:t>
            </w:r>
            <w:r w:rsidR="00F94F63" w:rsidRPr="00ED4D49">
              <w:rPr>
                <w:bCs/>
                <w:sz w:val="16"/>
                <w:szCs w:val="16"/>
                <w:lang w:val="en-US"/>
              </w:rPr>
              <w:t>h</w:t>
            </w:r>
            <w:r w:rsidR="00C82587" w:rsidRPr="00ED4D49">
              <w:rPr>
                <w:bCs/>
                <w:sz w:val="16"/>
                <w:szCs w:val="16"/>
                <w:lang w:val="en-US"/>
              </w:rPr>
              <w:t xml:space="preserve">is </w:t>
            </w:r>
            <w:r w:rsidR="00B96D19" w:rsidRPr="00ED4D49">
              <w:rPr>
                <w:bCs/>
                <w:sz w:val="16"/>
                <w:szCs w:val="16"/>
                <w:lang w:val="en-US"/>
              </w:rPr>
              <w:t xml:space="preserve">standard </w:t>
            </w:r>
            <w:r w:rsidR="00C82587" w:rsidRPr="00ED4D49">
              <w:rPr>
                <w:bCs/>
                <w:sz w:val="16"/>
                <w:szCs w:val="16"/>
                <w:lang w:val="en-US"/>
              </w:rPr>
              <w:t xml:space="preserve">sets out the requirements to address resource efficiency and pollution prevention and management throughout the project life cycle. Considering that most of the activities involve construction works, the major risk is that Contractors will not be aware of best practices to avoid or minimize pollution from project activities </w:t>
            </w:r>
            <w:r w:rsidR="00B96D19" w:rsidRPr="00ED4D49">
              <w:rPr>
                <w:bCs/>
                <w:sz w:val="16"/>
                <w:szCs w:val="16"/>
                <w:lang w:val="en-US"/>
              </w:rPr>
              <w:t xml:space="preserve">or </w:t>
            </w:r>
            <w:r w:rsidR="00C82587" w:rsidRPr="00ED4D49">
              <w:rPr>
                <w:bCs/>
                <w:sz w:val="16"/>
                <w:szCs w:val="16"/>
                <w:lang w:val="en-US"/>
              </w:rPr>
              <w:t>avoid or minimize adverse impacts on human health and the environment. The site-specific ESMP will guide contractors to implement adequate pollution prevention and management measures.</w:t>
            </w:r>
          </w:p>
        </w:tc>
      </w:tr>
      <w:tr w:rsidR="00AA40F6" w:rsidRPr="00ED4D49" w14:paraId="6AF9A4DF" w14:textId="77777777" w:rsidTr="0084744B">
        <w:tc>
          <w:tcPr>
            <w:tcW w:w="704" w:type="dxa"/>
          </w:tcPr>
          <w:p w14:paraId="71F1B409" w14:textId="77777777" w:rsidR="00AA40F6" w:rsidRPr="00ED4D49" w:rsidRDefault="00AA40F6" w:rsidP="00EB256A">
            <w:pPr>
              <w:rPr>
                <w:bCs/>
                <w:sz w:val="16"/>
                <w:szCs w:val="16"/>
                <w:lang w:val="en-US"/>
              </w:rPr>
            </w:pPr>
            <w:r w:rsidRPr="00ED4D49">
              <w:rPr>
                <w:bCs/>
                <w:sz w:val="16"/>
                <w:szCs w:val="16"/>
                <w:lang w:val="en-US"/>
              </w:rPr>
              <w:t>ESS4</w:t>
            </w:r>
          </w:p>
        </w:tc>
        <w:tc>
          <w:tcPr>
            <w:tcW w:w="2552" w:type="dxa"/>
          </w:tcPr>
          <w:p w14:paraId="6094B321" w14:textId="77777777" w:rsidR="00AA40F6" w:rsidRPr="00ED4D49" w:rsidRDefault="00AA40F6" w:rsidP="00EB256A">
            <w:pPr>
              <w:rPr>
                <w:bCs/>
                <w:sz w:val="16"/>
                <w:szCs w:val="16"/>
                <w:lang w:val="en-US"/>
              </w:rPr>
            </w:pPr>
            <w:r w:rsidRPr="00ED4D49">
              <w:rPr>
                <w:bCs/>
                <w:sz w:val="16"/>
                <w:szCs w:val="16"/>
                <w:lang w:val="en-US"/>
              </w:rPr>
              <w:t>Community Health and Safety</w:t>
            </w:r>
          </w:p>
        </w:tc>
        <w:tc>
          <w:tcPr>
            <w:tcW w:w="5670" w:type="dxa"/>
          </w:tcPr>
          <w:p w14:paraId="6510AD92" w14:textId="77777777" w:rsidR="00AA40F6" w:rsidRPr="00ED4D49" w:rsidRDefault="00CC409E" w:rsidP="00F94F63">
            <w:pPr>
              <w:rPr>
                <w:bCs/>
                <w:sz w:val="16"/>
                <w:szCs w:val="16"/>
                <w:lang w:val="en-US"/>
              </w:rPr>
            </w:pPr>
            <w:r w:rsidRPr="00ED4D49">
              <w:rPr>
                <w:bCs/>
                <w:sz w:val="16"/>
                <w:szCs w:val="16"/>
                <w:lang w:val="en-US"/>
              </w:rPr>
              <w:t>T</w:t>
            </w:r>
            <w:r w:rsidR="00F94F63" w:rsidRPr="00ED4D49">
              <w:rPr>
                <w:bCs/>
                <w:sz w:val="16"/>
                <w:szCs w:val="16"/>
                <w:lang w:val="en-US"/>
              </w:rPr>
              <w:t>his ESS sets out the requirements to avoid or minimize community exposure to project-related traffic and road safety risks, diseases and hazardous materials and to have in place effective measure to address emergency events. The works anticipated in this project will be carried out mostly in remote or publicly restricted areas and will not employ use or generation of hazardous substances and waste. The main risk associated with the project is related to workers health and safety that is addressed by ESS2.</w:t>
            </w:r>
          </w:p>
          <w:p w14:paraId="43A8EE8D" w14:textId="375D351B" w:rsidR="0033097E" w:rsidRPr="00ED4D49" w:rsidRDefault="0033097E" w:rsidP="00F94F63">
            <w:pPr>
              <w:rPr>
                <w:bCs/>
                <w:sz w:val="16"/>
                <w:szCs w:val="16"/>
                <w:lang w:val="en-US"/>
              </w:rPr>
            </w:pPr>
            <w:r w:rsidRPr="00ED4D49">
              <w:rPr>
                <w:bCs/>
                <w:sz w:val="16"/>
                <w:szCs w:val="16"/>
                <w:lang w:val="en-US"/>
              </w:rPr>
              <w:t xml:space="preserve">The provisions of dam safety that are included in this Standard will be relevant to the works on the </w:t>
            </w:r>
            <w:proofErr w:type="spellStart"/>
            <w:r w:rsidRPr="00ED4D49">
              <w:rPr>
                <w:bCs/>
                <w:sz w:val="16"/>
                <w:szCs w:val="16"/>
                <w:lang w:val="en-US"/>
              </w:rPr>
              <w:t>Modrac</w:t>
            </w:r>
            <w:proofErr w:type="spellEnd"/>
            <w:r w:rsidRPr="00ED4D49">
              <w:rPr>
                <w:bCs/>
                <w:sz w:val="16"/>
                <w:szCs w:val="16"/>
                <w:lang w:val="en-US"/>
              </w:rPr>
              <w:t xml:space="preserve"> lake dam and will be adhered to in line with the provisions of the standard. </w:t>
            </w:r>
          </w:p>
        </w:tc>
      </w:tr>
      <w:tr w:rsidR="00AA40F6" w:rsidRPr="00ED4D49" w14:paraId="611989C0" w14:textId="77777777" w:rsidTr="0084744B">
        <w:tc>
          <w:tcPr>
            <w:tcW w:w="704" w:type="dxa"/>
          </w:tcPr>
          <w:p w14:paraId="0636E4C5" w14:textId="77777777" w:rsidR="00AA40F6" w:rsidRPr="00ED4D49" w:rsidRDefault="00AA40F6" w:rsidP="00EB256A">
            <w:pPr>
              <w:rPr>
                <w:bCs/>
                <w:sz w:val="16"/>
                <w:szCs w:val="16"/>
                <w:lang w:val="en-US"/>
              </w:rPr>
            </w:pPr>
            <w:r w:rsidRPr="00ED4D49">
              <w:rPr>
                <w:bCs/>
                <w:sz w:val="16"/>
                <w:szCs w:val="16"/>
                <w:lang w:val="en-US"/>
              </w:rPr>
              <w:t>ESS5</w:t>
            </w:r>
          </w:p>
        </w:tc>
        <w:tc>
          <w:tcPr>
            <w:tcW w:w="2552" w:type="dxa"/>
          </w:tcPr>
          <w:p w14:paraId="02F30075" w14:textId="77777777" w:rsidR="00AA40F6" w:rsidRPr="00ED4D49" w:rsidRDefault="00AA40F6" w:rsidP="00EB256A">
            <w:pPr>
              <w:rPr>
                <w:bCs/>
                <w:sz w:val="16"/>
                <w:szCs w:val="16"/>
                <w:lang w:val="en-US"/>
              </w:rPr>
            </w:pPr>
            <w:r w:rsidRPr="00ED4D49">
              <w:rPr>
                <w:bCs/>
                <w:sz w:val="16"/>
                <w:szCs w:val="16"/>
                <w:lang w:val="en-US"/>
              </w:rPr>
              <w:t>Land Acquisition, Restrictions on Land Use and Involuntary Resettlement</w:t>
            </w:r>
          </w:p>
        </w:tc>
        <w:tc>
          <w:tcPr>
            <w:tcW w:w="5670" w:type="dxa"/>
          </w:tcPr>
          <w:p w14:paraId="3F654665" w14:textId="3215BA1D" w:rsidR="00EC066C" w:rsidRPr="00ED4D49" w:rsidRDefault="00CC409E" w:rsidP="00CC409E">
            <w:pPr>
              <w:rPr>
                <w:bCs/>
                <w:sz w:val="16"/>
                <w:szCs w:val="16"/>
                <w:lang w:val="en-US"/>
              </w:rPr>
            </w:pPr>
            <w:r w:rsidRPr="00ED4D49">
              <w:rPr>
                <w:bCs/>
                <w:sz w:val="16"/>
                <w:szCs w:val="16"/>
                <w:lang w:val="en-US"/>
              </w:rPr>
              <w:t xml:space="preserve">This ESS guides </w:t>
            </w:r>
            <w:r w:rsidR="00B96D19" w:rsidRPr="00ED4D49">
              <w:rPr>
                <w:bCs/>
                <w:sz w:val="16"/>
                <w:szCs w:val="16"/>
                <w:lang w:val="en-US"/>
              </w:rPr>
              <w:t xml:space="preserve">the </w:t>
            </w:r>
            <w:r w:rsidRPr="00ED4D49">
              <w:rPr>
                <w:bCs/>
                <w:sz w:val="16"/>
                <w:szCs w:val="16"/>
                <w:lang w:val="en-US"/>
              </w:rPr>
              <w:t xml:space="preserve">procedures to avoid or implement involuntary resettlement and economic displacement with least possible impacts. </w:t>
            </w:r>
            <w:r w:rsidR="00DB7966" w:rsidRPr="00ED4D49">
              <w:rPr>
                <w:bCs/>
                <w:sz w:val="16"/>
                <w:szCs w:val="16"/>
                <w:lang w:val="en-US"/>
              </w:rPr>
              <w:t xml:space="preserve">The </w:t>
            </w:r>
            <w:r w:rsidRPr="00ED4D49">
              <w:rPr>
                <w:bCs/>
                <w:sz w:val="16"/>
                <w:szCs w:val="16"/>
                <w:lang w:val="en-US"/>
              </w:rPr>
              <w:t xml:space="preserve">SDIP </w:t>
            </w:r>
            <w:r w:rsidR="00EC066C" w:rsidRPr="00ED4D49">
              <w:rPr>
                <w:bCs/>
                <w:sz w:val="16"/>
                <w:szCs w:val="16"/>
                <w:lang w:val="en-US"/>
              </w:rPr>
              <w:t xml:space="preserve">involves </w:t>
            </w:r>
            <w:r w:rsidR="00B96D19" w:rsidRPr="00ED4D49">
              <w:rPr>
                <w:bCs/>
                <w:sz w:val="16"/>
                <w:szCs w:val="16"/>
                <w:lang w:val="en-US"/>
              </w:rPr>
              <w:t xml:space="preserve">the </w:t>
            </w:r>
            <w:r w:rsidR="00EC066C" w:rsidRPr="00ED4D49">
              <w:rPr>
                <w:bCs/>
                <w:sz w:val="16"/>
                <w:szCs w:val="16"/>
                <w:lang w:val="en-US"/>
              </w:rPr>
              <w:t xml:space="preserve">possibility of land acquisition and economic displacement. To minimize the </w:t>
            </w:r>
            <w:r w:rsidR="0084744B" w:rsidRPr="00ED4D49">
              <w:rPr>
                <w:bCs/>
                <w:sz w:val="16"/>
                <w:szCs w:val="16"/>
                <w:lang w:val="en-US"/>
              </w:rPr>
              <w:t>risk,</w:t>
            </w:r>
            <w:r w:rsidR="00EC066C" w:rsidRPr="00ED4D49">
              <w:rPr>
                <w:bCs/>
                <w:sz w:val="16"/>
                <w:szCs w:val="16"/>
                <w:lang w:val="en-US"/>
              </w:rPr>
              <w:t xml:space="preserve"> </w:t>
            </w:r>
            <w:r w:rsidR="00B96D19" w:rsidRPr="00ED4D49">
              <w:rPr>
                <w:bCs/>
                <w:sz w:val="16"/>
                <w:szCs w:val="16"/>
                <w:lang w:val="en-US"/>
              </w:rPr>
              <w:t>an</w:t>
            </w:r>
            <w:r w:rsidR="00DB7966" w:rsidRPr="00ED4D49">
              <w:rPr>
                <w:bCs/>
                <w:sz w:val="16"/>
                <w:szCs w:val="16"/>
                <w:lang w:val="en-US"/>
              </w:rPr>
              <w:t xml:space="preserve"> </w:t>
            </w:r>
            <w:r w:rsidR="00EC066C" w:rsidRPr="00ED4D49">
              <w:rPr>
                <w:bCs/>
                <w:sz w:val="16"/>
                <w:szCs w:val="16"/>
                <w:lang w:val="en-US"/>
              </w:rPr>
              <w:t xml:space="preserve">appropriate </w:t>
            </w:r>
            <w:r w:rsidR="00B96D19" w:rsidRPr="00ED4D49">
              <w:rPr>
                <w:bCs/>
                <w:sz w:val="16"/>
                <w:szCs w:val="16"/>
                <w:lang w:val="en-US"/>
              </w:rPr>
              <w:t>RPF</w:t>
            </w:r>
            <w:r w:rsidR="00EC066C" w:rsidRPr="00ED4D49">
              <w:rPr>
                <w:bCs/>
                <w:sz w:val="16"/>
                <w:szCs w:val="16"/>
                <w:lang w:val="en-US"/>
              </w:rPr>
              <w:t xml:space="preserve"> </w:t>
            </w:r>
            <w:r w:rsidR="00B96D19" w:rsidRPr="00ED4D49">
              <w:rPr>
                <w:bCs/>
                <w:sz w:val="16"/>
                <w:szCs w:val="16"/>
                <w:lang w:val="en-US"/>
              </w:rPr>
              <w:t>has been</w:t>
            </w:r>
            <w:r w:rsidR="00EC066C" w:rsidRPr="00ED4D49">
              <w:rPr>
                <w:bCs/>
                <w:sz w:val="16"/>
                <w:szCs w:val="16"/>
                <w:lang w:val="en-US"/>
              </w:rPr>
              <w:t xml:space="preserve"> developed at the project level, while</w:t>
            </w:r>
            <w:r w:rsidR="00B96D19" w:rsidRPr="00ED4D49">
              <w:rPr>
                <w:bCs/>
                <w:sz w:val="16"/>
                <w:szCs w:val="16"/>
                <w:lang w:val="en-US"/>
              </w:rPr>
              <w:t xml:space="preserve"> a</w:t>
            </w:r>
            <w:r w:rsidR="00EC066C" w:rsidRPr="00ED4D49">
              <w:rPr>
                <w:bCs/>
                <w:sz w:val="16"/>
                <w:szCs w:val="16"/>
                <w:lang w:val="en-US"/>
              </w:rPr>
              <w:t xml:space="preserve"> site-specific R</w:t>
            </w:r>
            <w:r w:rsidR="00B96D19" w:rsidRPr="00ED4D49">
              <w:rPr>
                <w:bCs/>
                <w:sz w:val="16"/>
                <w:szCs w:val="16"/>
                <w:lang w:val="en-US"/>
              </w:rPr>
              <w:t>A</w:t>
            </w:r>
            <w:r w:rsidR="00EC066C" w:rsidRPr="00ED4D49">
              <w:rPr>
                <w:bCs/>
                <w:sz w:val="16"/>
                <w:szCs w:val="16"/>
                <w:lang w:val="en-US"/>
              </w:rPr>
              <w:t>P will be developed where needed.</w:t>
            </w:r>
            <w:r w:rsidR="0084744B" w:rsidRPr="00ED4D49">
              <w:rPr>
                <w:bCs/>
                <w:sz w:val="16"/>
                <w:szCs w:val="16"/>
                <w:lang w:val="en-US"/>
              </w:rPr>
              <w:t xml:space="preserve"> The main risk is associated with appropriate implementation of </w:t>
            </w:r>
            <w:r w:rsidR="00B96D19" w:rsidRPr="00ED4D49">
              <w:rPr>
                <w:bCs/>
                <w:sz w:val="16"/>
                <w:szCs w:val="16"/>
                <w:lang w:val="en-US"/>
              </w:rPr>
              <w:t xml:space="preserve">the </w:t>
            </w:r>
            <w:r w:rsidR="0084744B" w:rsidRPr="00ED4D49">
              <w:rPr>
                <w:bCs/>
                <w:sz w:val="16"/>
                <w:szCs w:val="16"/>
                <w:lang w:val="en-US"/>
              </w:rPr>
              <w:t>RPF.</w:t>
            </w:r>
          </w:p>
        </w:tc>
      </w:tr>
      <w:tr w:rsidR="00AA40F6" w:rsidRPr="00ED4D49" w14:paraId="0F65AE96" w14:textId="77777777" w:rsidTr="0084744B">
        <w:tc>
          <w:tcPr>
            <w:tcW w:w="704" w:type="dxa"/>
          </w:tcPr>
          <w:p w14:paraId="2BC683FC" w14:textId="77777777" w:rsidR="00AA40F6" w:rsidRPr="00ED4D49" w:rsidRDefault="00AA40F6" w:rsidP="00EB256A">
            <w:pPr>
              <w:rPr>
                <w:bCs/>
                <w:sz w:val="16"/>
                <w:szCs w:val="16"/>
                <w:lang w:val="en-US"/>
              </w:rPr>
            </w:pPr>
            <w:r w:rsidRPr="00ED4D49">
              <w:rPr>
                <w:bCs/>
                <w:sz w:val="16"/>
                <w:szCs w:val="16"/>
                <w:lang w:val="en-US"/>
              </w:rPr>
              <w:t>ESS6</w:t>
            </w:r>
          </w:p>
        </w:tc>
        <w:tc>
          <w:tcPr>
            <w:tcW w:w="2552" w:type="dxa"/>
          </w:tcPr>
          <w:p w14:paraId="79C23056" w14:textId="77777777" w:rsidR="00AA40F6" w:rsidRPr="00ED4D49" w:rsidRDefault="00AA40F6" w:rsidP="00EB256A">
            <w:pPr>
              <w:rPr>
                <w:bCs/>
                <w:sz w:val="16"/>
                <w:szCs w:val="16"/>
                <w:lang w:val="en-US"/>
              </w:rPr>
            </w:pPr>
            <w:r w:rsidRPr="00ED4D49">
              <w:rPr>
                <w:bCs/>
                <w:sz w:val="16"/>
                <w:szCs w:val="16"/>
                <w:lang w:val="en-US"/>
              </w:rPr>
              <w:t>Biodiversity Conservation and Sustainable Management of Living Natural Resources</w:t>
            </w:r>
          </w:p>
        </w:tc>
        <w:tc>
          <w:tcPr>
            <w:tcW w:w="5670" w:type="dxa"/>
          </w:tcPr>
          <w:p w14:paraId="29C5529F" w14:textId="11F0C9EC" w:rsidR="00F5535E" w:rsidRPr="00ED4D49" w:rsidRDefault="00EC066C" w:rsidP="00EB256A">
            <w:pPr>
              <w:rPr>
                <w:bCs/>
                <w:sz w:val="16"/>
                <w:szCs w:val="16"/>
                <w:lang w:val="en-US"/>
              </w:rPr>
            </w:pPr>
            <w:r w:rsidRPr="00ED4D49">
              <w:rPr>
                <w:bCs/>
                <w:sz w:val="16"/>
                <w:szCs w:val="16"/>
                <w:lang w:val="en-US"/>
              </w:rPr>
              <w:t>The project area is the whole country, which includes several nationally and internationally recognized natural and critical habitats, protected areas, wetlands and Ramsar sites as well as hundreds of locally designated nature sites. The activities will be assessed for relevant risks</w:t>
            </w:r>
            <w:r w:rsidR="000855DC" w:rsidRPr="00ED4D49">
              <w:rPr>
                <w:bCs/>
                <w:sz w:val="16"/>
                <w:szCs w:val="16"/>
                <w:lang w:val="en-US"/>
              </w:rPr>
              <w:t>,</w:t>
            </w:r>
            <w:r w:rsidRPr="00ED4D49">
              <w:rPr>
                <w:bCs/>
                <w:sz w:val="16"/>
                <w:szCs w:val="16"/>
                <w:lang w:val="en-US"/>
              </w:rPr>
              <w:t xml:space="preserve"> and </w:t>
            </w:r>
            <w:r w:rsidR="000855DC" w:rsidRPr="00ED4D49">
              <w:rPr>
                <w:bCs/>
                <w:sz w:val="16"/>
                <w:szCs w:val="16"/>
                <w:lang w:val="en-US"/>
              </w:rPr>
              <w:t xml:space="preserve">the </w:t>
            </w:r>
            <w:r w:rsidRPr="00ED4D49">
              <w:rPr>
                <w:bCs/>
                <w:sz w:val="16"/>
                <w:szCs w:val="16"/>
                <w:lang w:val="en-US"/>
              </w:rPr>
              <w:t xml:space="preserve">mitigation hierarchy will be applied. </w:t>
            </w:r>
            <w:r w:rsidR="00F5535E" w:rsidRPr="00ED4D49">
              <w:rPr>
                <w:bCs/>
                <w:sz w:val="16"/>
                <w:szCs w:val="16"/>
                <w:lang w:val="en-US"/>
              </w:rPr>
              <w:t xml:space="preserve">Development of site-specific ESMPs will be considered as part of screening and approval procedure. </w:t>
            </w:r>
            <w:r w:rsidR="00272385" w:rsidRPr="00ED4D49">
              <w:rPr>
                <w:bCs/>
                <w:sz w:val="16"/>
                <w:szCs w:val="16"/>
                <w:lang w:val="en-US"/>
              </w:rPr>
              <w:t>E</w:t>
            </w:r>
            <w:r w:rsidRPr="00ED4D49">
              <w:rPr>
                <w:bCs/>
                <w:sz w:val="16"/>
                <w:szCs w:val="16"/>
                <w:lang w:val="en-US"/>
              </w:rPr>
              <w:t>nvironmental screening will ensure that no activities with potential negative impact</w:t>
            </w:r>
            <w:r w:rsidR="000855DC" w:rsidRPr="00ED4D49">
              <w:rPr>
                <w:bCs/>
                <w:sz w:val="16"/>
                <w:szCs w:val="16"/>
                <w:lang w:val="en-US"/>
              </w:rPr>
              <w:t>s</w:t>
            </w:r>
            <w:r w:rsidRPr="00ED4D49">
              <w:rPr>
                <w:bCs/>
                <w:sz w:val="16"/>
                <w:szCs w:val="16"/>
                <w:lang w:val="en-US"/>
              </w:rPr>
              <w:t xml:space="preserve"> are eligible for funding in natural or critical habitats. In case of activities to be funded by the project and to be implemented in modified habitats, the project-level will present requirements to avoid or minimize the </w:t>
            </w:r>
            <w:r w:rsidRPr="00ED4D49">
              <w:rPr>
                <w:bCs/>
                <w:sz w:val="16"/>
                <w:szCs w:val="16"/>
                <w:lang w:val="en-US"/>
              </w:rPr>
              <w:lastRenderedPageBreak/>
              <w:t xml:space="preserve">respective impacts on biodiversity and implement mitigation measures as appropriate. </w:t>
            </w:r>
          </w:p>
        </w:tc>
      </w:tr>
      <w:tr w:rsidR="00AA40F6" w:rsidRPr="00ED4D49" w14:paraId="6D33C5C0" w14:textId="77777777" w:rsidTr="0084744B">
        <w:tc>
          <w:tcPr>
            <w:tcW w:w="704" w:type="dxa"/>
          </w:tcPr>
          <w:p w14:paraId="4AE77A99" w14:textId="77777777" w:rsidR="00AA40F6" w:rsidRPr="00ED4D49" w:rsidRDefault="00AA40F6" w:rsidP="00EB256A">
            <w:pPr>
              <w:rPr>
                <w:bCs/>
                <w:sz w:val="16"/>
                <w:szCs w:val="16"/>
                <w:lang w:val="en-US"/>
              </w:rPr>
            </w:pPr>
            <w:r w:rsidRPr="00ED4D49">
              <w:rPr>
                <w:bCs/>
                <w:sz w:val="16"/>
                <w:szCs w:val="16"/>
                <w:lang w:val="en-US"/>
              </w:rPr>
              <w:lastRenderedPageBreak/>
              <w:t>ESS8</w:t>
            </w:r>
          </w:p>
        </w:tc>
        <w:tc>
          <w:tcPr>
            <w:tcW w:w="2552" w:type="dxa"/>
          </w:tcPr>
          <w:p w14:paraId="2D570BB6" w14:textId="77777777" w:rsidR="00AA40F6" w:rsidRPr="00ED4D49" w:rsidRDefault="00AA40F6" w:rsidP="00EB256A">
            <w:pPr>
              <w:rPr>
                <w:bCs/>
                <w:sz w:val="16"/>
                <w:szCs w:val="16"/>
                <w:lang w:val="en-US"/>
              </w:rPr>
            </w:pPr>
            <w:r w:rsidRPr="00ED4D49">
              <w:rPr>
                <w:bCs/>
                <w:sz w:val="16"/>
                <w:szCs w:val="16"/>
                <w:lang w:val="en-US"/>
              </w:rPr>
              <w:t>Cultural Heritage</w:t>
            </w:r>
          </w:p>
        </w:tc>
        <w:tc>
          <w:tcPr>
            <w:tcW w:w="5670" w:type="dxa"/>
          </w:tcPr>
          <w:p w14:paraId="7F690D92" w14:textId="002A85C7" w:rsidR="00AA40F6" w:rsidRPr="00ED4D49" w:rsidRDefault="00F5535E" w:rsidP="00F5535E">
            <w:pPr>
              <w:rPr>
                <w:bCs/>
                <w:sz w:val="16"/>
                <w:szCs w:val="16"/>
                <w:lang w:val="en-US"/>
              </w:rPr>
            </w:pPr>
            <w:r w:rsidRPr="00ED4D49">
              <w:rPr>
                <w:bCs/>
                <w:sz w:val="16"/>
                <w:szCs w:val="16"/>
                <w:lang w:val="en-US"/>
              </w:rPr>
              <w:t>Information that are available in the project appraisal phase indicate that</w:t>
            </w:r>
            <w:r w:rsidR="000855DC" w:rsidRPr="00ED4D49">
              <w:rPr>
                <w:bCs/>
                <w:sz w:val="16"/>
                <w:szCs w:val="16"/>
                <w:lang w:val="en-US"/>
              </w:rPr>
              <w:t xml:space="preserve"> it</w:t>
            </w:r>
            <w:r w:rsidRPr="00ED4D49">
              <w:rPr>
                <w:bCs/>
                <w:sz w:val="16"/>
                <w:szCs w:val="16"/>
                <w:lang w:val="en-US"/>
              </w:rPr>
              <w:t xml:space="preserve"> is very unlikely that there will be any interaction of construction works with known cultural heritage sites. In the event of chance finds, the Borrower will deal with it taking into account national legal requirements that are fully consistent with UNESCO and good international practice.</w:t>
            </w:r>
          </w:p>
        </w:tc>
      </w:tr>
      <w:tr w:rsidR="00AA40F6" w:rsidRPr="00ED4D49" w14:paraId="7868B39E" w14:textId="77777777" w:rsidTr="0084744B">
        <w:tc>
          <w:tcPr>
            <w:tcW w:w="704" w:type="dxa"/>
          </w:tcPr>
          <w:p w14:paraId="76364F28" w14:textId="77777777" w:rsidR="00AA40F6" w:rsidRPr="00ED4D49" w:rsidRDefault="00AA40F6" w:rsidP="00EB256A">
            <w:pPr>
              <w:rPr>
                <w:bCs/>
                <w:sz w:val="16"/>
                <w:szCs w:val="16"/>
                <w:lang w:val="en-US"/>
              </w:rPr>
            </w:pPr>
            <w:r w:rsidRPr="00ED4D49">
              <w:rPr>
                <w:bCs/>
                <w:sz w:val="16"/>
                <w:szCs w:val="16"/>
                <w:lang w:val="en-US"/>
              </w:rPr>
              <w:t>ESS10</w:t>
            </w:r>
          </w:p>
        </w:tc>
        <w:tc>
          <w:tcPr>
            <w:tcW w:w="2552" w:type="dxa"/>
          </w:tcPr>
          <w:p w14:paraId="1C87ADD7" w14:textId="77777777" w:rsidR="00AA40F6" w:rsidRPr="00ED4D49" w:rsidRDefault="00AA40F6" w:rsidP="00EB256A">
            <w:pPr>
              <w:rPr>
                <w:bCs/>
                <w:sz w:val="16"/>
                <w:szCs w:val="16"/>
                <w:lang w:val="en-US"/>
              </w:rPr>
            </w:pPr>
            <w:r w:rsidRPr="00ED4D49">
              <w:rPr>
                <w:bCs/>
                <w:sz w:val="16"/>
                <w:szCs w:val="16"/>
                <w:lang w:val="en-US"/>
              </w:rPr>
              <w:t>Stakeholder Engagement and Information Disclosure</w:t>
            </w:r>
          </w:p>
        </w:tc>
        <w:tc>
          <w:tcPr>
            <w:tcW w:w="5670" w:type="dxa"/>
          </w:tcPr>
          <w:p w14:paraId="1C24D1C5" w14:textId="6B0C120D" w:rsidR="00AA40F6" w:rsidRPr="00ED4D49" w:rsidRDefault="0084744B" w:rsidP="00EB256A">
            <w:pPr>
              <w:rPr>
                <w:bCs/>
                <w:sz w:val="16"/>
                <w:szCs w:val="16"/>
                <w:lang w:val="en-US"/>
              </w:rPr>
            </w:pPr>
            <w:r w:rsidRPr="00ED4D49">
              <w:rPr>
                <w:bCs/>
                <w:sz w:val="16"/>
                <w:szCs w:val="16"/>
                <w:lang w:val="en-US"/>
              </w:rPr>
              <w:t xml:space="preserve">This ESS guides </w:t>
            </w:r>
            <w:r w:rsidR="000855DC" w:rsidRPr="00ED4D49">
              <w:rPr>
                <w:bCs/>
                <w:sz w:val="16"/>
                <w:szCs w:val="16"/>
                <w:lang w:val="en-US"/>
              </w:rPr>
              <w:t xml:space="preserve">the </w:t>
            </w:r>
            <w:r w:rsidRPr="00ED4D49">
              <w:rPr>
                <w:bCs/>
                <w:sz w:val="16"/>
                <w:szCs w:val="16"/>
                <w:lang w:val="en-US"/>
              </w:rPr>
              <w:t xml:space="preserve">inclusion of relevant stakeholders in the project lifecycle. In line with the requirements of this ESS, </w:t>
            </w:r>
            <w:r w:rsidR="000855DC" w:rsidRPr="00ED4D49">
              <w:rPr>
                <w:bCs/>
                <w:sz w:val="16"/>
                <w:szCs w:val="16"/>
                <w:lang w:val="en-US"/>
              </w:rPr>
              <w:t xml:space="preserve">a </w:t>
            </w:r>
            <w:r w:rsidRPr="00ED4D49">
              <w:rPr>
                <w:bCs/>
                <w:sz w:val="16"/>
                <w:szCs w:val="16"/>
                <w:lang w:val="en-US"/>
              </w:rPr>
              <w:t xml:space="preserve">Stakeholder Engagement Plan including </w:t>
            </w:r>
            <w:r w:rsidR="000855DC" w:rsidRPr="00ED4D49">
              <w:rPr>
                <w:bCs/>
                <w:sz w:val="16"/>
                <w:szCs w:val="16"/>
                <w:lang w:val="en-US"/>
              </w:rPr>
              <w:t xml:space="preserve">a </w:t>
            </w:r>
            <w:r w:rsidRPr="00ED4D49">
              <w:rPr>
                <w:bCs/>
                <w:sz w:val="16"/>
                <w:szCs w:val="16"/>
                <w:lang w:val="en-US"/>
              </w:rPr>
              <w:t xml:space="preserve">Grievance Mechanism </w:t>
            </w:r>
            <w:r w:rsidR="000855DC" w:rsidRPr="00ED4D49">
              <w:rPr>
                <w:bCs/>
                <w:sz w:val="16"/>
                <w:szCs w:val="16"/>
                <w:lang w:val="en-US"/>
              </w:rPr>
              <w:t>has been</w:t>
            </w:r>
            <w:r w:rsidRPr="00ED4D49">
              <w:rPr>
                <w:bCs/>
                <w:sz w:val="16"/>
                <w:szCs w:val="16"/>
                <w:lang w:val="en-US"/>
              </w:rPr>
              <w:t xml:space="preserve"> developed for this project. The main risk is associated with appropriate implementation of SEP.</w:t>
            </w:r>
          </w:p>
        </w:tc>
      </w:tr>
      <w:bookmarkEnd w:id="232"/>
    </w:tbl>
    <w:p w14:paraId="4924D049" w14:textId="77777777" w:rsidR="00214451" w:rsidRPr="00ED4D49" w:rsidRDefault="00214451" w:rsidP="00214451">
      <w:pPr>
        <w:rPr>
          <w:lang w:val="en-US"/>
        </w:rPr>
      </w:pPr>
    </w:p>
    <w:p w14:paraId="2B91D899" w14:textId="1F50641A" w:rsidR="007D67BC" w:rsidRPr="00ED4D49" w:rsidRDefault="007D1D57" w:rsidP="0063606C">
      <w:pPr>
        <w:pStyle w:val="Heading2"/>
      </w:pPr>
      <w:bookmarkStart w:id="233" w:name="_Toc31811100"/>
      <w:r w:rsidRPr="00ED4D49">
        <w:t>Preliminary Identif</w:t>
      </w:r>
      <w:r w:rsidR="00DA00BD" w:rsidRPr="00ED4D49">
        <w:t>ication of</w:t>
      </w:r>
      <w:r w:rsidRPr="00ED4D49">
        <w:t xml:space="preserve"> Potential E</w:t>
      </w:r>
      <w:r w:rsidR="00C27BB5" w:rsidRPr="00ED4D49">
        <w:t xml:space="preserve">&amp;S </w:t>
      </w:r>
      <w:r w:rsidRPr="00ED4D49">
        <w:t>Impacts with Proposed Mitigation Measures</w:t>
      </w:r>
      <w:bookmarkEnd w:id="233"/>
      <w:r w:rsidR="008F4C3A" w:rsidRPr="00ED4D49">
        <w:t xml:space="preserve"> </w:t>
      </w:r>
    </w:p>
    <w:p w14:paraId="53CBEB62" w14:textId="2CF38881" w:rsidR="007D67BC" w:rsidRPr="00ED4D49" w:rsidRDefault="007D67BC" w:rsidP="007D67BC">
      <w:pPr>
        <w:rPr>
          <w:lang w:val="en-US"/>
        </w:rPr>
      </w:pPr>
      <w:bookmarkStart w:id="234" w:name="_Hlk25324056"/>
      <w:r w:rsidRPr="00ED4D49">
        <w:rPr>
          <w:lang w:val="en-US"/>
        </w:rPr>
        <w:t xml:space="preserve">The </w:t>
      </w:r>
      <w:r w:rsidR="006C36AA" w:rsidRPr="00ED4D49">
        <w:rPr>
          <w:lang w:val="en-US"/>
        </w:rPr>
        <w:t>proposed SDIP</w:t>
      </w:r>
      <w:r w:rsidRPr="00ED4D49">
        <w:rPr>
          <w:lang w:val="en-US"/>
        </w:rPr>
        <w:t xml:space="preserve"> components </w:t>
      </w:r>
      <w:r w:rsidR="006C36AA" w:rsidRPr="00ED4D49">
        <w:rPr>
          <w:lang w:val="en-US"/>
        </w:rPr>
        <w:t>and</w:t>
      </w:r>
      <w:r w:rsidRPr="00ED4D49">
        <w:rPr>
          <w:lang w:val="en-US"/>
        </w:rPr>
        <w:t xml:space="preserve"> sub-components </w:t>
      </w:r>
      <w:r w:rsidR="006C36AA" w:rsidRPr="00ED4D49">
        <w:rPr>
          <w:lang w:val="en-US"/>
        </w:rPr>
        <w:t>are</w:t>
      </w:r>
      <w:r w:rsidRPr="00ED4D49">
        <w:rPr>
          <w:lang w:val="en-US"/>
        </w:rPr>
        <w:t xml:space="preserve"> </w:t>
      </w:r>
      <w:r w:rsidR="00DC6A3D" w:rsidRPr="00ED4D49">
        <w:rPr>
          <w:lang w:val="en-US"/>
        </w:rPr>
        <w:t>briefly</w:t>
      </w:r>
      <w:r w:rsidR="001C2E14" w:rsidRPr="00ED4D49">
        <w:rPr>
          <w:lang w:val="en-US"/>
        </w:rPr>
        <w:t xml:space="preserve"> </w:t>
      </w:r>
      <w:r w:rsidRPr="00ED4D49">
        <w:rPr>
          <w:lang w:val="en-US"/>
        </w:rPr>
        <w:t>described in the table below</w:t>
      </w:r>
      <w:r w:rsidR="006C36AA" w:rsidRPr="00ED4D49">
        <w:rPr>
          <w:lang w:val="en-US"/>
        </w:rPr>
        <w:t>.</w:t>
      </w:r>
      <w:r w:rsidRPr="00ED4D49">
        <w:rPr>
          <w:lang w:val="en-US"/>
        </w:rPr>
        <w:t xml:space="preserve"> </w:t>
      </w:r>
    </w:p>
    <w:p w14:paraId="2317C7F9" w14:textId="71D1D833" w:rsidR="001C2E14" w:rsidRPr="00ED4D49" w:rsidRDefault="001C2E14" w:rsidP="001C2E14">
      <w:pPr>
        <w:pStyle w:val="Caption"/>
        <w:spacing w:line="276" w:lineRule="auto"/>
        <w:rPr>
          <w:rFonts w:cs="Calibri"/>
          <w:b w:val="0"/>
          <w:i/>
          <w:color w:val="auto"/>
          <w:sz w:val="16"/>
          <w:szCs w:val="24"/>
        </w:rPr>
      </w:pPr>
      <w:bookmarkStart w:id="235" w:name="_Toc28188048"/>
      <w:bookmarkEnd w:id="234"/>
      <w:r w:rsidRPr="00ED4D49">
        <w:rPr>
          <w:rFonts w:cs="Calibri"/>
          <w:b w:val="0"/>
          <w:i/>
          <w:color w:val="1F497D"/>
          <w:sz w:val="16"/>
        </w:rPr>
        <w:t xml:space="preserve">Table </w:t>
      </w:r>
      <w:r w:rsidRPr="00ED4D49">
        <w:rPr>
          <w:rFonts w:cs="Calibri"/>
          <w:b w:val="0"/>
          <w:i/>
          <w:color w:val="1F497D"/>
          <w:sz w:val="16"/>
        </w:rPr>
        <w:fldChar w:fldCharType="begin"/>
      </w:r>
      <w:r w:rsidRPr="00ED4D49">
        <w:rPr>
          <w:rFonts w:cs="Calibri"/>
          <w:b w:val="0"/>
          <w:i/>
          <w:color w:val="1F497D"/>
          <w:sz w:val="16"/>
        </w:rPr>
        <w:instrText xml:space="preserve"> SEQ Table \* ARABIC </w:instrText>
      </w:r>
      <w:r w:rsidRPr="00ED4D49">
        <w:rPr>
          <w:rFonts w:cs="Calibri"/>
          <w:b w:val="0"/>
          <w:i/>
          <w:color w:val="1F497D"/>
          <w:sz w:val="16"/>
        </w:rPr>
        <w:fldChar w:fldCharType="separate"/>
      </w:r>
      <w:r w:rsidR="00F60130" w:rsidRPr="00ED4D49">
        <w:rPr>
          <w:rFonts w:cs="Calibri"/>
          <w:b w:val="0"/>
          <w:i/>
          <w:noProof/>
          <w:color w:val="1F497D"/>
          <w:sz w:val="16"/>
        </w:rPr>
        <w:t>23</w:t>
      </w:r>
      <w:r w:rsidRPr="00ED4D49">
        <w:rPr>
          <w:rFonts w:cs="Calibri"/>
          <w:b w:val="0"/>
          <w:i/>
          <w:color w:val="1F497D"/>
          <w:sz w:val="16"/>
        </w:rPr>
        <w:fldChar w:fldCharType="end"/>
      </w:r>
      <w:r w:rsidRPr="00ED4D49">
        <w:rPr>
          <w:rFonts w:cs="Calibri"/>
          <w:b w:val="0"/>
          <w:i/>
          <w:color w:val="1F497D"/>
          <w:sz w:val="16"/>
        </w:rPr>
        <w:t>:</w:t>
      </w:r>
      <w:r w:rsidRPr="00ED4D49">
        <w:rPr>
          <w:rFonts w:cs="Calibri"/>
          <w:b w:val="0"/>
          <w:i/>
          <w:color w:val="auto"/>
          <w:sz w:val="16"/>
        </w:rPr>
        <w:t xml:space="preserve"> Description of project components</w:t>
      </w:r>
      <w:bookmarkEnd w:id="235"/>
      <w:r w:rsidRPr="00ED4D49">
        <w:rPr>
          <w:rFonts w:cs="Calibri"/>
          <w:b w:val="0"/>
          <w:i/>
          <w:color w:val="auto"/>
          <w:sz w:val="16"/>
        </w:rPr>
        <w:t xml:space="preserve"> </w:t>
      </w:r>
    </w:p>
    <w:tbl>
      <w:tblPr>
        <w:tblStyle w:val="TableGridLight"/>
        <w:tblW w:w="0" w:type="auto"/>
        <w:tblLook w:val="04A0" w:firstRow="1" w:lastRow="0" w:firstColumn="1" w:lastColumn="0" w:noHBand="0" w:noVBand="1"/>
      </w:tblPr>
      <w:tblGrid>
        <w:gridCol w:w="2122"/>
        <w:gridCol w:w="2409"/>
        <w:gridCol w:w="4479"/>
      </w:tblGrid>
      <w:tr w:rsidR="007D67BC" w:rsidRPr="00ED4D49" w14:paraId="4A62A4AC" w14:textId="77777777" w:rsidTr="00F34C60">
        <w:trPr>
          <w:tblHeader/>
        </w:trPr>
        <w:tc>
          <w:tcPr>
            <w:tcW w:w="2122" w:type="dxa"/>
          </w:tcPr>
          <w:p w14:paraId="0C234FA8" w14:textId="37141B20" w:rsidR="007D67BC" w:rsidRPr="00ED4D49" w:rsidRDefault="007D67BC" w:rsidP="00DC6A3D">
            <w:pPr>
              <w:spacing w:before="0" w:after="0"/>
              <w:ind w:right="144"/>
              <w:rPr>
                <w:rFonts w:cs="Calibri"/>
                <w:color w:val="336699"/>
                <w:sz w:val="16"/>
                <w:szCs w:val="16"/>
                <w:lang w:val="en-US"/>
              </w:rPr>
            </w:pPr>
            <w:r w:rsidRPr="00ED4D49">
              <w:rPr>
                <w:rFonts w:cs="Calibri"/>
                <w:color w:val="336699"/>
                <w:sz w:val="16"/>
                <w:szCs w:val="16"/>
                <w:lang w:val="en-US"/>
              </w:rPr>
              <w:t>Component</w:t>
            </w:r>
          </w:p>
        </w:tc>
        <w:tc>
          <w:tcPr>
            <w:tcW w:w="2409" w:type="dxa"/>
          </w:tcPr>
          <w:p w14:paraId="41B3A8F0" w14:textId="1F0FFF6B" w:rsidR="007D67BC" w:rsidRPr="00ED4D49" w:rsidRDefault="007D67BC" w:rsidP="00DC6A3D">
            <w:pPr>
              <w:spacing w:before="0" w:after="0"/>
              <w:ind w:right="144"/>
              <w:rPr>
                <w:rFonts w:cs="Calibri"/>
                <w:color w:val="336699"/>
                <w:sz w:val="16"/>
                <w:szCs w:val="16"/>
                <w:lang w:val="en-US"/>
              </w:rPr>
            </w:pPr>
            <w:r w:rsidRPr="00ED4D49">
              <w:rPr>
                <w:rFonts w:cs="Calibri"/>
                <w:color w:val="336699"/>
                <w:sz w:val="16"/>
                <w:szCs w:val="16"/>
                <w:lang w:val="en-US"/>
              </w:rPr>
              <w:t>Sub-component</w:t>
            </w:r>
          </w:p>
        </w:tc>
        <w:tc>
          <w:tcPr>
            <w:tcW w:w="4479" w:type="dxa"/>
          </w:tcPr>
          <w:p w14:paraId="2464CEEA" w14:textId="7F0B6609" w:rsidR="007D67BC" w:rsidRPr="00ED4D49" w:rsidRDefault="007D67BC" w:rsidP="00DC6A3D">
            <w:pPr>
              <w:spacing w:before="0" w:after="0"/>
              <w:ind w:right="144"/>
              <w:rPr>
                <w:rFonts w:cs="Calibri"/>
                <w:color w:val="336699"/>
                <w:sz w:val="16"/>
                <w:szCs w:val="16"/>
                <w:lang w:val="en-US"/>
              </w:rPr>
            </w:pPr>
            <w:r w:rsidRPr="00ED4D49">
              <w:rPr>
                <w:rFonts w:cs="Calibri"/>
                <w:color w:val="336699"/>
                <w:sz w:val="16"/>
                <w:szCs w:val="16"/>
                <w:lang w:val="en-US"/>
              </w:rPr>
              <w:t>Sub-component description</w:t>
            </w:r>
          </w:p>
        </w:tc>
      </w:tr>
      <w:tr w:rsidR="00D04572" w:rsidRPr="00ED4D49" w14:paraId="39EEBC1E" w14:textId="77777777" w:rsidTr="00F34C60">
        <w:tc>
          <w:tcPr>
            <w:tcW w:w="2122" w:type="dxa"/>
            <w:vMerge w:val="restart"/>
            <w:vAlign w:val="center"/>
          </w:tcPr>
          <w:p w14:paraId="6AF370A2" w14:textId="77777777" w:rsidR="00D04572" w:rsidRPr="00ED4D49" w:rsidRDefault="00D04572" w:rsidP="00D04572">
            <w:pPr>
              <w:rPr>
                <w:sz w:val="16"/>
                <w:szCs w:val="16"/>
                <w:lang w:val="en-US"/>
              </w:rPr>
            </w:pPr>
            <w:r w:rsidRPr="00ED4D49">
              <w:rPr>
                <w:rFonts w:cs="Calibri"/>
                <w:color w:val="000000"/>
                <w:sz w:val="16"/>
                <w:szCs w:val="16"/>
                <w:lang w:val="en-US" w:eastAsia="bs-Latn-BA"/>
              </w:rPr>
              <w:t>Component 1: Integrated Management and Development of the Sava River</w:t>
            </w:r>
          </w:p>
          <w:p w14:paraId="45544721" w14:textId="7443B81B" w:rsidR="00D04572" w:rsidRPr="00ED4D49" w:rsidRDefault="00D04572" w:rsidP="00D04572">
            <w:pPr>
              <w:rPr>
                <w:sz w:val="16"/>
                <w:szCs w:val="16"/>
                <w:lang w:val="en-US"/>
              </w:rPr>
            </w:pPr>
          </w:p>
        </w:tc>
        <w:tc>
          <w:tcPr>
            <w:tcW w:w="2409" w:type="dxa"/>
          </w:tcPr>
          <w:p w14:paraId="5E2A3F25" w14:textId="77777777" w:rsidR="00D16B63" w:rsidRPr="00ED4D49" w:rsidRDefault="00D16B63" w:rsidP="00D16B63">
            <w:pPr>
              <w:rPr>
                <w:rFonts w:cs="Calibri"/>
                <w:color w:val="000000"/>
                <w:sz w:val="16"/>
                <w:szCs w:val="16"/>
                <w:lang w:val="en-US" w:eastAsia="bs-Latn-BA"/>
              </w:rPr>
            </w:pPr>
            <w:r w:rsidRPr="00ED4D49">
              <w:rPr>
                <w:rFonts w:cs="Calibri"/>
                <w:color w:val="000000"/>
                <w:sz w:val="16"/>
                <w:szCs w:val="16"/>
                <w:lang w:val="en-US" w:eastAsia="bs-Latn-BA"/>
              </w:rPr>
              <w:t>Sub-component 1.1: Flood protection and environmental management</w:t>
            </w:r>
          </w:p>
          <w:p w14:paraId="4D39A55D" w14:textId="66BF1120" w:rsidR="00D04572" w:rsidRPr="00ED4D49" w:rsidRDefault="00D04572" w:rsidP="00D16B63">
            <w:pPr>
              <w:rPr>
                <w:rFonts w:cs="Calibri"/>
                <w:color w:val="000000"/>
                <w:sz w:val="16"/>
                <w:szCs w:val="16"/>
                <w:lang w:val="en-US" w:eastAsia="bs-Latn-BA"/>
              </w:rPr>
            </w:pPr>
          </w:p>
        </w:tc>
        <w:tc>
          <w:tcPr>
            <w:tcW w:w="4479" w:type="dxa"/>
          </w:tcPr>
          <w:p w14:paraId="2B3F76A1" w14:textId="0D999E3B" w:rsidR="00D16B63" w:rsidRPr="00ED4D49" w:rsidRDefault="00D16B63" w:rsidP="00D16B63">
            <w:pPr>
              <w:rPr>
                <w:rFonts w:cs="Calibri"/>
                <w:color w:val="000000"/>
                <w:sz w:val="16"/>
                <w:szCs w:val="16"/>
                <w:lang w:val="en-US" w:eastAsia="bs-Latn-BA"/>
              </w:rPr>
            </w:pPr>
            <w:r w:rsidRPr="00ED4D49">
              <w:rPr>
                <w:rFonts w:cs="Calibri"/>
                <w:color w:val="000000"/>
                <w:sz w:val="16"/>
                <w:szCs w:val="16"/>
                <w:lang w:val="en-US" w:eastAsia="bs-Latn-BA"/>
              </w:rPr>
              <w:t xml:space="preserve">Construction and rehabilitation of embankment and dykes in </w:t>
            </w:r>
            <w:proofErr w:type="spellStart"/>
            <w:r w:rsidRPr="00ED4D49">
              <w:rPr>
                <w:rFonts w:cs="Calibri"/>
                <w:color w:val="000000"/>
                <w:sz w:val="16"/>
                <w:szCs w:val="16"/>
                <w:lang w:val="en-US" w:eastAsia="bs-Latn-BA"/>
              </w:rPr>
              <w:t>Republika</w:t>
            </w:r>
            <w:proofErr w:type="spellEnd"/>
            <w:r w:rsidRPr="00ED4D49">
              <w:rPr>
                <w:rFonts w:cs="Calibri"/>
                <w:color w:val="000000"/>
                <w:sz w:val="16"/>
                <w:szCs w:val="16"/>
                <w:lang w:val="en-US" w:eastAsia="bs-Latn-BA"/>
              </w:rPr>
              <w:t xml:space="preserve"> Srpska</w:t>
            </w:r>
          </w:p>
          <w:p w14:paraId="3CB6C0F3" w14:textId="4A509DD3" w:rsidR="00D16B63" w:rsidRPr="00ED4D49" w:rsidRDefault="00D16B63" w:rsidP="00D16B63">
            <w:pPr>
              <w:rPr>
                <w:rFonts w:cs="Calibri"/>
                <w:color w:val="000000"/>
                <w:sz w:val="16"/>
                <w:szCs w:val="16"/>
                <w:lang w:val="en-US" w:eastAsia="bs-Latn-BA"/>
              </w:rPr>
            </w:pPr>
            <w:r w:rsidRPr="00ED4D49">
              <w:rPr>
                <w:rFonts w:cs="Calibri"/>
                <w:color w:val="000000"/>
                <w:sz w:val="16"/>
                <w:szCs w:val="16"/>
                <w:lang w:val="en-US" w:eastAsia="bs-Latn-BA"/>
              </w:rPr>
              <w:t xml:space="preserve">Reforestation in </w:t>
            </w:r>
            <w:proofErr w:type="spellStart"/>
            <w:r w:rsidRPr="00ED4D49">
              <w:rPr>
                <w:rFonts w:cs="Calibri"/>
                <w:color w:val="000000"/>
                <w:sz w:val="16"/>
                <w:szCs w:val="16"/>
                <w:lang w:val="en-US" w:eastAsia="bs-Latn-BA"/>
              </w:rPr>
              <w:t>Vrbanja</w:t>
            </w:r>
            <w:proofErr w:type="spellEnd"/>
            <w:r w:rsidRPr="00ED4D49">
              <w:rPr>
                <w:rFonts w:cs="Calibri"/>
                <w:color w:val="000000"/>
                <w:sz w:val="16"/>
                <w:szCs w:val="16"/>
                <w:lang w:val="en-US" w:eastAsia="bs-Latn-BA"/>
              </w:rPr>
              <w:t>, Vrbas and Sava River basin</w:t>
            </w:r>
          </w:p>
          <w:p w14:paraId="4A150889" w14:textId="0506F88F" w:rsidR="00D16B63" w:rsidRPr="00ED4D49" w:rsidRDefault="00D16B63" w:rsidP="00D16B63">
            <w:pPr>
              <w:rPr>
                <w:rFonts w:cs="Calibri"/>
                <w:color w:val="000000"/>
                <w:sz w:val="16"/>
                <w:szCs w:val="16"/>
                <w:lang w:val="en-US" w:eastAsia="bs-Latn-BA"/>
              </w:rPr>
            </w:pPr>
            <w:r w:rsidRPr="00ED4D49">
              <w:rPr>
                <w:rFonts w:cs="Calibri"/>
                <w:color w:val="000000"/>
                <w:sz w:val="16"/>
                <w:szCs w:val="16"/>
                <w:lang w:val="en-US" w:eastAsia="bs-Latn-BA"/>
              </w:rPr>
              <w:t>Protection of ecological environment and biodiversity of Una River</w:t>
            </w:r>
          </w:p>
          <w:p w14:paraId="6BD7F5E1" w14:textId="77777777" w:rsidR="00EA3252" w:rsidRPr="00ED4D49" w:rsidRDefault="00D16B63" w:rsidP="00EA3252">
            <w:pPr>
              <w:pStyle w:val="ListParagraph"/>
              <w:ind w:left="0"/>
              <w:rPr>
                <w:rFonts w:cs="Calibri"/>
                <w:color w:val="000000"/>
                <w:sz w:val="16"/>
                <w:szCs w:val="16"/>
                <w:lang w:eastAsia="bs-Latn-BA"/>
              </w:rPr>
            </w:pPr>
            <w:r w:rsidRPr="00ED4D49">
              <w:rPr>
                <w:rFonts w:cs="Calibri"/>
                <w:color w:val="000000"/>
                <w:sz w:val="16"/>
                <w:szCs w:val="16"/>
                <w:lang w:eastAsia="bs-Latn-BA"/>
              </w:rPr>
              <w:t xml:space="preserve">Purchase of equipment in </w:t>
            </w:r>
            <w:proofErr w:type="spellStart"/>
            <w:r w:rsidRPr="00ED4D49">
              <w:rPr>
                <w:rFonts w:cs="Calibri"/>
                <w:color w:val="000000"/>
                <w:sz w:val="16"/>
                <w:szCs w:val="16"/>
                <w:lang w:eastAsia="bs-Latn-BA"/>
              </w:rPr>
              <w:t>Republika</w:t>
            </w:r>
            <w:proofErr w:type="spellEnd"/>
            <w:r w:rsidRPr="00ED4D49">
              <w:rPr>
                <w:rFonts w:cs="Calibri"/>
                <w:color w:val="000000"/>
                <w:sz w:val="16"/>
                <w:szCs w:val="16"/>
                <w:lang w:eastAsia="bs-Latn-BA"/>
              </w:rPr>
              <w:t xml:space="preserve"> Srpska</w:t>
            </w:r>
          </w:p>
          <w:p w14:paraId="31E7551B" w14:textId="77777777" w:rsidR="00EA3252" w:rsidRPr="00ED4D49" w:rsidRDefault="00EA3252" w:rsidP="00EA3252">
            <w:pPr>
              <w:pStyle w:val="ListParagraph"/>
              <w:ind w:left="0"/>
              <w:rPr>
                <w:rFonts w:cs="Calibri"/>
                <w:color w:val="000000"/>
                <w:sz w:val="16"/>
                <w:szCs w:val="16"/>
                <w:lang w:eastAsia="bs-Latn-BA"/>
              </w:rPr>
            </w:pPr>
          </w:p>
          <w:p w14:paraId="38F3A39C" w14:textId="77777777" w:rsidR="00EA3252" w:rsidRPr="00ED4D49" w:rsidRDefault="00EA3252" w:rsidP="00EA3252">
            <w:pPr>
              <w:pStyle w:val="ListParagraph"/>
              <w:ind w:left="0"/>
              <w:rPr>
                <w:rFonts w:cs="Calibri"/>
                <w:color w:val="000000"/>
                <w:sz w:val="16"/>
                <w:szCs w:val="16"/>
                <w:lang w:eastAsia="bs-Latn-BA"/>
              </w:rPr>
            </w:pPr>
            <w:r w:rsidRPr="00ED4D49">
              <w:rPr>
                <w:rFonts w:cs="Calibri"/>
                <w:color w:val="000000"/>
                <w:sz w:val="16"/>
                <w:szCs w:val="16"/>
                <w:lang w:eastAsia="bs-Latn-BA"/>
              </w:rPr>
              <w:t>Brčko District landfill rehabilitation and its closure</w:t>
            </w:r>
          </w:p>
          <w:p w14:paraId="3AF1CCAE" w14:textId="77777777" w:rsidR="00EA3252" w:rsidRPr="00ED4D49" w:rsidRDefault="00EA3252" w:rsidP="00EA3252">
            <w:pPr>
              <w:pStyle w:val="ListParagraph"/>
              <w:ind w:left="0"/>
              <w:rPr>
                <w:rFonts w:cs="Calibri"/>
                <w:color w:val="000000"/>
                <w:sz w:val="16"/>
                <w:szCs w:val="16"/>
                <w:lang w:eastAsia="bs-Latn-BA"/>
              </w:rPr>
            </w:pPr>
          </w:p>
          <w:p w14:paraId="57DC32C8" w14:textId="77777777" w:rsidR="00EA3252" w:rsidRPr="00ED4D49" w:rsidRDefault="00EA3252" w:rsidP="00EA3252">
            <w:pPr>
              <w:pStyle w:val="ListParagraph"/>
              <w:ind w:left="0"/>
              <w:rPr>
                <w:rFonts w:cs="Calibri"/>
                <w:color w:val="000000"/>
                <w:sz w:val="16"/>
                <w:szCs w:val="16"/>
                <w:lang w:eastAsia="bs-Latn-BA"/>
              </w:rPr>
            </w:pPr>
            <w:r w:rsidRPr="00ED4D49">
              <w:rPr>
                <w:rFonts w:cs="Calibri"/>
                <w:color w:val="000000"/>
                <w:sz w:val="16"/>
                <w:szCs w:val="16"/>
                <w:lang w:eastAsia="bs-Latn-BA"/>
              </w:rPr>
              <w:t>Construction of Center for Solid Waste Management (location “</w:t>
            </w:r>
            <w:proofErr w:type="spellStart"/>
            <w:r w:rsidRPr="00ED4D49">
              <w:rPr>
                <w:rFonts w:cs="Calibri"/>
                <w:color w:val="000000"/>
                <w:sz w:val="16"/>
                <w:szCs w:val="16"/>
                <w:lang w:eastAsia="bs-Latn-BA"/>
              </w:rPr>
              <w:t>Kladje</w:t>
            </w:r>
            <w:proofErr w:type="spellEnd"/>
            <w:r w:rsidRPr="00ED4D49">
              <w:rPr>
                <w:rFonts w:cs="Calibri"/>
                <w:color w:val="000000"/>
                <w:sz w:val="16"/>
                <w:szCs w:val="16"/>
                <w:lang w:eastAsia="bs-Latn-BA"/>
              </w:rPr>
              <w:t>”)</w:t>
            </w:r>
          </w:p>
          <w:p w14:paraId="57428B49" w14:textId="77777777" w:rsidR="00EA3252" w:rsidRPr="00ED4D49" w:rsidRDefault="00EA3252" w:rsidP="00EA3252">
            <w:pPr>
              <w:pStyle w:val="ListParagraph"/>
              <w:ind w:left="0"/>
              <w:rPr>
                <w:rFonts w:cs="Calibri"/>
                <w:color w:val="000000"/>
                <w:sz w:val="16"/>
                <w:szCs w:val="16"/>
                <w:lang w:eastAsia="bs-Latn-BA"/>
              </w:rPr>
            </w:pPr>
          </w:p>
          <w:p w14:paraId="51FCFB74" w14:textId="77777777" w:rsidR="00EA3252" w:rsidRPr="00ED4D49" w:rsidRDefault="00EA3252" w:rsidP="00EA3252">
            <w:pPr>
              <w:pStyle w:val="ListParagraph"/>
              <w:ind w:left="0"/>
              <w:rPr>
                <w:rFonts w:cs="Calibri"/>
                <w:color w:val="000000"/>
                <w:sz w:val="16"/>
                <w:szCs w:val="16"/>
                <w:lang w:eastAsia="bs-Latn-BA"/>
              </w:rPr>
            </w:pPr>
            <w:r w:rsidRPr="00ED4D49">
              <w:rPr>
                <w:rFonts w:cs="Calibri"/>
                <w:color w:val="000000"/>
                <w:sz w:val="16"/>
                <w:szCs w:val="16"/>
                <w:lang w:eastAsia="bs-Latn-BA"/>
              </w:rPr>
              <w:t xml:space="preserve">Regulation of part of the </w:t>
            </w:r>
            <w:proofErr w:type="spellStart"/>
            <w:r w:rsidRPr="00ED4D49">
              <w:rPr>
                <w:rFonts w:cs="Calibri"/>
                <w:color w:val="000000"/>
                <w:sz w:val="16"/>
                <w:szCs w:val="16"/>
                <w:lang w:eastAsia="bs-Latn-BA"/>
              </w:rPr>
              <w:t>Waterstream</w:t>
            </w:r>
            <w:proofErr w:type="spellEnd"/>
            <w:r w:rsidRPr="00ED4D49">
              <w:rPr>
                <w:rFonts w:cs="Calibri"/>
                <w:color w:val="000000"/>
                <w:sz w:val="16"/>
                <w:szCs w:val="16"/>
                <w:lang w:eastAsia="bs-Latn-BA"/>
              </w:rPr>
              <w:t xml:space="preserve"> / creek “</w:t>
            </w:r>
            <w:proofErr w:type="spellStart"/>
            <w:r w:rsidRPr="00ED4D49">
              <w:rPr>
                <w:rFonts w:cs="Calibri"/>
                <w:color w:val="000000"/>
                <w:sz w:val="16"/>
                <w:szCs w:val="16"/>
                <w:lang w:eastAsia="bs-Latn-BA"/>
              </w:rPr>
              <w:t>Blizna</w:t>
            </w:r>
            <w:proofErr w:type="spellEnd"/>
            <w:r w:rsidRPr="00ED4D49">
              <w:rPr>
                <w:rFonts w:cs="Calibri"/>
                <w:color w:val="000000"/>
                <w:sz w:val="16"/>
                <w:szCs w:val="16"/>
                <w:lang w:eastAsia="bs-Latn-BA"/>
              </w:rPr>
              <w:t>” in Brčko District (part I and part II)</w:t>
            </w:r>
          </w:p>
          <w:p w14:paraId="7F4DEBC1" w14:textId="77777777" w:rsidR="00EA3252" w:rsidRPr="00ED4D49" w:rsidRDefault="00EA3252" w:rsidP="00EA3252">
            <w:pPr>
              <w:pStyle w:val="ListParagraph"/>
              <w:ind w:left="0"/>
              <w:rPr>
                <w:rFonts w:cs="Calibri"/>
                <w:color w:val="000000"/>
                <w:sz w:val="16"/>
                <w:szCs w:val="16"/>
                <w:lang w:eastAsia="bs-Latn-BA"/>
              </w:rPr>
            </w:pPr>
          </w:p>
          <w:p w14:paraId="2B054189" w14:textId="3842271A" w:rsidR="00EA3252" w:rsidRPr="00ED4D49" w:rsidRDefault="00EA3252" w:rsidP="00EA3252">
            <w:pPr>
              <w:pStyle w:val="ListParagraph"/>
              <w:ind w:left="0"/>
              <w:rPr>
                <w:rFonts w:cs="Calibri"/>
                <w:color w:val="000000"/>
                <w:sz w:val="16"/>
                <w:szCs w:val="16"/>
                <w:lang w:eastAsia="bs-Latn-BA"/>
              </w:rPr>
            </w:pPr>
            <w:r w:rsidRPr="00ED4D49">
              <w:rPr>
                <w:rFonts w:cs="Calibri"/>
                <w:color w:val="000000"/>
                <w:sz w:val="16"/>
                <w:szCs w:val="16"/>
                <w:lang w:eastAsia="bs-Latn-BA"/>
              </w:rPr>
              <w:t>Regulation of the “</w:t>
            </w:r>
            <w:proofErr w:type="spellStart"/>
            <w:r w:rsidRPr="00ED4D49">
              <w:rPr>
                <w:rFonts w:cs="Calibri"/>
                <w:color w:val="000000"/>
                <w:sz w:val="16"/>
                <w:szCs w:val="16"/>
                <w:lang w:eastAsia="bs-Latn-BA"/>
              </w:rPr>
              <w:t>Brka</w:t>
            </w:r>
            <w:proofErr w:type="spellEnd"/>
            <w:r w:rsidRPr="00ED4D49">
              <w:rPr>
                <w:rFonts w:cs="Calibri"/>
                <w:color w:val="000000"/>
                <w:sz w:val="16"/>
                <w:szCs w:val="16"/>
                <w:lang w:eastAsia="bs-Latn-BA"/>
              </w:rPr>
              <w:t>” river upper watercourse from bridge on “</w:t>
            </w:r>
            <w:proofErr w:type="spellStart"/>
            <w:r w:rsidRPr="00ED4D49">
              <w:rPr>
                <w:rFonts w:cs="Calibri"/>
                <w:color w:val="000000"/>
                <w:sz w:val="16"/>
                <w:szCs w:val="16"/>
                <w:lang w:eastAsia="bs-Latn-BA"/>
              </w:rPr>
              <w:t>Kožara</w:t>
            </w:r>
            <w:proofErr w:type="spellEnd"/>
            <w:r w:rsidRPr="00ED4D49">
              <w:rPr>
                <w:rFonts w:cs="Calibri"/>
                <w:color w:val="000000"/>
                <w:sz w:val="16"/>
                <w:szCs w:val="16"/>
                <w:lang w:eastAsia="bs-Latn-BA"/>
              </w:rPr>
              <w:t>” toward railway bridge (</w:t>
            </w:r>
            <w:proofErr w:type="spellStart"/>
            <w:r w:rsidRPr="00ED4D49">
              <w:rPr>
                <w:rFonts w:cs="Calibri"/>
                <w:color w:val="000000"/>
                <w:sz w:val="16"/>
                <w:szCs w:val="16"/>
                <w:lang w:eastAsia="bs-Latn-BA"/>
              </w:rPr>
              <w:t>Lički</w:t>
            </w:r>
            <w:proofErr w:type="spellEnd"/>
            <w:r w:rsidRPr="00ED4D49">
              <w:rPr>
                <w:rFonts w:cs="Calibri"/>
                <w:color w:val="000000"/>
                <w:sz w:val="16"/>
                <w:szCs w:val="16"/>
                <w:lang w:eastAsia="bs-Latn-BA"/>
              </w:rPr>
              <w:t xml:space="preserve"> most)</w:t>
            </w:r>
          </w:p>
          <w:p w14:paraId="5CE2DE12" w14:textId="77777777" w:rsidR="00EA3252" w:rsidRPr="00ED4D49" w:rsidRDefault="00EA3252" w:rsidP="00EA3252">
            <w:pPr>
              <w:pStyle w:val="ListParagraph"/>
              <w:ind w:left="0"/>
              <w:rPr>
                <w:rFonts w:cs="Calibri"/>
                <w:color w:val="000000"/>
                <w:sz w:val="16"/>
                <w:szCs w:val="16"/>
                <w:lang w:eastAsia="bs-Latn-BA"/>
              </w:rPr>
            </w:pPr>
          </w:p>
          <w:p w14:paraId="776D9BC2" w14:textId="77777777" w:rsidR="004409DF" w:rsidRPr="00ED4D49" w:rsidRDefault="00EA3252" w:rsidP="00EA3252">
            <w:pPr>
              <w:pStyle w:val="ListParagraph"/>
              <w:ind w:left="0"/>
              <w:rPr>
                <w:rFonts w:cs="Calibri"/>
                <w:color w:val="000000"/>
                <w:sz w:val="16"/>
                <w:szCs w:val="16"/>
                <w:lang w:eastAsia="bs-Latn-BA"/>
              </w:rPr>
            </w:pPr>
            <w:r w:rsidRPr="00ED4D49">
              <w:rPr>
                <w:rFonts w:cs="Calibri"/>
                <w:color w:val="000000"/>
                <w:sz w:val="16"/>
                <w:szCs w:val="16"/>
                <w:lang w:eastAsia="bs-Latn-BA"/>
              </w:rPr>
              <w:t>Construction of the sidewalk and bicycle route along the right bank/side of the “Sava” river</w:t>
            </w:r>
          </w:p>
          <w:p w14:paraId="50A26B6C" w14:textId="77777777" w:rsidR="005465BB" w:rsidRPr="00ED4D49" w:rsidRDefault="005465BB" w:rsidP="00EA3252">
            <w:pPr>
              <w:pStyle w:val="ListParagraph"/>
              <w:ind w:left="0"/>
              <w:rPr>
                <w:rFonts w:cs="Calibri"/>
                <w:color w:val="000000"/>
                <w:sz w:val="16"/>
                <w:szCs w:val="16"/>
                <w:lang w:eastAsia="bs-Latn-BA"/>
              </w:rPr>
            </w:pPr>
          </w:p>
          <w:p w14:paraId="6686C776" w14:textId="77777777" w:rsidR="00F83BCB" w:rsidRPr="00ED4D49" w:rsidRDefault="00F83BCB" w:rsidP="00F83BCB">
            <w:pPr>
              <w:contextualSpacing/>
              <w:rPr>
                <w:rFonts w:asciiTheme="minorHAnsi" w:hAnsiTheme="minorHAnsi" w:cstheme="minorHAnsi"/>
                <w:color w:val="000000"/>
                <w:sz w:val="16"/>
                <w:szCs w:val="16"/>
                <w:lang w:val="en-US" w:eastAsia="bs-Latn-BA"/>
              </w:rPr>
            </w:pPr>
            <w:r w:rsidRPr="00ED4D49">
              <w:rPr>
                <w:rFonts w:asciiTheme="minorHAnsi" w:hAnsiTheme="minorHAnsi" w:cstheme="minorHAnsi"/>
                <w:color w:val="000000"/>
                <w:sz w:val="16"/>
                <w:szCs w:val="16"/>
                <w:lang w:val="en-US" w:eastAsia="bs-Latn-BA"/>
              </w:rPr>
              <w:t xml:space="preserve">Protection of Sava dykes in flood area in Central </w:t>
            </w:r>
            <w:proofErr w:type="spellStart"/>
            <w:r w:rsidRPr="00ED4D49">
              <w:rPr>
                <w:rFonts w:asciiTheme="minorHAnsi" w:hAnsiTheme="minorHAnsi" w:cstheme="minorHAnsi"/>
                <w:color w:val="000000"/>
                <w:sz w:val="16"/>
                <w:szCs w:val="16"/>
                <w:lang w:val="en-US" w:eastAsia="bs-Latn-BA"/>
              </w:rPr>
              <w:t>Posavina</w:t>
            </w:r>
            <w:proofErr w:type="spellEnd"/>
            <w:r w:rsidRPr="00ED4D49">
              <w:rPr>
                <w:rFonts w:asciiTheme="minorHAnsi" w:hAnsiTheme="minorHAnsi" w:cstheme="minorHAnsi"/>
                <w:color w:val="000000"/>
                <w:sz w:val="16"/>
                <w:szCs w:val="16"/>
                <w:lang w:val="en-US" w:eastAsia="bs-Latn-BA"/>
              </w:rPr>
              <w:t xml:space="preserve"> (FBiH) – 6 locations</w:t>
            </w:r>
          </w:p>
          <w:p w14:paraId="5B9ED547" w14:textId="77777777" w:rsidR="00F83BCB" w:rsidRPr="00ED4D49" w:rsidRDefault="00F83BCB" w:rsidP="00F83BCB">
            <w:pPr>
              <w:contextualSpacing/>
              <w:rPr>
                <w:rFonts w:asciiTheme="minorHAnsi" w:hAnsiTheme="minorHAnsi" w:cstheme="minorHAnsi"/>
                <w:color w:val="000000"/>
                <w:sz w:val="16"/>
                <w:szCs w:val="16"/>
                <w:lang w:val="en-US" w:eastAsia="bs-Latn-BA"/>
              </w:rPr>
            </w:pPr>
          </w:p>
          <w:p w14:paraId="7768F5B5" w14:textId="77777777" w:rsidR="00F83BCB" w:rsidRPr="00ED4D49" w:rsidRDefault="00F83BCB" w:rsidP="00F83BCB">
            <w:pPr>
              <w:contextualSpacing/>
              <w:rPr>
                <w:rFonts w:asciiTheme="minorHAnsi" w:hAnsiTheme="minorHAnsi" w:cstheme="minorHAnsi"/>
                <w:color w:val="000000"/>
                <w:sz w:val="16"/>
                <w:szCs w:val="16"/>
                <w:lang w:val="en-US" w:eastAsia="bs-Latn-BA"/>
              </w:rPr>
            </w:pPr>
            <w:r w:rsidRPr="00ED4D49">
              <w:rPr>
                <w:rFonts w:asciiTheme="minorHAnsi" w:hAnsiTheme="minorHAnsi" w:cstheme="minorHAnsi"/>
                <w:color w:val="000000"/>
                <w:sz w:val="16"/>
                <w:szCs w:val="16"/>
                <w:lang w:val="en-US" w:eastAsia="bs-Latn-BA"/>
              </w:rPr>
              <w:t xml:space="preserve">Regulation of Bosna riverbed in </w:t>
            </w:r>
            <w:proofErr w:type="spellStart"/>
            <w:r w:rsidRPr="00ED4D49">
              <w:rPr>
                <w:rFonts w:asciiTheme="minorHAnsi" w:hAnsiTheme="minorHAnsi" w:cstheme="minorHAnsi"/>
                <w:color w:val="000000"/>
                <w:sz w:val="16"/>
                <w:szCs w:val="16"/>
                <w:lang w:val="en-US" w:eastAsia="bs-Latn-BA"/>
              </w:rPr>
              <w:t>Sarajevsko</w:t>
            </w:r>
            <w:proofErr w:type="spellEnd"/>
            <w:r w:rsidRPr="00ED4D49">
              <w:rPr>
                <w:rFonts w:asciiTheme="minorHAnsi" w:hAnsiTheme="minorHAnsi" w:cstheme="minorHAnsi"/>
                <w:color w:val="000000"/>
                <w:sz w:val="16"/>
                <w:szCs w:val="16"/>
                <w:lang w:val="en-US" w:eastAsia="bs-Latn-BA"/>
              </w:rPr>
              <w:t xml:space="preserve"> polje in the area of Municipality Novi Grad</w:t>
            </w:r>
          </w:p>
          <w:p w14:paraId="10A716B2" w14:textId="77777777" w:rsidR="00F83BCB" w:rsidRPr="00ED4D49" w:rsidRDefault="00F83BCB" w:rsidP="00F83BCB">
            <w:pPr>
              <w:contextualSpacing/>
              <w:rPr>
                <w:rFonts w:asciiTheme="minorHAnsi" w:hAnsiTheme="minorHAnsi" w:cstheme="minorHAnsi"/>
                <w:color w:val="000000"/>
                <w:sz w:val="16"/>
                <w:szCs w:val="16"/>
                <w:lang w:val="en-US" w:eastAsia="bs-Latn-BA"/>
              </w:rPr>
            </w:pPr>
          </w:p>
          <w:p w14:paraId="751E5A8A" w14:textId="77777777" w:rsidR="00F83BCB" w:rsidRPr="00ED4D49" w:rsidRDefault="00F83BCB" w:rsidP="00F83BCB">
            <w:pPr>
              <w:contextualSpacing/>
              <w:rPr>
                <w:rFonts w:asciiTheme="minorHAnsi" w:hAnsiTheme="minorHAnsi" w:cstheme="minorHAnsi"/>
                <w:color w:val="000000"/>
                <w:sz w:val="16"/>
                <w:szCs w:val="16"/>
                <w:lang w:val="en-US" w:eastAsia="bs-Latn-BA"/>
              </w:rPr>
            </w:pPr>
            <w:r w:rsidRPr="00ED4D49">
              <w:rPr>
                <w:rFonts w:asciiTheme="minorHAnsi" w:hAnsiTheme="minorHAnsi" w:cstheme="minorHAnsi"/>
                <w:color w:val="000000"/>
                <w:sz w:val="16"/>
                <w:szCs w:val="16"/>
                <w:lang w:val="en-US" w:eastAsia="bs-Latn-BA"/>
              </w:rPr>
              <w:t xml:space="preserve">Regulation of Bosna riverbed from bridge in </w:t>
            </w:r>
            <w:proofErr w:type="spellStart"/>
            <w:r w:rsidRPr="00ED4D49">
              <w:rPr>
                <w:rFonts w:asciiTheme="minorHAnsi" w:hAnsiTheme="minorHAnsi" w:cstheme="minorHAnsi"/>
                <w:color w:val="000000"/>
                <w:sz w:val="16"/>
                <w:szCs w:val="16"/>
                <w:lang w:val="en-US" w:eastAsia="bs-Latn-BA"/>
              </w:rPr>
              <w:t>Svrake</w:t>
            </w:r>
            <w:proofErr w:type="spellEnd"/>
            <w:r w:rsidRPr="00ED4D49">
              <w:rPr>
                <w:rFonts w:asciiTheme="minorHAnsi" w:hAnsiTheme="minorHAnsi" w:cstheme="minorHAnsi"/>
                <w:color w:val="000000"/>
                <w:sz w:val="16"/>
                <w:szCs w:val="16"/>
                <w:lang w:val="en-US" w:eastAsia="bs-Latn-BA"/>
              </w:rPr>
              <w:t>, upstream</w:t>
            </w:r>
          </w:p>
          <w:p w14:paraId="288462F6" w14:textId="77777777" w:rsidR="00F83BCB" w:rsidRPr="00ED4D49" w:rsidRDefault="00F83BCB" w:rsidP="00F83BCB">
            <w:pPr>
              <w:contextualSpacing/>
              <w:rPr>
                <w:rFonts w:asciiTheme="minorHAnsi" w:hAnsiTheme="minorHAnsi" w:cstheme="minorHAnsi"/>
                <w:color w:val="000000"/>
                <w:sz w:val="16"/>
                <w:szCs w:val="16"/>
                <w:lang w:val="en-US" w:eastAsia="bs-Latn-BA"/>
              </w:rPr>
            </w:pPr>
          </w:p>
          <w:p w14:paraId="79D53089" w14:textId="77777777" w:rsidR="00F83BCB" w:rsidRPr="00ED4D49" w:rsidRDefault="00F83BCB" w:rsidP="00F83BCB">
            <w:pPr>
              <w:contextualSpacing/>
              <w:rPr>
                <w:rFonts w:asciiTheme="minorHAnsi" w:hAnsiTheme="minorHAnsi" w:cstheme="minorHAnsi"/>
                <w:color w:val="000000"/>
                <w:sz w:val="16"/>
                <w:szCs w:val="16"/>
                <w:lang w:val="en-US" w:eastAsia="bs-Latn-BA"/>
              </w:rPr>
            </w:pPr>
            <w:r w:rsidRPr="00ED4D49">
              <w:rPr>
                <w:rFonts w:asciiTheme="minorHAnsi" w:hAnsiTheme="minorHAnsi" w:cstheme="minorHAnsi"/>
                <w:color w:val="000000"/>
                <w:sz w:val="16"/>
                <w:szCs w:val="16"/>
                <w:lang w:val="en-US" w:eastAsia="bs-Latn-BA"/>
              </w:rPr>
              <w:t xml:space="preserve">Regulation of river </w:t>
            </w:r>
            <w:proofErr w:type="spellStart"/>
            <w:r w:rsidRPr="00ED4D49">
              <w:rPr>
                <w:rFonts w:asciiTheme="minorHAnsi" w:hAnsiTheme="minorHAnsi" w:cstheme="minorHAnsi"/>
                <w:color w:val="000000"/>
                <w:sz w:val="16"/>
                <w:szCs w:val="16"/>
                <w:lang w:val="en-US" w:eastAsia="bs-Latn-BA"/>
              </w:rPr>
              <w:t>Zeljeznica</w:t>
            </w:r>
            <w:proofErr w:type="spellEnd"/>
            <w:r w:rsidRPr="00ED4D49">
              <w:rPr>
                <w:rFonts w:asciiTheme="minorHAnsi" w:hAnsiTheme="minorHAnsi" w:cstheme="minorHAnsi"/>
                <w:color w:val="000000"/>
                <w:sz w:val="16"/>
                <w:szCs w:val="16"/>
                <w:lang w:val="en-US" w:eastAsia="bs-Latn-BA"/>
              </w:rPr>
              <w:t xml:space="preserve"> from the bridge in </w:t>
            </w:r>
            <w:proofErr w:type="spellStart"/>
            <w:r w:rsidRPr="00ED4D49">
              <w:rPr>
                <w:rFonts w:asciiTheme="minorHAnsi" w:hAnsiTheme="minorHAnsi" w:cstheme="minorHAnsi"/>
                <w:color w:val="000000"/>
                <w:sz w:val="16"/>
                <w:szCs w:val="16"/>
                <w:lang w:val="en-US" w:eastAsia="bs-Latn-BA"/>
              </w:rPr>
              <w:t>Butmir</w:t>
            </w:r>
            <w:proofErr w:type="spellEnd"/>
            <w:r w:rsidRPr="00ED4D49">
              <w:rPr>
                <w:rFonts w:asciiTheme="minorHAnsi" w:hAnsiTheme="minorHAnsi" w:cstheme="minorHAnsi"/>
                <w:color w:val="000000"/>
                <w:sz w:val="16"/>
                <w:szCs w:val="16"/>
                <w:lang w:val="en-US" w:eastAsia="bs-Latn-BA"/>
              </w:rPr>
              <w:t xml:space="preserve"> to entity border in </w:t>
            </w:r>
            <w:proofErr w:type="spellStart"/>
            <w:r w:rsidRPr="00ED4D49">
              <w:rPr>
                <w:rFonts w:asciiTheme="minorHAnsi" w:hAnsiTheme="minorHAnsi" w:cstheme="minorHAnsi"/>
                <w:color w:val="000000"/>
                <w:sz w:val="16"/>
                <w:szCs w:val="16"/>
                <w:lang w:val="en-US" w:eastAsia="bs-Latn-BA"/>
              </w:rPr>
              <w:t>Vojkovici</w:t>
            </w:r>
            <w:proofErr w:type="spellEnd"/>
            <w:r w:rsidRPr="00ED4D49">
              <w:rPr>
                <w:rFonts w:asciiTheme="minorHAnsi" w:hAnsiTheme="minorHAnsi" w:cstheme="minorHAnsi"/>
                <w:color w:val="000000"/>
                <w:sz w:val="16"/>
                <w:szCs w:val="16"/>
                <w:lang w:val="en-US" w:eastAsia="bs-Latn-BA"/>
              </w:rPr>
              <w:t>.</w:t>
            </w:r>
          </w:p>
          <w:p w14:paraId="02B3E851" w14:textId="77777777" w:rsidR="00F83BCB" w:rsidRPr="00ED4D49" w:rsidRDefault="00F83BCB" w:rsidP="00F83BCB">
            <w:pPr>
              <w:contextualSpacing/>
              <w:rPr>
                <w:rFonts w:asciiTheme="minorHAnsi" w:hAnsiTheme="minorHAnsi" w:cstheme="minorHAnsi"/>
                <w:color w:val="000000"/>
                <w:sz w:val="16"/>
                <w:szCs w:val="16"/>
                <w:lang w:val="en-US" w:eastAsia="bs-Latn-BA"/>
              </w:rPr>
            </w:pPr>
          </w:p>
          <w:p w14:paraId="4AE4184F" w14:textId="77777777" w:rsidR="00F83BCB" w:rsidRPr="00ED4D49" w:rsidRDefault="00F83BCB" w:rsidP="00F83BCB">
            <w:pPr>
              <w:contextualSpacing/>
              <w:rPr>
                <w:rFonts w:asciiTheme="minorHAnsi" w:hAnsiTheme="minorHAnsi" w:cstheme="minorHAnsi"/>
                <w:color w:val="000000"/>
                <w:sz w:val="16"/>
                <w:szCs w:val="16"/>
                <w:lang w:val="en-US" w:eastAsia="bs-Latn-BA"/>
              </w:rPr>
            </w:pPr>
            <w:r w:rsidRPr="00ED4D49">
              <w:rPr>
                <w:rFonts w:asciiTheme="minorHAnsi" w:hAnsiTheme="minorHAnsi" w:cstheme="minorHAnsi"/>
                <w:color w:val="000000"/>
                <w:sz w:val="16"/>
                <w:szCs w:val="16"/>
                <w:lang w:val="en-US" w:eastAsia="bs-Latn-BA"/>
              </w:rPr>
              <w:t xml:space="preserve">Regulation of river </w:t>
            </w:r>
            <w:proofErr w:type="spellStart"/>
            <w:r w:rsidRPr="00ED4D49">
              <w:rPr>
                <w:rFonts w:asciiTheme="minorHAnsi" w:hAnsiTheme="minorHAnsi" w:cstheme="minorHAnsi"/>
                <w:color w:val="000000"/>
                <w:sz w:val="16"/>
                <w:szCs w:val="16"/>
                <w:lang w:val="en-US" w:eastAsia="bs-Latn-BA"/>
              </w:rPr>
              <w:t>Zeljeznica</w:t>
            </w:r>
            <w:proofErr w:type="spellEnd"/>
            <w:r w:rsidRPr="00ED4D49">
              <w:rPr>
                <w:rFonts w:asciiTheme="minorHAnsi" w:hAnsiTheme="minorHAnsi" w:cstheme="minorHAnsi"/>
                <w:color w:val="000000"/>
                <w:sz w:val="16"/>
                <w:szCs w:val="16"/>
                <w:lang w:val="en-US" w:eastAsia="bs-Latn-BA"/>
              </w:rPr>
              <w:t xml:space="preserve"> from the bridge on the western entrance to the town in </w:t>
            </w:r>
            <w:proofErr w:type="spellStart"/>
            <w:r w:rsidRPr="00ED4D49">
              <w:rPr>
                <w:rFonts w:asciiTheme="minorHAnsi" w:hAnsiTheme="minorHAnsi" w:cstheme="minorHAnsi"/>
                <w:color w:val="000000"/>
                <w:sz w:val="16"/>
                <w:szCs w:val="16"/>
                <w:lang w:val="en-US" w:eastAsia="bs-Latn-BA"/>
              </w:rPr>
              <w:t>Otes</w:t>
            </w:r>
            <w:proofErr w:type="spellEnd"/>
            <w:r w:rsidRPr="00ED4D49">
              <w:rPr>
                <w:rFonts w:asciiTheme="minorHAnsi" w:hAnsiTheme="minorHAnsi" w:cstheme="minorHAnsi"/>
                <w:color w:val="000000"/>
                <w:sz w:val="16"/>
                <w:szCs w:val="16"/>
                <w:lang w:val="en-US" w:eastAsia="bs-Latn-BA"/>
              </w:rPr>
              <w:t xml:space="preserve"> to the estuary into river Bosna</w:t>
            </w:r>
          </w:p>
          <w:p w14:paraId="2B8560F9" w14:textId="77777777" w:rsidR="00F83BCB" w:rsidRPr="00ED4D49" w:rsidRDefault="00F83BCB" w:rsidP="00F83BCB">
            <w:pPr>
              <w:contextualSpacing/>
              <w:rPr>
                <w:rFonts w:asciiTheme="minorHAnsi" w:hAnsiTheme="minorHAnsi" w:cstheme="minorHAnsi"/>
                <w:color w:val="000000"/>
                <w:sz w:val="16"/>
                <w:szCs w:val="16"/>
                <w:lang w:val="en-US" w:eastAsia="bs-Latn-BA"/>
              </w:rPr>
            </w:pPr>
          </w:p>
          <w:p w14:paraId="36E60BDF" w14:textId="77777777" w:rsidR="00F83BCB" w:rsidRPr="00ED4D49" w:rsidRDefault="00F83BCB" w:rsidP="00F83BCB">
            <w:pPr>
              <w:contextualSpacing/>
              <w:rPr>
                <w:rFonts w:asciiTheme="minorHAnsi" w:hAnsiTheme="minorHAnsi" w:cstheme="minorHAnsi"/>
                <w:color w:val="000000"/>
                <w:sz w:val="16"/>
                <w:szCs w:val="16"/>
                <w:lang w:val="en-US" w:eastAsia="bs-Latn-BA"/>
              </w:rPr>
            </w:pPr>
            <w:r w:rsidRPr="00ED4D49">
              <w:rPr>
                <w:rFonts w:asciiTheme="minorHAnsi" w:hAnsiTheme="minorHAnsi" w:cstheme="minorHAnsi"/>
                <w:color w:val="000000"/>
                <w:sz w:val="16"/>
                <w:szCs w:val="16"/>
                <w:lang w:val="en-US" w:eastAsia="bs-Latn-BA"/>
              </w:rPr>
              <w:t xml:space="preserve">Rehabilitation of </w:t>
            </w:r>
            <w:proofErr w:type="spellStart"/>
            <w:r w:rsidRPr="00ED4D49">
              <w:rPr>
                <w:rFonts w:asciiTheme="minorHAnsi" w:hAnsiTheme="minorHAnsi" w:cstheme="minorHAnsi"/>
                <w:color w:val="000000"/>
                <w:sz w:val="16"/>
                <w:szCs w:val="16"/>
                <w:lang w:val="en-US" w:eastAsia="bs-Latn-BA"/>
              </w:rPr>
              <w:t>Modrac</w:t>
            </w:r>
            <w:proofErr w:type="spellEnd"/>
            <w:r w:rsidRPr="00ED4D49">
              <w:rPr>
                <w:rFonts w:asciiTheme="minorHAnsi" w:hAnsiTheme="minorHAnsi" w:cstheme="minorHAnsi"/>
                <w:color w:val="000000"/>
                <w:sz w:val="16"/>
                <w:szCs w:val="16"/>
                <w:lang w:val="en-US" w:eastAsia="bs-Latn-BA"/>
              </w:rPr>
              <w:t xml:space="preserve"> lake dam – IV phase</w:t>
            </w:r>
          </w:p>
          <w:p w14:paraId="32623491" w14:textId="77777777" w:rsidR="00F83BCB" w:rsidRPr="00ED4D49" w:rsidRDefault="00F83BCB" w:rsidP="00F83BCB">
            <w:pPr>
              <w:contextualSpacing/>
              <w:rPr>
                <w:rFonts w:asciiTheme="minorHAnsi" w:hAnsiTheme="minorHAnsi" w:cstheme="minorHAnsi"/>
                <w:color w:val="000000"/>
                <w:sz w:val="16"/>
                <w:szCs w:val="16"/>
                <w:lang w:val="en-US" w:eastAsia="bs-Latn-BA"/>
              </w:rPr>
            </w:pPr>
          </w:p>
          <w:p w14:paraId="3789BB99" w14:textId="7C876E3F" w:rsidR="00F83BCB" w:rsidRPr="00ED4D49" w:rsidRDefault="00F83BCB" w:rsidP="00F83BCB">
            <w:pPr>
              <w:pStyle w:val="ListParagraph"/>
              <w:ind w:left="0"/>
              <w:rPr>
                <w:rFonts w:cs="Calibri"/>
                <w:color w:val="000000"/>
                <w:sz w:val="16"/>
                <w:szCs w:val="16"/>
                <w:lang w:eastAsia="bs-Latn-BA"/>
              </w:rPr>
            </w:pPr>
            <w:r w:rsidRPr="00ED4D49">
              <w:rPr>
                <w:rFonts w:asciiTheme="minorHAnsi" w:hAnsiTheme="minorHAnsi" w:cstheme="minorHAnsi"/>
                <w:color w:val="000000"/>
                <w:sz w:val="16"/>
                <w:szCs w:val="16"/>
                <w:lang w:val="hr-HR" w:eastAsia="bs-Latn-BA"/>
              </w:rPr>
              <w:t>Regulation of the portion of Jala riverbed downstream from regulated portion to the border with Municipality Lukavac</w:t>
            </w:r>
          </w:p>
        </w:tc>
      </w:tr>
      <w:tr w:rsidR="00D16B63" w:rsidRPr="00ED4D49" w14:paraId="12DCA0EB" w14:textId="77777777" w:rsidTr="00F34C60">
        <w:trPr>
          <w:trHeight w:val="463"/>
        </w:trPr>
        <w:tc>
          <w:tcPr>
            <w:tcW w:w="2122" w:type="dxa"/>
            <w:vMerge/>
            <w:vAlign w:val="center"/>
          </w:tcPr>
          <w:p w14:paraId="16B39515" w14:textId="77777777" w:rsidR="00D16B63" w:rsidRPr="00ED4D49" w:rsidRDefault="00D16B63" w:rsidP="00D04572">
            <w:pPr>
              <w:rPr>
                <w:sz w:val="16"/>
                <w:szCs w:val="16"/>
                <w:lang w:val="en-US"/>
              </w:rPr>
            </w:pPr>
          </w:p>
        </w:tc>
        <w:tc>
          <w:tcPr>
            <w:tcW w:w="2409" w:type="dxa"/>
          </w:tcPr>
          <w:p w14:paraId="026AF35D" w14:textId="1DC314EA" w:rsidR="00D16B63" w:rsidRPr="00ED4D49" w:rsidRDefault="00D16B63" w:rsidP="00D16B63">
            <w:pPr>
              <w:rPr>
                <w:rFonts w:cs="Calibri"/>
                <w:color w:val="000000"/>
                <w:sz w:val="16"/>
                <w:szCs w:val="16"/>
                <w:lang w:val="en-US" w:eastAsia="bs-Latn-BA"/>
              </w:rPr>
            </w:pPr>
            <w:r w:rsidRPr="00ED4D49">
              <w:rPr>
                <w:rFonts w:cs="Calibri"/>
                <w:color w:val="000000"/>
                <w:sz w:val="16"/>
                <w:szCs w:val="16"/>
                <w:lang w:val="en-US" w:eastAsia="bs-Latn-BA"/>
              </w:rPr>
              <w:t>Sub-component 1.2: Waterway Improvements</w:t>
            </w:r>
          </w:p>
        </w:tc>
        <w:tc>
          <w:tcPr>
            <w:tcW w:w="4479" w:type="dxa"/>
          </w:tcPr>
          <w:p w14:paraId="68E15C0B" w14:textId="77777777" w:rsidR="00D16B63" w:rsidRPr="00ED4D49" w:rsidRDefault="00D16B63" w:rsidP="00D16B63">
            <w:pPr>
              <w:rPr>
                <w:rFonts w:cs="Calibri"/>
                <w:color w:val="000000"/>
                <w:sz w:val="16"/>
                <w:szCs w:val="16"/>
                <w:lang w:val="en-US" w:eastAsia="bs-Latn-BA"/>
              </w:rPr>
            </w:pPr>
            <w:r w:rsidRPr="00ED4D49">
              <w:rPr>
                <w:rFonts w:cs="Calibri"/>
                <w:color w:val="000000"/>
                <w:sz w:val="16"/>
                <w:szCs w:val="16"/>
                <w:lang w:val="en-US" w:eastAsia="bs-Latn-BA"/>
              </w:rPr>
              <w:t xml:space="preserve">Grant financing will be mobilized to finance demining activities along the Sava Right bank within BiH. </w:t>
            </w:r>
          </w:p>
          <w:p w14:paraId="2894F833" w14:textId="77777777" w:rsidR="00F83BCB" w:rsidRPr="00ED4D49" w:rsidRDefault="00F83BCB" w:rsidP="00F83BCB">
            <w:pPr>
              <w:rPr>
                <w:rFonts w:asciiTheme="minorHAnsi" w:hAnsiTheme="minorHAnsi" w:cstheme="minorHAnsi"/>
                <w:color w:val="000000"/>
                <w:sz w:val="16"/>
                <w:szCs w:val="16"/>
                <w:lang w:val="en-US" w:eastAsia="bs-Latn-BA"/>
              </w:rPr>
            </w:pPr>
            <w:r w:rsidRPr="00ED4D49">
              <w:rPr>
                <w:rFonts w:asciiTheme="minorHAnsi" w:hAnsiTheme="minorHAnsi" w:cstheme="minorHAnsi"/>
                <w:color w:val="000000"/>
                <w:sz w:val="16"/>
                <w:szCs w:val="16"/>
                <w:lang w:val="en-US" w:eastAsia="bs-Latn-BA"/>
              </w:rPr>
              <w:t>Construction of the quay on river Sava in Novi Grad (dock for small boats)</w:t>
            </w:r>
          </w:p>
          <w:p w14:paraId="76028D13" w14:textId="77777777" w:rsidR="00F83BCB" w:rsidRPr="00ED4D49" w:rsidRDefault="00F83BCB" w:rsidP="00F83BCB">
            <w:pPr>
              <w:rPr>
                <w:rFonts w:asciiTheme="minorHAnsi" w:hAnsiTheme="minorHAnsi" w:cstheme="minorHAnsi"/>
                <w:color w:val="000000"/>
                <w:sz w:val="16"/>
                <w:szCs w:val="16"/>
                <w:lang w:val="en-US" w:eastAsia="bs-Latn-BA"/>
              </w:rPr>
            </w:pPr>
            <w:r w:rsidRPr="00ED4D49">
              <w:rPr>
                <w:rFonts w:asciiTheme="minorHAnsi" w:hAnsiTheme="minorHAnsi" w:cstheme="minorHAnsi"/>
                <w:color w:val="000000"/>
                <w:sz w:val="16"/>
                <w:szCs w:val="16"/>
                <w:lang w:val="en-US" w:eastAsia="bs-Latn-BA"/>
              </w:rPr>
              <w:t xml:space="preserve">Construction of the small port on river Sava in </w:t>
            </w:r>
            <w:proofErr w:type="spellStart"/>
            <w:r w:rsidRPr="00ED4D49">
              <w:rPr>
                <w:rFonts w:asciiTheme="minorHAnsi" w:hAnsiTheme="minorHAnsi" w:cstheme="minorHAnsi"/>
                <w:color w:val="000000"/>
                <w:sz w:val="16"/>
                <w:szCs w:val="16"/>
                <w:lang w:val="en-US" w:eastAsia="bs-Latn-BA"/>
              </w:rPr>
              <w:t>Orasje</w:t>
            </w:r>
            <w:proofErr w:type="spellEnd"/>
            <w:r w:rsidRPr="00ED4D49">
              <w:rPr>
                <w:rFonts w:asciiTheme="minorHAnsi" w:hAnsiTheme="minorHAnsi" w:cstheme="minorHAnsi"/>
                <w:color w:val="000000"/>
                <w:sz w:val="16"/>
                <w:szCs w:val="16"/>
                <w:lang w:val="en-US" w:eastAsia="bs-Latn-BA"/>
              </w:rPr>
              <w:t xml:space="preserve"> (port for small boats)</w:t>
            </w:r>
          </w:p>
          <w:p w14:paraId="5AEAF5DB" w14:textId="77777777" w:rsidR="00F83BCB" w:rsidRPr="00ED4D49" w:rsidRDefault="00F83BCB" w:rsidP="00F83BCB">
            <w:pPr>
              <w:rPr>
                <w:rFonts w:asciiTheme="minorHAnsi" w:hAnsiTheme="minorHAnsi" w:cstheme="minorHAnsi"/>
                <w:color w:val="000000"/>
                <w:sz w:val="16"/>
                <w:szCs w:val="16"/>
                <w:lang w:val="en-US" w:eastAsia="bs-Latn-BA"/>
              </w:rPr>
            </w:pPr>
            <w:r w:rsidRPr="00ED4D49">
              <w:rPr>
                <w:rFonts w:asciiTheme="minorHAnsi" w:hAnsiTheme="minorHAnsi" w:cstheme="minorHAnsi"/>
                <w:color w:val="000000"/>
                <w:sz w:val="16"/>
                <w:szCs w:val="16"/>
                <w:lang w:val="en-US" w:eastAsia="bs-Latn-BA"/>
              </w:rPr>
              <w:t>Dredging and training work of river Sava in Novi Grad/</w:t>
            </w:r>
            <w:proofErr w:type="spellStart"/>
            <w:r w:rsidRPr="00ED4D49">
              <w:rPr>
                <w:rFonts w:asciiTheme="minorHAnsi" w:hAnsiTheme="minorHAnsi" w:cstheme="minorHAnsi"/>
                <w:color w:val="000000"/>
                <w:sz w:val="16"/>
                <w:szCs w:val="16"/>
                <w:lang w:val="en-US" w:eastAsia="bs-Latn-BA"/>
              </w:rPr>
              <w:t>Odžak</w:t>
            </w:r>
            <w:proofErr w:type="spellEnd"/>
            <w:r w:rsidRPr="00ED4D49">
              <w:rPr>
                <w:rFonts w:asciiTheme="minorHAnsi" w:hAnsiTheme="minorHAnsi" w:cstheme="minorHAnsi"/>
                <w:color w:val="000000"/>
                <w:sz w:val="16"/>
                <w:szCs w:val="16"/>
                <w:lang w:val="en-US" w:eastAsia="bs-Latn-BA"/>
              </w:rPr>
              <w:t xml:space="preserve"> on the stretch: </w:t>
            </w:r>
            <w:proofErr w:type="spellStart"/>
            <w:r w:rsidRPr="00ED4D49">
              <w:rPr>
                <w:rFonts w:asciiTheme="minorHAnsi" w:hAnsiTheme="minorHAnsi" w:cstheme="minorHAnsi"/>
                <w:color w:val="000000"/>
                <w:sz w:val="16"/>
                <w:szCs w:val="16"/>
                <w:lang w:val="en-US" w:eastAsia="bs-Latn-BA"/>
              </w:rPr>
              <w:t>Jaruge</w:t>
            </w:r>
            <w:proofErr w:type="spellEnd"/>
            <w:r w:rsidRPr="00ED4D49">
              <w:rPr>
                <w:rFonts w:asciiTheme="minorHAnsi" w:hAnsiTheme="minorHAnsi" w:cstheme="minorHAnsi"/>
                <w:color w:val="000000"/>
                <w:sz w:val="16"/>
                <w:szCs w:val="16"/>
                <w:lang w:val="en-US" w:eastAsia="bs-Latn-BA"/>
              </w:rPr>
              <w:t xml:space="preserve"> (RH) - Novi Grad/</w:t>
            </w:r>
            <w:proofErr w:type="spellStart"/>
            <w:r w:rsidRPr="00ED4D49">
              <w:rPr>
                <w:rFonts w:asciiTheme="minorHAnsi" w:hAnsiTheme="minorHAnsi" w:cstheme="minorHAnsi"/>
                <w:color w:val="000000"/>
                <w:sz w:val="16"/>
                <w:szCs w:val="16"/>
                <w:lang w:val="en-US" w:eastAsia="bs-Latn-BA"/>
              </w:rPr>
              <w:t>Odžak</w:t>
            </w:r>
            <w:proofErr w:type="spellEnd"/>
            <w:r w:rsidRPr="00ED4D49">
              <w:rPr>
                <w:rFonts w:asciiTheme="minorHAnsi" w:hAnsiTheme="minorHAnsi" w:cstheme="minorHAnsi"/>
                <w:color w:val="000000"/>
                <w:sz w:val="16"/>
                <w:szCs w:val="16"/>
                <w:lang w:val="en-US" w:eastAsia="bs-Latn-BA"/>
              </w:rPr>
              <w:t xml:space="preserve"> (FBIH) – preparation for phase II</w:t>
            </w:r>
          </w:p>
          <w:p w14:paraId="5C06FB1E" w14:textId="486D9334" w:rsidR="00F83BCB" w:rsidRPr="00ED4D49" w:rsidRDefault="00F83BCB" w:rsidP="00D16B63">
            <w:pPr>
              <w:rPr>
                <w:rFonts w:asciiTheme="minorHAnsi" w:hAnsiTheme="minorHAnsi" w:cstheme="minorHAnsi"/>
                <w:color w:val="000000"/>
                <w:sz w:val="16"/>
                <w:szCs w:val="16"/>
                <w:lang w:val="en-US" w:eastAsia="bs-Latn-BA"/>
              </w:rPr>
            </w:pPr>
            <w:r w:rsidRPr="00ED4D49">
              <w:rPr>
                <w:rFonts w:asciiTheme="minorHAnsi" w:hAnsiTheme="minorHAnsi" w:cstheme="minorHAnsi"/>
                <w:color w:val="000000"/>
                <w:sz w:val="16"/>
                <w:szCs w:val="16"/>
                <w:lang w:val="en-US" w:eastAsia="bs-Latn-BA"/>
              </w:rPr>
              <w:t xml:space="preserve">Dredging under the bridge near </w:t>
            </w:r>
            <w:proofErr w:type="spellStart"/>
            <w:r w:rsidRPr="00ED4D49">
              <w:rPr>
                <w:rFonts w:asciiTheme="minorHAnsi" w:hAnsiTheme="minorHAnsi" w:cstheme="minorHAnsi"/>
                <w:color w:val="000000"/>
                <w:sz w:val="16"/>
                <w:szCs w:val="16"/>
                <w:lang w:val="en-US" w:eastAsia="bs-Latn-BA"/>
              </w:rPr>
              <w:t>Šamac</w:t>
            </w:r>
            <w:proofErr w:type="spellEnd"/>
            <w:r w:rsidRPr="00ED4D49">
              <w:rPr>
                <w:rFonts w:asciiTheme="minorHAnsi" w:hAnsiTheme="minorHAnsi" w:cstheme="minorHAnsi"/>
                <w:color w:val="000000"/>
                <w:sz w:val="16"/>
                <w:szCs w:val="16"/>
                <w:lang w:val="en-US" w:eastAsia="bs-Latn-BA"/>
              </w:rPr>
              <w:t xml:space="preserve"> – preparation for phase II</w:t>
            </w:r>
          </w:p>
        </w:tc>
      </w:tr>
      <w:tr w:rsidR="00D04572" w:rsidRPr="00ED4D49" w14:paraId="76BB053A" w14:textId="77777777" w:rsidTr="00F34C60">
        <w:trPr>
          <w:trHeight w:val="1066"/>
        </w:trPr>
        <w:tc>
          <w:tcPr>
            <w:tcW w:w="2122" w:type="dxa"/>
            <w:vAlign w:val="center"/>
          </w:tcPr>
          <w:p w14:paraId="35161AE2" w14:textId="3598A9F9" w:rsidR="00D04572" w:rsidRPr="00ED4D49" w:rsidRDefault="00D04572" w:rsidP="00167BD6">
            <w:pPr>
              <w:rPr>
                <w:sz w:val="16"/>
                <w:szCs w:val="16"/>
                <w:lang w:val="en-US"/>
              </w:rPr>
            </w:pPr>
            <w:r w:rsidRPr="00ED4D49">
              <w:rPr>
                <w:rFonts w:cs="Calibri"/>
                <w:color w:val="000000"/>
                <w:sz w:val="16"/>
                <w:szCs w:val="16"/>
                <w:lang w:val="en-US" w:eastAsia="bs-Latn-BA"/>
              </w:rPr>
              <w:t>Component 2: Integrated Management and Development of the Drina River Corridor</w:t>
            </w:r>
          </w:p>
        </w:tc>
        <w:tc>
          <w:tcPr>
            <w:tcW w:w="2409" w:type="dxa"/>
          </w:tcPr>
          <w:p w14:paraId="57F29149" w14:textId="77777777" w:rsidR="00D16B63" w:rsidRPr="00ED4D49" w:rsidRDefault="00D16B63" w:rsidP="00D16B63">
            <w:pPr>
              <w:rPr>
                <w:rFonts w:cs="Calibri"/>
                <w:color w:val="000000"/>
                <w:sz w:val="16"/>
                <w:szCs w:val="16"/>
                <w:lang w:val="en-US" w:eastAsia="bs-Latn-BA"/>
              </w:rPr>
            </w:pPr>
            <w:r w:rsidRPr="00ED4D49">
              <w:rPr>
                <w:rFonts w:cs="Calibri"/>
                <w:color w:val="000000"/>
                <w:sz w:val="16"/>
                <w:szCs w:val="16"/>
                <w:lang w:val="en-US" w:eastAsia="bs-Latn-BA"/>
              </w:rPr>
              <w:t>Sub-component 2.1: Flood protection and environmental management</w:t>
            </w:r>
          </w:p>
          <w:p w14:paraId="2C121CD4" w14:textId="6354F535" w:rsidR="00D04572" w:rsidRPr="00ED4D49" w:rsidRDefault="00D04572" w:rsidP="00D16B63">
            <w:pPr>
              <w:rPr>
                <w:rFonts w:cs="Calibri"/>
                <w:color w:val="000000"/>
                <w:sz w:val="16"/>
                <w:szCs w:val="16"/>
                <w:lang w:val="en-US" w:eastAsia="bs-Latn-BA"/>
              </w:rPr>
            </w:pPr>
          </w:p>
        </w:tc>
        <w:tc>
          <w:tcPr>
            <w:tcW w:w="4479" w:type="dxa"/>
          </w:tcPr>
          <w:p w14:paraId="45BD2B62" w14:textId="77777777" w:rsidR="00D04572" w:rsidRPr="00ED4D49" w:rsidRDefault="00D16B63" w:rsidP="00167BD6">
            <w:pPr>
              <w:rPr>
                <w:sz w:val="16"/>
                <w:szCs w:val="16"/>
                <w:lang w:val="en-US"/>
              </w:rPr>
            </w:pPr>
            <w:r w:rsidRPr="00ED4D49">
              <w:rPr>
                <w:sz w:val="16"/>
                <w:szCs w:val="16"/>
                <w:lang w:val="en-US"/>
              </w:rPr>
              <w:t xml:space="preserve">River </w:t>
            </w:r>
            <w:r w:rsidRPr="00ED4D49">
              <w:rPr>
                <w:rFonts w:cs="Calibri"/>
                <w:color w:val="000000"/>
                <w:sz w:val="16"/>
                <w:szCs w:val="16"/>
                <w:lang w:val="en-US" w:eastAsia="bs-Latn-BA"/>
              </w:rPr>
              <w:t>training</w:t>
            </w:r>
            <w:r w:rsidRPr="00ED4D49">
              <w:rPr>
                <w:sz w:val="16"/>
                <w:szCs w:val="16"/>
                <w:lang w:val="en-US"/>
              </w:rPr>
              <w:t xml:space="preserve"> in </w:t>
            </w:r>
            <w:proofErr w:type="spellStart"/>
            <w:r w:rsidRPr="00ED4D49">
              <w:rPr>
                <w:sz w:val="16"/>
                <w:szCs w:val="16"/>
                <w:lang w:val="en-US"/>
              </w:rPr>
              <w:t>Goražde</w:t>
            </w:r>
            <w:proofErr w:type="spellEnd"/>
            <w:r w:rsidRPr="00ED4D49">
              <w:rPr>
                <w:sz w:val="16"/>
                <w:szCs w:val="16"/>
                <w:lang w:val="en-US"/>
              </w:rPr>
              <w:t xml:space="preserve"> city within the Federation of Bosnia and Herzegovina</w:t>
            </w:r>
          </w:p>
          <w:p w14:paraId="2F0A75F5" w14:textId="77777777" w:rsidR="00F83BCB" w:rsidRPr="00ED4D49" w:rsidRDefault="00F83BCB" w:rsidP="00F83BCB">
            <w:pPr>
              <w:rPr>
                <w:rFonts w:asciiTheme="minorHAnsi" w:hAnsiTheme="minorHAnsi" w:cstheme="minorHAnsi"/>
                <w:sz w:val="16"/>
                <w:szCs w:val="16"/>
                <w:lang w:val="en-US"/>
              </w:rPr>
            </w:pPr>
            <w:r w:rsidRPr="00ED4D49">
              <w:rPr>
                <w:rFonts w:asciiTheme="minorHAnsi" w:hAnsiTheme="minorHAnsi" w:cstheme="minorHAnsi"/>
                <w:sz w:val="16"/>
                <w:szCs w:val="16"/>
                <w:lang w:val="en-US"/>
              </w:rPr>
              <w:t xml:space="preserve">Urgent rehabilitation works in </w:t>
            </w:r>
            <w:proofErr w:type="spellStart"/>
            <w:r w:rsidRPr="00ED4D49">
              <w:rPr>
                <w:rFonts w:asciiTheme="minorHAnsi" w:hAnsiTheme="minorHAnsi" w:cstheme="minorHAnsi"/>
                <w:sz w:val="16"/>
                <w:szCs w:val="16"/>
                <w:lang w:val="en-US"/>
              </w:rPr>
              <w:t>Goražde</w:t>
            </w:r>
            <w:proofErr w:type="spellEnd"/>
            <w:r w:rsidRPr="00ED4D49">
              <w:rPr>
                <w:rFonts w:asciiTheme="minorHAnsi" w:hAnsiTheme="minorHAnsi" w:cstheme="minorHAnsi"/>
                <w:sz w:val="16"/>
                <w:szCs w:val="16"/>
                <w:lang w:val="en-US"/>
              </w:rPr>
              <w:t xml:space="preserve"> </w:t>
            </w:r>
          </w:p>
          <w:p w14:paraId="4DE8CADB" w14:textId="45A790DF" w:rsidR="00F83BCB" w:rsidRPr="00ED4D49" w:rsidRDefault="00F83BCB" w:rsidP="00167BD6">
            <w:pPr>
              <w:rPr>
                <w:rFonts w:asciiTheme="minorHAnsi" w:hAnsiTheme="minorHAnsi" w:cstheme="minorHAnsi"/>
                <w:sz w:val="16"/>
                <w:szCs w:val="16"/>
                <w:lang w:val="en-US"/>
              </w:rPr>
            </w:pPr>
            <w:r w:rsidRPr="00ED4D49">
              <w:rPr>
                <w:rFonts w:asciiTheme="minorHAnsi" w:hAnsiTheme="minorHAnsi" w:cstheme="minorHAnsi"/>
                <w:sz w:val="16"/>
                <w:szCs w:val="16"/>
                <w:lang w:val="en-US"/>
              </w:rPr>
              <w:t>Regulation of Kosovska river</w:t>
            </w:r>
          </w:p>
        </w:tc>
      </w:tr>
      <w:tr w:rsidR="00D04572" w:rsidRPr="00ED4D49" w14:paraId="3AD8C852" w14:textId="77777777" w:rsidTr="00F34C60">
        <w:tc>
          <w:tcPr>
            <w:tcW w:w="2122" w:type="dxa"/>
            <w:vMerge w:val="restart"/>
          </w:tcPr>
          <w:p w14:paraId="33480CFF" w14:textId="4359BB14" w:rsidR="00D04572" w:rsidRPr="00ED4D49" w:rsidRDefault="00D04572" w:rsidP="00D04572">
            <w:pPr>
              <w:rPr>
                <w:sz w:val="16"/>
                <w:szCs w:val="16"/>
                <w:lang w:val="en-US"/>
              </w:rPr>
            </w:pPr>
            <w:r w:rsidRPr="00ED4D49">
              <w:rPr>
                <w:rFonts w:cs="Calibri"/>
                <w:color w:val="000000"/>
                <w:sz w:val="16"/>
                <w:szCs w:val="16"/>
                <w:lang w:val="en-US" w:eastAsia="bs-Latn-BA"/>
              </w:rPr>
              <w:t>Component 3: Project preparation and management</w:t>
            </w:r>
          </w:p>
        </w:tc>
        <w:tc>
          <w:tcPr>
            <w:tcW w:w="2409" w:type="dxa"/>
          </w:tcPr>
          <w:p w14:paraId="6E2770D2" w14:textId="05FFD216" w:rsidR="00D04572" w:rsidRPr="00ED4D49" w:rsidRDefault="00D04572" w:rsidP="00D16B63">
            <w:pPr>
              <w:rPr>
                <w:rFonts w:cs="Calibri"/>
                <w:color w:val="000000"/>
                <w:sz w:val="16"/>
                <w:szCs w:val="16"/>
                <w:lang w:val="en-US" w:eastAsia="bs-Latn-BA"/>
              </w:rPr>
            </w:pPr>
            <w:r w:rsidRPr="00ED4D49">
              <w:rPr>
                <w:rFonts w:cs="Calibri"/>
                <w:color w:val="000000"/>
                <w:sz w:val="16"/>
                <w:szCs w:val="16"/>
                <w:lang w:val="en-US" w:eastAsia="bs-Latn-BA"/>
              </w:rPr>
              <w:t>Sub-component 3.1: Project preparation</w:t>
            </w:r>
          </w:p>
        </w:tc>
        <w:tc>
          <w:tcPr>
            <w:tcW w:w="4479" w:type="dxa"/>
          </w:tcPr>
          <w:p w14:paraId="7A200E7D" w14:textId="0C10B301" w:rsidR="00D04572" w:rsidRPr="00ED4D49" w:rsidRDefault="00D04572" w:rsidP="00F34C60">
            <w:pPr>
              <w:rPr>
                <w:sz w:val="16"/>
                <w:szCs w:val="16"/>
                <w:lang w:val="en-US"/>
              </w:rPr>
            </w:pPr>
            <w:r w:rsidRPr="00ED4D49">
              <w:rPr>
                <w:sz w:val="16"/>
                <w:szCs w:val="16"/>
                <w:lang w:val="en-US"/>
              </w:rPr>
              <w:t>Preparation of project documentation for phase II of the program, including E&amp;S risk assessments.</w:t>
            </w:r>
          </w:p>
        </w:tc>
      </w:tr>
      <w:tr w:rsidR="00D04572" w:rsidRPr="00ED4D49" w14:paraId="2968AFD9" w14:textId="77777777" w:rsidTr="00F34C60">
        <w:trPr>
          <w:trHeight w:val="800"/>
        </w:trPr>
        <w:tc>
          <w:tcPr>
            <w:tcW w:w="2122" w:type="dxa"/>
            <w:vMerge/>
          </w:tcPr>
          <w:p w14:paraId="6F319951" w14:textId="77777777" w:rsidR="00D04572" w:rsidRPr="00ED4D49" w:rsidRDefault="00D04572" w:rsidP="00D04572">
            <w:pPr>
              <w:rPr>
                <w:sz w:val="16"/>
                <w:szCs w:val="16"/>
                <w:lang w:val="en-US"/>
              </w:rPr>
            </w:pPr>
          </w:p>
        </w:tc>
        <w:tc>
          <w:tcPr>
            <w:tcW w:w="2409" w:type="dxa"/>
          </w:tcPr>
          <w:p w14:paraId="0957D329" w14:textId="77777777" w:rsidR="00D04572" w:rsidRPr="00ED4D49" w:rsidRDefault="00D04572" w:rsidP="00D16B63">
            <w:pPr>
              <w:rPr>
                <w:rFonts w:cs="Calibri"/>
                <w:sz w:val="16"/>
                <w:szCs w:val="16"/>
                <w:lang w:val="en-US"/>
              </w:rPr>
            </w:pPr>
            <w:r w:rsidRPr="00ED4D49">
              <w:rPr>
                <w:rFonts w:cs="Calibri"/>
                <w:sz w:val="16"/>
                <w:szCs w:val="16"/>
                <w:lang w:val="en-US"/>
              </w:rPr>
              <w:t>Sub-component 3.2: Institutional strengthening and project management</w:t>
            </w:r>
          </w:p>
          <w:p w14:paraId="5CD3BE52" w14:textId="6C28CDF7" w:rsidR="00D04572" w:rsidRPr="00ED4D49" w:rsidRDefault="00D04572" w:rsidP="00D04572">
            <w:pPr>
              <w:widowControl w:val="0"/>
              <w:autoSpaceDE w:val="0"/>
              <w:autoSpaceDN w:val="0"/>
              <w:adjustRightInd w:val="0"/>
              <w:spacing w:before="0" w:after="0"/>
              <w:jc w:val="both"/>
              <w:rPr>
                <w:rFonts w:cs="Calibri"/>
                <w:sz w:val="16"/>
                <w:szCs w:val="16"/>
                <w:lang w:val="en-US"/>
              </w:rPr>
            </w:pPr>
          </w:p>
        </w:tc>
        <w:tc>
          <w:tcPr>
            <w:tcW w:w="4479" w:type="dxa"/>
          </w:tcPr>
          <w:p w14:paraId="3E7EF162" w14:textId="669A8ED4" w:rsidR="00167BD6" w:rsidRPr="00ED4D49" w:rsidRDefault="00167BD6" w:rsidP="00167BD6">
            <w:pPr>
              <w:rPr>
                <w:rFonts w:cs="Calibri"/>
                <w:sz w:val="16"/>
                <w:szCs w:val="16"/>
                <w:lang w:val="en-US"/>
              </w:rPr>
            </w:pPr>
            <w:r w:rsidRPr="00ED4D49">
              <w:rPr>
                <w:rFonts w:cs="Calibri"/>
                <w:sz w:val="16"/>
                <w:szCs w:val="16"/>
                <w:lang w:val="en-US"/>
              </w:rPr>
              <w:t>PIU and project management, Phase I</w:t>
            </w:r>
          </w:p>
          <w:p w14:paraId="42394068" w14:textId="7D932DB0" w:rsidR="00D04572" w:rsidRPr="00ED4D49" w:rsidRDefault="00167BD6" w:rsidP="00167BD6">
            <w:pPr>
              <w:rPr>
                <w:rFonts w:cs="Calibri"/>
                <w:sz w:val="16"/>
                <w:szCs w:val="16"/>
                <w:lang w:val="en-US"/>
              </w:rPr>
            </w:pPr>
            <w:r w:rsidRPr="00ED4D49">
              <w:rPr>
                <w:rFonts w:cs="Calibri"/>
                <w:sz w:val="16"/>
                <w:szCs w:val="16"/>
                <w:lang w:val="en-US"/>
              </w:rPr>
              <w:t>Implementation and Operations Cost, Phase I</w:t>
            </w:r>
          </w:p>
        </w:tc>
      </w:tr>
      <w:tr w:rsidR="00D04572" w:rsidRPr="00ED4D49" w14:paraId="050BEC26" w14:textId="77777777" w:rsidTr="00F34C60">
        <w:trPr>
          <w:trHeight w:val="768"/>
        </w:trPr>
        <w:tc>
          <w:tcPr>
            <w:tcW w:w="2122" w:type="dxa"/>
          </w:tcPr>
          <w:p w14:paraId="768A0BC6" w14:textId="013BF223" w:rsidR="00D04572" w:rsidRPr="00ED4D49" w:rsidRDefault="00D04572" w:rsidP="00D04572">
            <w:pPr>
              <w:rPr>
                <w:sz w:val="16"/>
                <w:szCs w:val="16"/>
                <w:lang w:val="en-US"/>
              </w:rPr>
            </w:pPr>
            <w:r w:rsidRPr="00ED4D49">
              <w:rPr>
                <w:rFonts w:cs="Calibri"/>
                <w:color w:val="000000"/>
                <w:sz w:val="16"/>
                <w:szCs w:val="16"/>
                <w:lang w:val="en-US" w:eastAsia="bs-Latn-BA"/>
              </w:rPr>
              <w:t>Component 4: Regional activities</w:t>
            </w:r>
          </w:p>
        </w:tc>
        <w:tc>
          <w:tcPr>
            <w:tcW w:w="2409" w:type="dxa"/>
          </w:tcPr>
          <w:p w14:paraId="28F2A750" w14:textId="54DD697A" w:rsidR="00D04572" w:rsidRPr="00ED4D49" w:rsidRDefault="00D16B63" w:rsidP="00D04572">
            <w:pPr>
              <w:rPr>
                <w:sz w:val="16"/>
                <w:szCs w:val="16"/>
                <w:lang w:val="en-US"/>
              </w:rPr>
            </w:pPr>
            <w:r w:rsidRPr="00ED4D49">
              <w:rPr>
                <w:rFonts w:cs="Calibri"/>
                <w:sz w:val="16"/>
                <w:szCs w:val="16"/>
                <w:lang w:val="en-US"/>
              </w:rPr>
              <w:t>Regional Dialogues and Studies</w:t>
            </w:r>
          </w:p>
        </w:tc>
        <w:tc>
          <w:tcPr>
            <w:tcW w:w="4479" w:type="dxa"/>
          </w:tcPr>
          <w:p w14:paraId="16824ED6" w14:textId="2E25ACAC" w:rsidR="00F34C60" w:rsidRPr="00ED4D49" w:rsidRDefault="00D16B63" w:rsidP="00DE05AE">
            <w:pPr>
              <w:pStyle w:val="ListParagraph"/>
              <w:widowControl w:val="0"/>
              <w:autoSpaceDE w:val="0"/>
              <w:autoSpaceDN w:val="0"/>
              <w:adjustRightInd w:val="0"/>
              <w:spacing w:before="0" w:after="0"/>
              <w:ind w:left="0"/>
              <w:jc w:val="both"/>
              <w:rPr>
                <w:sz w:val="16"/>
                <w:szCs w:val="16"/>
              </w:rPr>
            </w:pPr>
            <w:r w:rsidRPr="00ED4D49">
              <w:rPr>
                <w:sz w:val="16"/>
                <w:szCs w:val="16"/>
              </w:rPr>
              <w:t>Policy dialogue, consultations, and the preparation of plans and studies</w:t>
            </w:r>
            <w:r w:rsidR="00F34C60" w:rsidRPr="00ED4D49">
              <w:rPr>
                <w:sz w:val="16"/>
                <w:szCs w:val="16"/>
              </w:rPr>
              <w:t xml:space="preserve"> for the </w:t>
            </w:r>
            <w:proofErr w:type="gramStart"/>
            <w:r w:rsidR="00F34C60" w:rsidRPr="00ED4D49">
              <w:rPr>
                <w:sz w:val="16"/>
                <w:szCs w:val="16"/>
              </w:rPr>
              <w:t>Sava river</w:t>
            </w:r>
            <w:proofErr w:type="gramEnd"/>
            <w:r w:rsidR="00F34C60" w:rsidRPr="00ED4D49">
              <w:rPr>
                <w:sz w:val="16"/>
                <w:szCs w:val="16"/>
              </w:rPr>
              <w:t xml:space="preserve"> basin</w:t>
            </w:r>
            <w:r w:rsidR="00450BDE" w:rsidRPr="00ED4D49">
              <w:rPr>
                <w:sz w:val="16"/>
                <w:szCs w:val="16"/>
              </w:rPr>
              <w:t>.</w:t>
            </w:r>
          </w:p>
          <w:p w14:paraId="00096FA0" w14:textId="057C7355" w:rsidR="00D04572" w:rsidRPr="00ED4D49" w:rsidRDefault="00F34C60" w:rsidP="00F34C60">
            <w:pPr>
              <w:pStyle w:val="ListParagraph"/>
              <w:widowControl w:val="0"/>
              <w:autoSpaceDE w:val="0"/>
              <w:autoSpaceDN w:val="0"/>
              <w:adjustRightInd w:val="0"/>
              <w:spacing w:before="0" w:after="0"/>
              <w:ind w:left="0"/>
              <w:jc w:val="both"/>
              <w:rPr>
                <w:sz w:val="16"/>
                <w:szCs w:val="16"/>
              </w:rPr>
            </w:pPr>
            <w:r w:rsidRPr="00ED4D49">
              <w:rPr>
                <w:sz w:val="16"/>
                <w:szCs w:val="16"/>
              </w:rPr>
              <w:t>Preparation of a</w:t>
            </w:r>
            <w:r w:rsidR="00D16B63" w:rsidRPr="00ED4D49">
              <w:rPr>
                <w:sz w:val="16"/>
                <w:szCs w:val="16"/>
              </w:rPr>
              <w:t xml:space="preserve">n advocacy and communication campaign </w:t>
            </w:r>
          </w:p>
        </w:tc>
      </w:tr>
    </w:tbl>
    <w:p w14:paraId="3936EFE5" w14:textId="77778BBE" w:rsidR="007D67BC" w:rsidRPr="00ED4D49" w:rsidRDefault="007D67BC" w:rsidP="007D67BC">
      <w:pPr>
        <w:rPr>
          <w:lang w:val="en-US"/>
        </w:rPr>
      </w:pPr>
    </w:p>
    <w:p w14:paraId="2DBC781E" w14:textId="692CAADF" w:rsidR="005E40AF" w:rsidRPr="00ED4D49" w:rsidRDefault="003E020B" w:rsidP="00FB300F">
      <w:pPr>
        <w:jc w:val="both"/>
        <w:rPr>
          <w:bCs/>
          <w:lang w:val="en-US"/>
        </w:rPr>
      </w:pPr>
      <w:r w:rsidRPr="00ED4D49">
        <w:rPr>
          <w:b/>
          <w:lang w:val="en-US"/>
        </w:rPr>
        <w:t>S</w:t>
      </w:r>
      <w:r w:rsidR="0042334F" w:rsidRPr="00ED4D49">
        <w:rPr>
          <w:b/>
          <w:lang w:val="en-US"/>
        </w:rPr>
        <w:t xml:space="preserve">ub-component </w:t>
      </w:r>
      <w:r w:rsidR="00DD6D56" w:rsidRPr="00ED4D49">
        <w:rPr>
          <w:b/>
          <w:lang w:val="en-US"/>
        </w:rPr>
        <w:t xml:space="preserve">1.1 </w:t>
      </w:r>
      <w:r w:rsidR="0042334F" w:rsidRPr="00ED4D49">
        <w:rPr>
          <w:b/>
          <w:lang w:val="en-US"/>
        </w:rPr>
        <w:t xml:space="preserve">of Component </w:t>
      </w:r>
      <w:r w:rsidR="001C2E14" w:rsidRPr="00ED4D49">
        <w:rPr>
          <w:b/>
          <w:lang w:val="en-US"/>
        </w:rPr>
        <w:t>1</w:t>
      </w:r>
      <w:r w:rsidR="0042334F" w:rsidRPr="00ED4D49">
        <w:rPr>
          <w:bCs/>
          <w:lang w:val="en-US"/>
        </w:rPr>
        <w:t xml:space="preserve"> </w:t>
      </w:r>
      <w:r w:rsidR="00EA7B14" w:rsidRPr="00ED4D49">
        <w:rPr>
          <w:bCs/>
          <w:lang w:val="en-US"/>
        </w:rPr>
        <w:t>is</w:t>
      </w:r>
      <w:r w:rsidR="0042334F" w:rsidRPr="00ED4D49">
        <w:rPr>
          <w:bCs/>
          <w:lang w:val="en-US"/>
        </w:rPr>
        <w:t xml:space="preserve"> expected to have</w:t>
      </w:r>
      <w:r w:rsidR="00385CBB" w:rsidRPr="00ED4D49">
        <w:rPr>
          <w:bCs/>
          <w:lang w:val="en-US"/>
        </w:rPr>
        <w:t xml:space="preserve"> </w:t>
      </w:r>
      <w:r w:rsidR="0042334F" w:rsidRPr="00ED4D49">
        <w:rPr>
          <w:bCs/>
          <w:lang w:val="en-US"/>
        </w:rPr>
        <w:t xml:space="preserve">negative </w:t>
      </w:r>
      <w:r w:rsidR="00DC6A3D" w:rsidRPr="00ED4D49">
        <w:rPr>
          <w:bCs/>
          <w:lang w:val="en-US"/>
        </w:rPr>
        <w:t>E&amp;S</w:t>
      </w:r>
      <w:r w:rsidR="0042334F" w:rsidRPr="00ED4D49">
        <w:rPr>
          <w:bCs/>
          <w:lang w:val="en-US"/>
        </w:rPr>
        <w:t xml:space="preserve"> </w:t>
      </w:r>
      <w:r w:rsidR="00CD09F0" w:rsidRPr="00ED4D49">
        <w:rPr>
          <w:bCs/>
          <w:lang w:val="en-US"/>
        </w:rPr>
        <w:t>impact</w:t>
      </w:r>
      <w:r w:rsidR="00DC6A3D" w:rsidRPr="00ED4D49">
        <w:rPr>
          <w:bCs/>
          <w:lang w:val="en-US"/>
        </w:rPr>
        <w:t>s</w:t>
      </w:r>
      <w:r w:rsidR="00CD09F0" w:rsidRPr="00ED4D49">
        <w:rPr>
          <w:bCs/>
          <w:lang w:val="en-US"/>
        </w:rPr>
        <w:t xml:space="preserve"> </w:t>
      </w:r>
      <w:r w:rsidR="0042334F" w:rsidRPr="00ED4D49">
        <w:rPr>
          <w:bCs/>
          <w:lang w:val="en-US"/>
        </w:rPr>
        <w:t>in the</w:t>
      </w:r>
      <w:r w:rsidR="00CD09F0" w:rsidRPr="00ED4D49">
        <w:rPr>
          <w:bCs/>
          <w:lang w:val="en-US"/>
        </w:rPr>
        <w:t xml:space="preserve"> pre-construction and</w:t>
      </w:r>
      <w:r w:rsidR="0042334F" w:rsidRPr="00ED4D49">
        <w:rPr>
          <w:bCs/>
          <w:lang w:val="en-US"/>
        </w:rPr>
        <w:t xml:space="preserve"> construction phase. </w:t>
      </w:r>
    </w:p>
    <w:p w14:paraId="451B6181" w14:textId="77777777" w:rsidR="00450BDE" w:rsidRPr="00ED4D49" w:rsidRDefault="004171F7" w:rsidP="00FB300F">
      <w:pPr>
        <w:jc w:val="both"/>
        <w:rPr>
          <w:lang w:val="en-US"/>
        </w:rPr>
      </w:pPr>
      <w:r w:rsidRPr="00ED4D49">
        <w:rPr>
          <w:i/>
          <w:iCs/>
          <w:lang w:val="en-US"/>
        </w:rPr>
        <w:t>In the pre-construction phase</w:t>
      </w:r>
      <w:r w:rsidRPr="00ED4D49">
        <w:rPr>
          <w:lang w:val="en-US"/>
        </w:rPr>
        <w:t xml:space="preserve">, land acquisition impacts might be </w:t>
      </w:r>
      <w:r w:rsidR="00DD6D56" w:rsidRPr="00ED4D49">
        <w:rPr>
          <w:lang w:val="en-US"/>
        </w:rPr>
        <w:t>an</w:t>
      </w:r>
      <w:r w:rsidRPr="00ED4D49">
        <w:rPr>
          <w:lang w:val="en-US"/>
        </w:rPr>
        <w:t xml:space="preserve"> issue</w:t>
      </w:r>
      <w:r w:rsidR="00450BDE" w:rsidRPr="00ED4D49">
        <w:rPr>
          <w:lang w:val="en-US"/>
        </w:rPr>
        <w:t>, depending on the type and location of the project</w:t>
      </w:r>
      <w:r w:rsidR="0052552A" w:rsidRPr="00ED4D49">
        <w:rPr>
          <w:lang w:val="en-US"/>
        </w:rPr>
        <w:t>.</w:t>
      </w:r>
      <w:r w:rsidR="00450BDE" w:rsidRPr="00ED4D49">
        <w:rPr>
          <w:lang w:val="en-US"/>
        </w:rPr>
        <w:t xml:space="preserve"> </w:t>
      </w:r>
    </w:p>
    <w:p w14:paraId="165BF334" w14:textId="4D256E9D" w:rsidR="005E40AF" w:rsidRPr="00ED4D49" w:rsidRDefault="00DD6D56" w:rsidP="00FB300F">
      <w:pPr>
        <w:jc w:val="both"/>
        <w:rPr>
          <w:i/>
          <w:iCs/>
          <w:lang w:val="en-US"/>
        </w:rPr>
      </w:pPr>
      <w:r w:rsidRPr="00ED4D49">
        <w:rPr>
          <w:i/>
          <w:iCs/>
          <w:lang w:val="en-US"/>
        </w:rPr>
        <w:t>In</w:t>
      </w:r>
      <w:r w:rsidR="00CD09F0" w:rsidRPr="00ED4D49">
        <w:rPr>
          <w:i/>
          <w:iCs/>
          <w:lang w:val="en-US"/>
        </w:rPr>
        <w:t xml:space="preserve"> the construction phase</w:t>
      </w:r>
      <w:r w:rsidR="00CD09F0" w:rsidRPr="00ED4D49">
        <w:rPr>
          <w:lang w:val="en-US"/>
        </w:rPr>
        <w:t xml:space="preserve">, the </w:t>
      </w:r>
      <w:r w:rsidR="004171F7" w:rsidRPr="00ED4D49">
        <w:rPr>
          <w:lang w:val="en-US"/>
        </w:rPr>
        <w:t xml:space="preserve">common </w:t>
      </w:r>
      <w:r w:rsidR="001C2E14" w:rsidRPr="00ED4D49">
        <w:rPr>
          <w:lang w:val="en-US"/>
        </w:rPr>
        <w:t>environmental</w:t>
      </w:r>
      <w:r w:rsidR="00CD09F0" w:rsidRPr="00ED4D49">
        <w:rPr>
          <w:lang w:val="en-US"/>
        </w:rPr>
        <w:t xml:space="preserve"> impacts </w:t>
      </w:r>
      <w:r w:rsidR="00450BDE" w:rsidRPr="00ED4D49">
        <w:rPr>
          <w:lang w:val="en-US"/>
        </w:rPr>
        <w:t xml:space="preserve">that can be expected on air, water, soil quality and biodiversity from activities under sub-component 1.1. are those </w:t>
      </w:r>
      <w:r w:rsidR="00CD09F0" w:rsidRPr="00ED4D49">
        <w:rPr>
          <w:lang w:val="en-US"/>
        </w:rPr>
        <w:t>result</w:t>
      </w:r>
      <w:r w:rsidR="00450BDE" w:rsidRPr="00ED4D49">
        <w:rPr>
          <w:lang w:val="en-US"/>
        </w:rPr>
        <w:t>ing from</w:t>
      </w:r>
      <w:r w:rsidR="00CD09F0" w:rsidRPr="00ED4D49">
        <w:rPr>
          <w:lang w:val="en-US"/>
        </w:rPr>
        <w:t xml:space="preserve"> construction works</w:t>
      </w:r>
      <w:r w:rsidR="004171F7" w:rsidRPr="00ED4D49">
        <w:rPr>
          <w:lang w:val="en-US"/>
        </w:rPr>
        <w:t xml:space="preserve"> and generation of construction and demolition waste</w:t>
      </w:r>
      <w:r w:rsidR="00CD09F0" w:rsidRPr="00ED4D49">
        <w:rPr>
          <w:lang w:val="en-US"/>
        </w:rPr>
        <w:t>.</w:t>
      </w:r>
      <w:r w:rsidR="002C6507" w:rsidRPr="00ED4D49">
        <w:rPr>
          <w:lang w:val="en-US"/>
        </w:rPr>
        <w:t xml:space="preserve"> An additional source of risk is the rehabilitation of the Brcko District landfill, which has been used for decades without adequate leachate and gas collection networks. The risks associated with this include risks to the community, worker health and safety and fire hazards.</w:t>
      </w:r>
      <w:r w:rsidR="00DD2D44" w:rsidRPr="00ED4D49">
        <w:rPr>
          <w:lang w:val="en-US"/>
        </w:rPr>
        <w:t xml:space="preserve"> </w:t>
      </w:r>
      <w:r w:rsidR="00FB300F" w:rsidRPr="00ED4D49">
        <w:rPr>
          <w:lang w:val="en-US"/>
        </w:rPr>
        <w:t>The breach of nationally allowed</w:t>
      </w:r>
      <w:r w:rsidR="00C6478C" w:rsidRPr="00ED4D49">
        <w:rPr>
          <w:lang w:val="en-US"/>
        </w:rPr>
        <w:t xml:space="preserve"> </w:t>
      </w:r>
      <w:r w:rsidR="00FB300F" w:rsidRPr="00ED4D49">
        <w:rPr>
          <w:lang w:val="en-US"/>
        </w:rPr>
        <w:t>concentration of pollutants into the air, soil or water as are not expected as the works will be implemented with best practices and in accordance with legislati</w:t>
      </w:r>
      <w:r w:rsidR="005E40AF" w:rsidRPr="00ED4D49">
        <w:rPr>
          <w:lang w:val="en-US"/>
        </w:rPr>
        <w:t>ve</w:t>
      </w:r>
      <w:r w:rsidR="00FB300F" w:rsidRPr="00ED4D49">
        <w:rPr>
          <w:lang w:val="en-US"/>
        </w:rPr>
        <w:t xml:space="preserve"> requirements, adjoined with </w:t>
      </w:r>
      <w:r w:rsidR="00F9486A" w:rsidRPr="00ED4D49">
        <w:rPr>
          <w:lang w:val="en-US"/>
        </w:rPr>
        <w:t xml:space="preserve">the </w:t>
      </w:r>
      <w:r w:rsidR="00FB300F" w:rsidRPr="00ED4D49">
        <w:rPr>
          <w:lang w:val="en-US"/>
        </w:rPr>
        <w:t xml:space="preserve">defined mitigation measures prescribed (where needed) by the ESMP/ESIA to be developed for each </w:t>
      </w:r>
      <w:r w:rsidR="0099422A" w:rsidRPr="00ED4D49">
        <w:rPr>
          <w:lang w:val="en-US"/>
        </w:rPr>
        <w:t>subproject</w:t>
      </w:r>
      <w:r w:rsidR="005E40AF" w:rsidRPr="00ED4D49">
        <w:rPr>
          <w:lang w:val="en-US"/>
        </w:rPr>
        <w:t xml:space="preserve"> </w:t>
      </w:r>
      <w:r w:rsidR="00FB300F" w:rsidRPr="00ED4D49">
        <w:rPr>
          <w:lang w:val="en-US"/>
        </w:rPr>
        <w:t xml:space="preserve">prior to its implementation. The development and implementation of the site-specific ESMP </w:t>
      </w:r>
      <w:r w:rsidR="005E40AF" w:rsidRPr="00ED4D49">
        <w:rPr>
          <w:lang w:val="en-US"/>
        </w:rPr>
        <w:t>will</w:t>
      </w:r>
      <w:r w:rsidR="00FB300F" w:rsidRPr="00ED4D49">
        <w:rPr>
          <w:lang w:val="en-US"/>
        </w:rPr>
        <w:t xml:space="preserve"> minimize and prevent </w:t>
      </w:r>
      <w:r w:rsidR="005E40AF" w:rsidRPr="00ED4D49">
        <w:rPr>
          <w:lang w:val="en-US"/>
        </w:rPr>
        <w:t xml:space="preserve">the </w:t>
      </w:r>
      <w:r w:rsidR="00FB300F" w:rsidRPr="00ED4D49">
        <w:rPr>
          <w:lang w:val="en-US"/>
        </w:rPr>
        <w:t xml:space="preserve">identified negative impacts, through </w:t>
      </w:r>
      <w:r w:rsidR="005E40AF" w:rsidRPr="00ED4D49">
        <w:rPr>
          <w:lang w:val="en-US"/>
        </w:rPr>
        <w:t xml:space="preserve">a </w:t>
      </w:r>
      <w:r w:rsidR="00FB300F" w:rsidRPr="00ED4D49">
        <w:rPr>
          <w:lang w:val="en-US"/>
        </w:rPr>
        <w:t xml:space="preserve">set of specific environmental mitigation and monitoring requirements to be </w:t>
      </w:r>
      <w:r w:rsidR="005E40AF" w:rsidRPr="00ED4D49">
        <w:rPr>
          <w:lang w:val="en-US"/>
        </w:rPr>
        <w:t>followed</w:t>
      </w:r>
      <w:r w:rsidR="00FB300F" w:rsidRPr="00ED4D49">
        <w:rPr>
          <w:lang w:val="en-US"/>
        </w:rPr>
        <w:t xml:space="preserve"> by the contractor and/or responsible parties during implementation.</w:t>
      </w:r>
      <w:r w:rsidR="00FB300F" w:rsidRPr="00ED4D49">
        <w:rPr>
          <w:i/>
          <w:iCs/>
          <w:lang w:val="en-US"/>
        </w:rPr>
        <w:t xml:space="preserve"> </w:t>
      </w:r>
    </w:p>
    <w:p w14:paraId="05B29BD9" w14:textId="2D4D7DED" w:rsidR="00450BDE" w:rsidRPr="00ED4D49" w:rsidRDefault="00450BDE" w:rsidP="00450BDE">
      <w:pPr>
        <w:jc w:val="both"/>
        <w:rPr>
          <w:lang w:val="en-US"/>
        </w:rPr>
      </w:pPr>
      <w:r w:rsidRPr="00ED4D49">
        <w:rPr>
          <w:b/>
          <w:bCs/>
          <w:lang w:val="en-US"/>
        </w:rPr>
        <w:lastRenderedPageBreak/>
        <w:t>Sub-component 1.2</w:t>
      </w:r>
      <w:r w:rsidRPr="00ED4D49">
        <w:rPr>
          <w:lang w:val="en-US"/>
        </w:rPr>
        <w:t xml:space="preserve"> </w:t>
      </w:r>
      <w:r w:rsidR="002C6507" w:rsidRPr="00ED4D49">
        <w:rPr>
          <w:lang w:val="en-US"/>
        </w:rPr>
        <w:t>for the most part has similar impacts and risks to those identified under sub-component 1.1. and related to construction works. However, this sub-component also includes dredging and demining works. D</w:t>
      </w:r>
      <w:r w:rsidRPr="00ED4D49">
        <w:rPr>
          <w:lang w:val="en-US"/>
        </w:rPr>
        <w:t>emining operations have a potential to damage the environment, not only because of the short-term effects caused by demolition activities, but long-term effects that may be caused by contamination of soil and water systems, removal of vegetation, disruption to watercourses or changes to soil structure. Demining operations may also damage the natural habitats of insects and wildlife and affect areas of historical or cultural significance.</w:t>
      </w:r>
      <w:r w:rsidR="002C6507" w:rsidRPr="00ED4D49">
        <w:rPr>
          <w:lang w:val="en-US"/>
        </w:rPr>
        <w:t xml:space="preserve"> The risks to the community health and safety and worker safety will be included in the site-specific ESMPs that will also integrate the demining SOPs. For the dredging of the riverbed, the issues of management of large quantities of sludge are identified. The risks associated are linked with the composition of the sludge (which is unknown) that will further dictate the disposal methods. Also, the possibility of chance finds during dredging, inclusive of cultural heritage and UXOs poses a risk. </w:t>
      </w:r>
      <w:r w:rsidRPr="00ED4D49">
        <w:rPr>
          <w:lang w:val="en-US"/>
        </w:rPr>
        <w:t xml:space="preserve"> The development and implementation of </w:t>
      </w:r>
      <w:r w:rsidR="00520238" w:rsidRPr="00ED4D49">
        <w:rPr>
          <w:lang w:val="en-US"/>
        </w:rPr>
        <w:t>a</w:t>
      </w:r>
      <w:r w:rsidRPr="00ED4D49">
        <w:rPr>
          <w:lang w:val="en-US"/>
        </w:rPr>
        <w:t xml:space="preserve"> site-specific ESMP will </w:t>
      </w:r>
      <w:r w:rsidR="00520238" w:rsidRPr="00ED4D49">
        <w:rPr>
          <w:lang w:val="en-US"/>
        </w:rPr>
        <w:t xml:space="preserve">help </w:t>
      </w:r>
      <w:r w:rsidRPr="00ED4D49">
        <w:rPr>
          <w:lang w:val="en-US"/>
        </w:rPr>
        <w:t>minimize and prevent</w:t>
      </w:r>
      <w:r w:rsidR="0065291E" w:rsidRPr="00ED4D49">
        <w:rPr>
          <w:lang w:val="en-US"/>
        </w:rPr>
        <w:t xml:space="preserve"> the</w:t>
      </w:r>
      <w:r w:rsidRPr="00ED4D49">
        <w:rPr>
          <w:lang w:val="en-US"/>
        </w:rPr>
        <w:t xml:space="preserve"> identified negative impacts. </w:t>
      </w:r>
    </w:p>
    <w:p w14:paraId="22AF1883" w14:textId="710CF35C" w:rsidR="00450BDE" w:rsidRPr="00ED4D49" w:rsidRDefault="00FB300F" w:rsidP="00FB300F">
      <w:pPr>
        <w:jc w:val="both"/>
        <w:rPr>
          <w:color w:val="000000"/>
          <w:lang w:val="en-US"/>
        </w:rPr>
      </w:pPr>
      <w:r w:rsidRPr="00ED4D49">
        <w:rPr>
          <w:i/>
          <w:iCs/>
          <w:lang w:val="en-US"/>
        </w:rPr>
        <w:t>In the implementation phase</w:t>
      </w:r>
      <w:r w:rsidR="005E40AF" w:rsidRPr="00ED4D49">
        <w:rPr>
          <w:i/>
          <w:iCs/>
          <w:lang w:val="en-US"/>
        </w:rPr>
        <w:t>,</w:t>
      </w:r>
      <w:r w:rsidRPr="00ED4D49">
        <w:rPr>
          <w:lang w:val="en-US"/>
        </w:rPr>
        <w:t xml:space="preserve"> </w:t>
      </w:r>
      <w:r w:rsidR="00450BDE" w:rsidRPr="00ED4D49">
        <w:rPr>
          <w:lang w:val="en-US"/>
        </w:rPr>
        <w:t xml:space="preserve">the </w:t>
      </w:r>
      <w:r w:rsidRPr="00ED4D49">
        <w:rPr>
          <w:lang w:val="en-US"/>
        </w:rPr>
        <w:t xml:space="preserve">projects are expected to bring positive </w:t>
      </w:r>
      <w:r w:rsidR="005E40AF" w:rsidRPr="00ED4D49">
        <w:rPr>
          <w:lang w:val="en-US"/>
        </w:rPr>
        <w:t>E&amp;S</w:t>
      </w:r>
      <w:r w:rsidRPr="00ED4D49">
        <w:rPr>
          <w:lang w:val="en-US"/>
        </w:rPr>
        <w:t xml:space="preserve"> benefits</w:t>
      </w:r>
      <w:r w:rsidR="00450BDE" w:rsidRPr="00ED4D49">
        <w:rPr>
          <w:lang w:val="en-US"/>
        </w:rPr>
        <w:t xml:space="preserve"> in terms of protection from flood but also through demining, reforestation and protection of ecological environment and biodiversity.</w:t>
      </w:r>
      <w:r w:rsidRPr="00ED4D49">
        <w:rPr>
          <w:lang w:val="en-US"/>
        </w:rPr>
        <w:t xml:space="preserve"> </w:t>
      </w:r>
    </w:p>
    <w:p w14:paraId="11252418" w14:textId="77777777" w:rsidR="00C769B8" w:rsidRPr="00ED4D49" w:rsidRDefault="00C769B8" w:rsidP="00DD6D56">
      <w:pPr>
        <w:jc w:val="both"/>
        <w:rPr>
          <w:bCs/>
          <w:lang w:val="en-US"/>
        </w:rPr>
      </w:pPr>
      <w:r w:rsidRPr="00ED4D49">
        <w:rPr>
          <w:b/>
          <w:lang w:val="en-US"/>
        </w:rPr>
        <w:t>S</w:t>
      </w:r>
      <w:r w:rsidR="001C2E14" w:rsidRPr="00ED4D49">
        <w:rPr>
          <w:b/>
          <w:lang w:val="en-US"/>
        </w:rPr>
        <w:t>ub-component</w:t>
      </w:r>
      <w:r w:rsidR="00DD6D56" w:rsidRPr="00ED4D49">
        <w:rPr>
          <w:b/>
          <w:lang w:val="en-US"/>
        </w:rPr>
        <w:t xml:space="preserve"> 2.</w:t>
      </w:r>
      <w:r w:rsidR="00387A82" w:rsidRPr="00ED4D49">
        <w:rPr>
          <w:b/>
          <w:lang w:val="en-US"/>
        </w:rPr>
        <w:t>1</w:t>
      </w:r>
      <w:r w:rsidR="00DD6D56" w:rsidRPr="00ED4D49">
        <w:rPr>
          <w:b/>
          <w:lang w:val="en-US"/>
        </w:rPr>
        <w:t xml:space="preserve">. </w:t>
      </w:r>
      <w:r w:rsidRPr="00ED4D49">
        <w:rPr>
          <w:b/>
          <w:lang w:val="en-US"/>
        </w:rPr>
        <w:t>under</w:t>
      </w:r>
      <w:r w:rsidR="001C2E14" w:rsidRPr="00ED4D49">
        <w:rPr>
          <w:b/>
          <w:lang w:val="en-US"/>
        </w:rPr>
        <w:t xml:space="preserve"> Component 2</w:t>
      </w:r>
      <w:r w:rsidR="004171F7" w:rsidRPr="00ED4D49">
        <w:rPr>
          <w:bCs/>
          <w:lang w:val="en-US"/>
        </w:rPr>
        <w:t xml:space="preserve"> </w:t>
      </w:r>
      <w:r w:rsidR="00DD2D44" w:rsidRPr="00ED4D49">
        <w:rPr>
          <w:bCs/>
          <w:lang w:val="en-US"/>
        </w:rPr>
        <w:t>is</w:t>
      </w:r>
      <w:r w:rsidR="004171F7" w:rsidRPr="00ED4D49">
        <w:rPr>
          <w:bCs/>
          <w:lang w:val="en-US"/>
        </w:rPr>
        <w:t xml:space="preserve"> also expected to have negative </w:t>
      </w:r>
      <w:r w:rsidRPr="00ED4D49">
        <w:rPr>
          <w:lang w:val="en-US"/>
        </w:rPr>
        <w:t>E&amp;S</w:t>
      </w:r>
      <w:r w:rsidRPr="00ED4D49">
        <w:rPr>
          <w:bCs/>
          <w:lang w:val="en-US"/>
        </w:rPr>
        <w:t xml:space="preserve"> </w:t>
      </w:r>
      <w:r w:rsidR="004171F7" w:rsidRPr="00ED4D49">
        <w:rPr>
          <w:bCs/>
          <w:lang w:val="en-US"/>
        </w:rPr>
        <w:t>impact</w:t>
      </w:r>
      <w:r w:rsidRPr="00ED4D49">
        <w:rPr>
          <w:bCs/>
          <w:lang w:val="en-US"/>
        </w:rPr>
        <w:t>s</w:t>
      </w:r>
      <w:r w:rsidR="004171F7" w:rsidRPr="00ED4D49">
        <w:rPr>
          <w:bCs/>
          <w:lang w:val="en-US"/>
        </w:rPr>
        <w:t xml:space="preserve"> in the pre-construction and construction phase</w:t>
      </w:r>
      <w:r w:rsidR="00385CBB" w:rsidRPr="00ED4D49">
        <w:rPr>
          <w:bCs/>
          <w:lang w:val="en-US"/>
        </w:rPr>
        <w:t xml:space="preserve">. </w:t>
      </w:r>
    </w:p>
    <w:p w14:paraId="6B233152" w14:textId="18E11546" w:rsidR="00C769B8" w:rsidRPr="00ED4D49" w:rsidRDefault="00385CBB" w:rsidP="00DD6D56">
      <w:pPr>
        <w:jc w:val="both"/>
        <w:rPr>
          <w:lang w:val="en-US"/>
        </w:rPr>
      </w:pPr>
      <w:r w:rsidRPr="00ED4D49">
        <w:rPr>
          <w:i/>
          <w:iCs/>
          <w:lang w:val="en-US"/>
        </w:rPr>
        <w:t>In the pre-construction phase</w:t>
      </w:r>
      <w:r w:rsidRPr="00ED4D49">
        <w:rPr>
          <w:lang w:val="en-US"/>
        </w:rPr>
        <w:t>, land acquisition impacts might be an issue</w:t>
      </w:r>
      <w:r w:rsidR="00DD2D44" w:rsidRPr="00ED4D49">
        <w:rPr>
          <w:lang w:val="en-US"/>
        </w:rPr>
        <w:t xml:space="preserve">. </w:t>
      </w:r>
    </w:p>
    <w:p w14:paraId="52898242" w14:textId="4251CE45" w:rsidR="00DD6D56" w:rsidRPr="00ED4D49" w:rsidRDefault="00385CBB" w:rsidP="00DD6D56">
      <w:pPr>
        <w:jc w:val="both"/>
        <w:rPr>
          <w:lang w:val="en-US"/>
        </w:rPr>
      </w:pPr>
      <w:r w:rsidRPr="00ED4D49">
        <w:rPr>
          <w:i/>
          <w:iCs/>
          <w:lang w:val="en-US"/>
        </w:rPr>
        <w:t>In the construction phase</w:t>
      </w:r>
      <w:r w:rsidR="00C769B8" w:rsidRPr="00ED4D49">
        <w:rPr>
          <w:i/>
          <w:iCs/>
          <w:lang w:val="en-US"/>
        </w:rPr>
        <w:t>,</w:t>
      </w:r>
      <w:r w:rsidRPr="00ED4D49">
        <w:rPr>
          <w:lang w:val="en-US"/>
        </w:rPr>
        <w:t xml:space="preserve"> i</w:t>
      </w:r>
      <w:r w:rsidR="00DD6D56" w:rsidRPr="00ED4D49">
        <w:rPr>
          <w:lang w:val="en-US"/>
        </w:rPr>
        <w:t>mpacts on</w:t>
      </w:r>
      <w:r w:rsidR="00F723D6" w:rsidRPr="00ED4D49">
        <w:rPr>
          <w:lang w:val="en-US"/>
        </w:rPr>
        <w:t xml:space="preserve"> society and </w:t>
      </w:r>
      <w:r w:rsidR="00C769B8" w:rsidRPr="00ED4D49">
        <w:rPr>
          <w:lang w:val="en-US"/>
        </w:rPr>
        <w:t>the</w:t>
      </w:r>
      <w:r w:rsidR="00DD6D56" w:rsidRPr="00ED4D49">
        <w:rPr>
          <w:lang w:val="en-US"/>
        </w:rPr>
        <w:t xml:space="preserve"> environment a</w:t>
      </w:r>
      <w:r w:rsidRPr="00ED4D49">
        <w:rPr>
          <w:lang w:val="en-US"/>
        </w:rPr>
        <w:t>re</w:t>
      </w:r>
      <w:r w:rsidR="00C769B8" w:rsidRPr="00ED4D49">
        <w:rPr>
          <w:lang w:val="en-US"/>
        </w:rPr>
        <w:t xml:space="preserve"> a</w:t>
      </w:r>
      <w:r w:rsidR="00DD6D56" w:rsidRPr="00ED4D49">
        <w:rPr>
          <w:lang w:val="en-US"/>
        </w:rPr>
        <w:t xml:space="preserve"> direct consequence of human presence and construction/reconstruction</w:t>
      </w:r>
      <w:r w:rsidR="00DD2D44" w:rsidRPr="00ED4D49">
        <w:rPr>
          <w:lang w:val="en-US"/>
        </w:rPr>
        <w:t>/dragging</w:t>
      </w:r>
      <w:r w:rsidR="00DD6D56" w:rsidRPr="00ED4D49">
        <w:rPr>
          <w:lang w:val="en-US"/>
        </w:rPr>
        <w:t xml:space="preserve"> works at locations, such as putting embankments and gabions as flood prevention measures</w:t>
      </w:r>
      <w:r w:rsidRPr="00ED4D49">
        <w:rPr>
          <w:lang w:val="en-US"/>
        </w:rPr>
        <w:t xml:space="preserve">, </w:t>
      </w:r>
      <w:r w:rsidR="00DD6D56" w:rsidRPr="00ED4D49">
        <w:rPr>
          <w:lang w:val="en-US"/>
        </w:rPr>
        <w:t>stabili</w:t>
      </w:r>
      <w:r w:rsidRPr="00ED4D49">
        <w:rPr>
          <w:lang w:val="en-US"/>
        </w:rPr>
        <w:t>za</w:t>
      </w:r>
      <w:r w:rsidR="00DD6D56" w:rsidRPr="00ED4D49">
        <w:rPr>
          <w:lang w:val="en-US"/>
        </w:rPr>
        <w:t>tion of the landslides</w:t>
      </w:r>
      <w:r w:rsidR="00DD2D44" w:rsidRPr="00ED4D49">
        <w:rPr>
          <w:lang w:val="en-US"/>
        </w:rPr>
        <w:t>,</w:t>
      </w:r>
      <w:r w:rsidR="00DD6D56" w:rsidRPr="00ED4D49">
        <w:rPr>
          <w:lang w:val="en-US"/>
        </w:rPr>
        <w:t xml:space="preserve"> riverbed</w:t>
      </w:r>
      <w:r w:rsidR="00DD2D44" w:rsidRPr="00ED4D49">
        <w:rPr>
          <w:lang w:val="en-US"/>
        </w:rPr>
        <w:t xml:space="preserve"> cleaning and</w:t>
      </w:r>
      <w:r w:rsidR="00DD6D56" w:rsidRPr="00ED4D49">
        <w:rPr>
          <w:lang w:val="en-US"/>
        </w:rPr>
        <w:t xml:space="preserve"> regulation in river</w:t>
      </w:r>
      <w:r w:rsidRPr="00ED4D49">
        <w:rPr>
          <w:lang w:val="en-US"/>
        </w:rPr>
        <w:t>, etc</w:t>
      </w:r>
      <w:r w:rsidR="00DD6D56" w:rsidRPr="00ED4D49">
        <w:rPr>
          <w:lang w:val="en-US"/>
        </w:rPr>
        <w:t>. Pollution that occur</w:t>
      </w:r>
      <w:r w:rsidR="00C769B8" w:rsidRPr="00ED4D49">
        <w:rPr>
          <w:lang w:val="en-US"/>
        </w:rPr>
        <w:t>s</w:t>
      </w:r>
      <w:r w:rsidR="00DD6D56" w:rsidRPr="00ED4D49">
        <w:rPr>
          <w:lang w:val="en-US"/>
        </w:rPr>
        <w:t xml:space="preserve"> in the phase of reconstruction, rehabilitation and/or repair are</w:t>
      </w:r>
      <w:r w:rsidRPr="00ED4D49">
        <w:rPr>
          <w:lang w:val="en-US"/>
        </w:rPr>
        <w:t xml:space="preserve"> local,</w:t>
      </w:r>
      <w:r w:rsidR="00DD6D56" w:rsidRPr="00ED4D49">
        <w:rPr>
          <w:lang w:val="en-US"/>
        </w:rPr>
        <w:t xml:space="preserve"> temporary in their scope and limited in intensity, although they can cause consequences if breakdowns </w:t>
      </w:r>
      <w:r w:rsidR="00387A82" w:rsidRPr="00ED4D49">
        <w:rPr>
          <w:lang w:val="en-US"/>
        </w:rPr>
        <w:t>occur</w:t>
      </w:r>
      <w:r w:rsidR="00DD6D56" w:rsidRPr="00ED4D49">
        <w:rPr>
          <w:lang w:val="en-US"/>
        </w:rPr>
        <w:t xml:space="preserve">. However, a significant impact on </w:t>
      </w:r>
      <w:r w:rsidR="00C769B8" w:rsidRPr="00ED4D49">
        <w:rPr>
          <w:lang w:val="en-US"/>
        </w:rPr>
        <w:t xml:space="preserve">the </w:t>
      </w:r>
      <w:r w:rsidR="00DD6D56" w:rsidRPr="00ED4D49">
        <w:rPr>
          <w:lang w:val="en-US"/>
        </w:rPr>
        <w:t>environment and local population is not expected. The breach of nationally allowed concentration</w:t>
      </w:r>
      <w:r w:rsidR="00C769B8" w:rsidRPr="00ED4D49">
        <w:rPr>
          <w:lang w:val="en-US"/>
        </w:rPr>
        <w:t>s</w:t>
      </w:r>
      <w:r w:rsidR="00DD6D56" w:rsidRPr="00ED4D49">
        <w:rPr>
          <w:lang w:val="en-US"/>
        </w:rPr>
        <w:t xml:space="preserve"> of pollutants into the air, soil or water are not expected as the works will be implemented with best </w:t>
      </w:r>
      <w:r w:rsidR="00DD2D44" w:rsidRPr="00ED4D49">
        <w:rPr>
          <w:lang w:val="en-US"/>
        </w:rPr>
        <w:t>practices</w:t>
      </w:r>
      <w:r w:rsidR="00DD6D56" w:rsidRPr="00ED4D49">
        <w:rPr>
          <w:lang w:val="en-US"/>
        </w:rPr>
        <w:t xml:space="preserve"> and in accordance with legislation requirements, adjoined with defined mitigation measures prescribed (where needed) by the E</w:t>
      </w:r>
      <w:r w:rsidRPr="00ED4D49">
        <w:rPr>
          <w:lang w:val="en-US"/>
        </w:rPr>
        <w:t>S</w:t>
      </w:r>
      <w:r w:rsidR="00DD6D56" w:rsidRPr="00ED4D49">
        <w:rPr>
          <w:lang w:val="en-US"/>
        </w:rPr>
        <w:t xml:space="preserve">MP/EIA to be developed for each </w:t>
      </w:r>
      <w:r w:rsidR="0099422A" w:rsidRPr="00ED4D49">
        <w:rPr>
          <w:lang w:val="en-US"/>
        </w:rPr>
        <w:t>subproject</w:t>
      </w:r>
      <w:r w:rsidR="00C769B8" w:rsidRPr="00ED4D49">
        <w:rPr>
          <w:lang w:val="en-US"/>
        </w:rPr>
        <w:t xml:space="preserve"> </w:t>
      </w:r>
      <w:r w:rsidR="00DD6D56" w:rsidRPr="00ED4D49">
        <w:rPr>
          <w:lang w:val="en-US"/>
        </w:rPr>
        <w:t>prior to its implementation. The implementation of the E</w:t>
      </w:r>
      <w:r w:rsidRPr="00ED4D49">
        <w:rPr>
          <w:lang w:val="en-US"/>
        </w:rPr>
        <w:t>S</w:t>
      </w:r>
      <w:r w:rsidR="00DD6D56" w:rsidRPr="00ED4D49">
        <w:rPr>
          <w:lang w:val="en-US"/>
        </w:rPr>
        <w:t xml:space="preserve">MP </w:t>
      </w:r>
      <w:r w:rsidR="00C769B8" w:rsidRPr="00ED4D49">
        <w:rPr>
          <w:lang w:val="en-US"/>
        </w:rPr>
        <w:t>will</w:t>
      </w:r>
      <w:r w:rsidR="00DD6D56" w:rsidRPr="00ED4D49">
        <w:rPr>
          <w:lang w:val="en-US"/>
        </w:rPr>
        <w:t xml:space="preserve"> minimi</w:t>
      </w:r>
      <w:r w:rsidRPr="00ED4D49">
        <w:rPr>
          <w:lang w:val="en-US"/>
        </w:rPr>
        <w:t>z</w:t>
      </w:r>
      <w:r w:rsidR="00DD6D56" w:rsidRPr="00ED4D49">
        <w:rPr>
          <w:lang w:val="en-US"/>
        </w:rPr>
        <w:t xml:space="preserve">e and prevent </w:t>
      </w:r>
      <w:r w:rsidR="00C769B8" w:rsidRPr="00ED4D49">
        <w:rPr>
          <w:lang w:val="en-US"/>
        </w:rPr>
        <w:t xml:space="preserve">the </w:t>
      </w:r>
      <w:r w:rsidR="00DD6D56" w:rsidRPr="00ED4D49">
        <w:rPr>
          <w:lang w:val="en-US"/>
        </w:rPr>
        <w:t xml:space="preserve">identified negative impacts, through </w:t>
      </w:r>
      <w:r w:rsidR="00C769B8" w:rsidRPr="00ED4D49">
        <w:rPr>
          <w:lang w:val="en-US"/>
        </w:rPr>
        <w:t xml:space="preserve">a </w:t>
      </w:r>
      <w:r w:rsidR="00DD6D56" w:rsidRPr="00ED4D49">
        <w:rPr>
          <w:lang w:val="en-US"/>
        </w:rPr>
        <w:t xml:space="preserve">set of specific environmental mitigation and monitoring requirements to be </w:t>
      </w:r>
      <w:r w:rsidR="00C769B8" w:rsidRPr="00ED4D49">
        <w:rPr>
          <w:lang w:val="en-US"/>
        </w:rPr>
        <w:t>followed</w:t>
      </w:r>
      <w:r w:rsidR="00DD6D56" w:rsidRPr="00ED4D49">
        <w:rPr>
          <w:lang w:val="en-US"/>
        </w:rPr>
        <w:t xml:space="preserve"> by the contractor and/or responsible parties (for example, municipalities, </w:t>
      </w:r>
      <w:r w:rsidR="003E020B" w:rsidRPr="00ED4D49">
        <w:rPr>
          <w:lang w:val="en-US"/>
        </w:rPr>
        <w:t>w</w:t>
      </w:r>
      <w:r w:rsidR="00DD6D56" w:rsidRPr="00ED4D49">
        <w:rPr>
          <w:lang w:val="en-US"/>
        </w:rPr>
        <w:t>ater association, etc.) during implementation and operation.</w:t>
      </w:r>
      <w:r w:rsidR="00C6478C" w:rsidRPr="00ED4D49">
        <w:rPr>
          <w:lang w:val="en-US"/>
        </w:rPr>
        <w:t xml:space="preserve"> </w:t>
      </w:r>
    </w:p>
    <w:p w14:paraId="44BDAE17" w14:textId="37C07DA9" w:rsidR="00E314D5" w:rsidRPr="00ED4D49" w:rsidRDefault="003E020B" w:rsidP="0042334F">
      <w:pPr>
        <w:jc w:val="both"/>
        <w:rPr>
          <w:bCs/>
          <w:lang w:val="en-US"/>
        </w:rPr>
      </w:pPr>
      <w:r w:rsidRPr="00ED4D49">
        <w:rPr>
          <w:b/>
          <w:bCs/>
          <w:lang w:val="en-US"/>
        </w:rPr>
        <w:t>S</w:t>
      </w:r>
      <w:r w:rsidR="00E314D5" w:rsidRPr="00ED4D49">
        <w:rPr>
          <w:b/>
          <w:bCs/>
          <w:lang w:val="en-US"/>
        </w:rPr>
        <w:t>ub-components</w:t>
      </w:r>
      <w:r w:rsidR="00E314D5" w:rsidRPr="00ED4D49">
        <w:rPr>
          <w:b/>
          <w:lang w:val="en-US"/>
        </w:rPr>
        <w:t xml:space="preserve"> </w:t>
      </w:r>
      <w:r w:rsidR="00DD2D44" w:rsidRPr="00ED4D49">
        <w:rPr>
          <w:b/>
          <w:lang w:val="en-US"/>
        </w:rPr>
        <w:t>3.1</w:t>
      </w:r>
      <w:r w:rsidR="00FB14DF" w:rsidRPr="00ED4D49">
        <w:rPr>
          <w:b/>
          <w:lang w:val="en-US"/>
        </w:rPr>
        <w:t xml:space="preserve"> and </w:t>
      </w:r>
      <w:r w:rsidR="001947AE" w:rsidRPr="00ED4D49">
        <w:rPr>
          <w:b/>
          <w:lang w:val="en-US"/>
        </w:rPr>
        <w:t xml:space="preserve">3.2 </w:t>
      </w:r>
      <w:r w:rsidR="0042334F" w:rsidRPr="00ED4D49">
        <w:rPr>
          <w:b/>
          <w:lang w:val="en-US"/>
        </w:rPr>
        <w:t>of</w:t>
      </w:r>
      <w:r w:rsidR="00E314D5" w:rsidRPr="00ED4D49">
        <w:rPr>
          <w:b/>
          <w:lang w:val="en-US"/>
        </w:rPr>
        <w:t xml:space="preserve"> Component 3</w:t>
      </w:r>
      <w:r w:rsidR="00E314D5" w:rsidRPr="00ED4D49">
        <w:rPr>
          <w:bCs/>
          <w:lang w:val="en-US"/>
        </w:rPr>
        <w:t xml:space="preserve"> are not expected to have</w:t>
      </w:r>
      <w:r w:rsidR="00E314D5" w:rsidRPr="00ED4D49">
        <w:rPr>
          <w:lang w:val="en-US"/>
        </w:rPr>
        <w:t xml:space="preserve"> negative impacts on</w:t>
      </w:r>
      <w:r w:rsidRPr="00ED4D49">
        <w:rPr>
          <w:lang w:val="en-US"/>
        </w:rPr>
        <w:t xml:space="preserve"> the</w:t>
      </w:r>
      <w:r w:rsidR="00E314D5" w:rsidRPr="00ED4D49">
        <w:rPr>
          <w:lang w:val="en-US"/>
        </w:rPr>
        <w:t xml:space="preserve"> environment, since this phase </w:t>
      </w:r>
      <w:r w:rsidRPr="00ED4D49">
        <w:rPr>
          <w:lang w:val="en-US"/>
        </w:rPr>
        <w:t>involves the</w:t>
      </w:r>
      <w:r w:rsidR="00E314D5" w:rsidRPr="00ED4D49">
        <w:rPr>
          <w:lang w:val="en-US"/>
        </w:rPr>
        <w:t xml:space="preserve"> preparation of concept</w:t>
      </w:r>
      <w:r w:rsidRPr="00ED4D49">
        <w:rPr>
          <w:lang w:val="en-US"/>
        </w:rPr>
        <w:t xml:space="preserve">ual </w:t>
      </w:r>
      <w:r w:rsidR="00E314D5" w:rsidRPr="00ED4D49">
        <w:rPr>
          <w:lang w:val="en-US"/>
        </w:rPr>
        <w:t>or main design of works to be implemented</w:t>
      </w:r>
      <w:r w:rsidRPr="00ED4D49">
        <w:rPr>
          <w:lang w:val="en-US"/>
        </w:rPr>
        <w:t>, as well as</w:t>
      </w:r>
      <w:r w:rsidR="00E314D5" w:rsidRPr="00ED4D49">
        <w:rPr>
          <w:lang w:val="en-US"/>
        </w:rPr>
        <w:t xml:space="preserve"> </w:t>
      </w:r>
      <w:r w:rsidR="0042334F" w:rsidRPr="00ED4D49">
        <w:rPr>
          <w:lang w:val="en-US"/>
        </w:rPr>
        <w:t>plans and studies</w:t>
      </w:r>
      <w:r w:rsidR="005C4D5B" w:rsidRPr="00ED4D49">
        <w:rPr>
          <w:lang w:val="en-US"/>
        </w:rPr>
        <w:t xml:space="preserve">, </w:t>
      </w:r>
      <w:r w:rsidR="0042334F" w:rsidRPr="00ED4D49">
        <w:rPr>
          <w:lang w:val="en-US"/>
        </w:rPr>
        <w:t>and institutional capacity building activities.</w:t>
      </w:r>
      <w:r w:rsidR="00E314D5" w:rsidRPr="00ED4D49">
        <w:rPr>
          <w:lang w:val="en-US"/>
        </w:rPr>
        <w:t xml:space="preserve"> Impacts </w:t>
      </w:r>
      <w:r w:rsidRPr="00ED4D49">
        <w:rPr>
          <w:lang w:val="en-US"/>
        </w:rPr>
        <w:t>in terms of</w:t>
      </w:r>
      <w:r w:rsidR="00E314D5" w:rsidRPr="00ED4D49">
        <w:rPr>
          <w:lang w:val="en-US"/>
        </w:rPr>
        <w:t xml:space="preserve"> land acquisition during this phase are also not expected.</w:t>
      </w:r>
      <w:r w:rsidR="00DD2D44" w:rsidRPr="00ED4D49">
        <w:rPr>
          <w:lang w:val="en-US"/>
        </w:rPr>
        <w:t xml:space="preserve"> </w:t>
      </w:r>
      <w:r w:rsidR="0042334F" w:rsidRPr="00ED4D49">
        <w:rPr>
          <w:lang w:val="en-US"/>
        </w:rPr>
        <w:t>The</w:t>
      </w:r>
      <w:r w:rsidR="00E314D5" w:rsidRPr="00ED4D49">
        <w:rPr>
          <w:lang w:val="en-US"/>
        </w:rPr>
        <w:t xml:space="preserve"> overall impacts are considered very positive </w:t>
      </w:r>
      <w:r w:rsidRPr="00ED4D49">
        <w:rPr>
          <w:lang w:val="en-US"/>
        </w:rPr>
        <w:t>as</w:t>
      </w:r>
      <w:r w:rsidR="00E314D5" w:rsidRPr="00ED4D49">
        <w:rPr>
          <w:lang w:val="en-US"/>
        </w:rPr>
        <w:t xml:space="preserve"> the objective of </w:t>
      </w:r>
      <w:r w:rsidR="0042334F" w:rsidRPr="00ED4D49">
        <w:rPr>
          <w:lang w:val="en-US"/>
        </w:rPr>
        <w:t>th</w:t>
      </w:r>
      <w:r w:rsidR="00E314D5" w:rsidRPr="00ED4D49">
        <w:rPr>
          <w:lang w:val="en-US"/>
        </w:rPr>
        <w:t xml:space="preserve">e </w:t>
      </w:r>
      <w:r w:rsidR="0042334F" w:rsidRPr="00ED4D49">
        <w:rPr>
          <w:lang w:val="en-US"/>
        </w:rPr>
        <w:t xml:space="preserve">SDIP is </w:t>
      </w:r>
      <w:r w:rsidR="0042334F" w:rsidRPr="00ED4D49">
        <w:rPr>
          <w:bCs/>
          <w:lang w:val="en-US"/>
        </w:rPr>
        <w:t xml:space="preserve">to enhance regional economic integration and growth by </w:t>
      </w:r>
      <w:r w:rsidR="0042334F" w:rsidRPr="00ED4D49">
        <w:rPr>
          <w:lang w:val="en-US"/>
        </w:rPr>
        <w:t>strengthening capacity for integrated river basin management and development</w:t>
      </w:r>
      <w:r w:rsidR="0042334F" w:rsidRPr="00ED4D49">
        <w:rPr>
          <w:bCs/>
          <w:lang w:val="en-US"/>
        </w:rPr>
        <w:t>.</w:t>
      </w:r>
      <w:r w:rsidR="00A75A7F" w:rsidRPr="00ED4D49">
        <w:rPr>
          <w:bCs/>
          <w:lang w:val="en-US"/>
        </w:rPr>
        <w:t xml:space="preserve"> Therefore, Component 3 is excluded from further assessment in this document.</w:t>
      </w:r>
    </w:p>
    <w:p w14:paraId="5D96C157" w14:textId="3ADB8801" w:rsidR="00FB14DF" w:rsidRPr="00ED4D49" w:rsidRDefault="00FB14DF" w:rsidP="0042334F">
      <w:pPr>
        <w:jc w:val="both"/>
        <w:rPr>
          <w:lang w:val="en-US"/>
        </w:rPr>
      </w:pPr>
      <w:r w:rsidRPr="00ED4D49">
        <w:rPr>
          <w:b/>
          <w:bCs/>
          <w:lang w:val="en-US"/>
        </w:rPr>
        <w:t>Sub-components</w:t>
      </w:r>
      <w:r w:rsidRPr="00ED4D49">
        <w:rPr>
          <w:b/>
          <w:lang w:val="en-US"/>
        </w:rPr>
        <w:t xml:space="preserve"> 4.1 of Component 4 </w:t>
      </w:r>
      <w:r w:rsidRPr="00ED4D49">
        <w:rPr>
          <w:bCs/>
          <w:lang w:val="en-US"/>
        </w:rPr>
        <w:t>involves preparation</w:t>
      </w:r>
      <w:r w:rsidRPr="00ED4D49">
        <w:rPr>
          <w:bCs/>
          <w:i/>
          <w:iCs/>
          <w:lang w:val="en-US"/>
        </w:rPr>
        <w:t xml:space="preserve"> </w:t>
      </w:r>
      <w:r w:rsidRPr="00ED4D49">
        <w:rPr>
          <w:bCs/>
          <w:lang w:val="en-US"/>
        </w:rPr>
        <w:t>of regional studies such as river basin management plan, climate change adaptation strategy and like. The preparation of these studies requires a systematic examination of environmental and social risks and impacts, and issues, associated with a policy, plan or pro- gram, typically at the national level. Therefore, the impacts of these studies will be assessed in parallel with the studies preparation.</w:t>
      </w:r>
    </w:p>
    <w:p w14:paraId="029841DC" w14:textId="7C5EF32D" w:rsidR="00E06EB1" w:rsidRPr="00ED4D49" w:rsidRDefault="003E020B" w:rsidP="00CB7354">
      <w:pPr>
        <w:jc w:val="both"/>
        <w:rPr>
          <w:bCs/>
          <w:szCs w:val="23"/>
          <w:lang w:val="en-US"/>
        </w:rPr>
      </w:pPr>
      <w:r w:rsidRPr="00ED4D49">
        <w:rPr>
          <w:lang w:val="en-US"/>
        </w:rPr>
        <w:t>An o</w:t>
      </w:r>
      <w:r w:rsidR="001C2E14" w:rsidRPr="00ED4D49">
        <w:rPr>
          <w:lang w:val="en-US"/>
        </w:rPr>
        <w:t xml:space="preserve">verview of </w:t>
      </w:r>
      <w:r w:rsidR="001C2E14" w:rsidRPr="00ED4D49">
        <w:rPr>
          <w:b/>
          <w:bCs/>
          <w:lang w:val="en-US"/>
        </w:rPr>
        <w:t>initial</w:t>
      </w:r>
      <w:r w:rsidR="001C2E14" w:rsidRPr="00ED4D49">
        <w:rPr>
          <w:lang w:val="en-US"/>
        </w:rPr>
        <w:t xml:space="preserve"> </w:t>
      </w:r>
      <w:r w:rsidRPr="00ED4D49">
        <w:rPr>
          <w:b/>
          <w:bCs/>
          <w:lang w:val="en-US"/>
        </w:rPr>
        <w:t>E&amp;S</w:t>
      </w:r>
      <w:r w:rsidR="001C2E14" w:rsidRPr="00ED4D49">
        <w:rPr>
          <w:b/>
          <w:bCs/>
          <w:lang w:val="en-US"/>
        </w:rPr>
        <w:t xml:space="preserve"> assessment of </w:t>
      </w:r>
      <w:r w:rsidR="003E0EEE" w:rsidRPr="00ED4D49">
        <w:rPr>
          <w:b/>
          <w:bCs/>
          <w:lang w:val="en-US"/>
        </w:rPr>
        <w:t>C</w:t>
      </w:r>
      <w:r w:rsidR="001C2E14" w:rsidRPr="00ED4D49">
        <w:rPr>
          <w:b/>
          <w:bCs/>
          <w:lang w:val="en-US"/>
        </w:rPr>
        <w:t>omponent</w:t>
      </w:r>
      <w:r w:rsidR="003E0EEE" w:rsidRPr="00ED4D49">
        <w:rPr>
          <w:b/>
          <w:bCs/>
          <w:lang w:val="en-US"/>
        </w:rPr>
        <w:t>s 1</w:t>
      </w:r>
      <w:r w:rsidR="00FB14DF" w:rsidRPr="00ED4D49">
        <w:rPr>
          <w:b/>
          <w:bCs/>
          <w:lang w:val="en-US"/>
        </w:rPr>
        <w:t xml:space="preserve">, </w:t>
      </w:r>
      <w:r w:rsidR="003E0EEE" w:rsidRPr="00ED4D49">
        <w:rPr>
          <w:b/>
          <w:bCs/>
          <w:lang w:val="en-US"/>
        </w:rPr>
        <w:t>2</w:t>
      </w:r>
      <w:r w:rsidR="001C2E14" w:rsidRPr="00ED4D49">
        <w:rPr>
          <w:lang w:val="en-US"/>
        </w:rPr>
        <w:t xml:space="preserve"> </w:t>
      </w:r>
      <w:r w:rsidR="00FB14DF" w:rsidRPr="00ED4D49">
        <w:rPr>
          <w:lang w:val="en-US"/>
        </w:rPr>
        <w:t>and</w:t>
      </w:r>
      <w:r w:rsidR="00FB14DF" w:rsidRPr="00ED4D49">
        <w:rPr>
          <w:b/>
          <w:bCs/>
          <w:lang w:val="en-US"/>
        </w:rPr>
        <w:t xml:space="preserve"> 4</w:t>
      </w:r>
      <w:r w:rsidR="00FB14DF" w:rsidRPr="00ED4D49">
        <w:rPr>
          <w:lang w:val="en-US"/>
        </w:rPr>
        <w:t xml:space="preserve"> </w:t>
      </w:r>
      <w:r w:rsidR="00762174" w:rsidRPr="00ED4D49">
        <w:rPr>
          <w:rStyle w:val="tlid-translation"/>
          <w:rFonts w:cs="Calibri"/>
          <w:lang w:val="en-US"/>
        </w:rPr>
        <w:t xml:space="preserve">with preliminary mitigation measures and monitoring requirements </w:t>
      </w:r>
      <w:r w:rsidR="001C2E14" w:rsidRPr="00ED4D49">
        <w:rPr>
          <w:lang w:val="en-US"/>
        </w:rPr>
        <w:t xml:space="preserve">is presented </w:t>
      </w:r>
      <w:r w:rsidR="001C2E14" w:rsidRPr="00ED4D49">
        <w:rPr>
          <w:rFonts w:cs="Calibri"/>
          <w:lang w:val="en-US"/>
        </w:rPr>
        <w:t>in</w:t>
      </w:r>
      <w:r w:rsidR="008F4C3A" w:rsidRPr="00ED4D49">
        <w:rPr>
          <w:rFonts w:cs="Calibri"/>
          <w:lang w:val="en-US"/>
        </w:rPr>
        <w:t xml:space="preserve"> </w:t>
      </w:r>
      <w:r w:rsidR="008F4C3A" w:rsidRPr="00ED4D49">
        <w:rPr>
          <w:rFonts w:cs="Calibri"/>
          <w:lang w:val="en-US"/>
        </w:rPr>
        <w:fldChar w:fldCharType="begin"/>
      </w:r>
      <w:r w:rsidR="008F4C3A" w:rsidRPr="00ED4D49">
        <w:rPr>
          <w:rFonts w:cs="Calibri"/>
          <w:lang w:val="en-US"/>
        </w:rPr>
        <w:instrText xml:space="preserve"> REF _Ref22291948 \h  \* MERGEFORMAT </w:instrText>
      </w:r>
      <w:r w:rsidR="008F4C3A" w:rsidRPr="00ED4D49">
        <w:rPr>
          <w:rFonts w:cs="Calibri"/>
          <w:lang w:val="en-US"/>
        </w:rPr>
      </w:r>
      <w:r w:rsidR="008F4C3A" w:rsidRPr="00ED4D49">
        <w:rPr>
          <w:rFonts w:cs="Calibri"/>
          <w:lang w:val="en-US"/>
        </w:rPr>
        <w:fldChar w:fldCharType="separate"/>
      </w:r>
      <w:r w:rsidR="00F60130" w:rsidRPr="00ED4D49">
        <w:rPr>
          <w:rFonts w:cs="Calibri"/>
          <w:lang w:val="en-US"/>
        </w:rPr>
        <w:t>Table 24</w:t>
      </w:r>
      <w:r w:rsidR="008F4C3A" w:rsidRPr="00ED4D49">
        <w:rPr>
          <w:rFonts w:cs="Calibri"/>
          <w:lang w:val="en-US"/>
        </w:rPr>
        <w:fldChar w:fldCharType="end"/>
      </w:r>
      <w:r w:rsidR="0079388E" w:rsidRPr="00ED4D49">
        <w:rPr>
          <w:rFonts w:cs="Calibri"/>
          <w:lang w:val="en-US"/>
        </w:rPr>
        <w:t>.</w:t>
      </w:r>
      <w:r w:rsidR="00CB7354" w:rsidRPr="00ED4D49">
        <w:rPr>
          <w:rFonts w:cs="Calibri"/>
          <w:lang w:val="en-US"/>
        </w:rPr>
        <w:t xml:space="preserve"> </w:t>
      </w:r>
      <w:r w:rsidR="00E06EB1" w:rsidRPr="00ED4D49">
        <w:rPr>
          <w:bCs/>
          <w:szCs w:val="23"/>
          <w:lang w:val="en-US"/>
        </w:rPr>
        <w:t xml:space="preserve">The initial assessment is given </w:t>
      </w:r>
      <w:r w:rsidRPr="00ED4D49">
        <w:rPr>
          <w:bCs/>
          <w:szCs w:val="23"/>
          <w:lang w:val="en-US"/>
        </w:rPr>
        <w:t>at</w:t>
      </w:r>
      <w:r w:rsidR="00E06EB1" w:rsidRPr="00ED4D49">
        <w:rPr>
          <w:bCs/>
          <w:szCs w:val="23"/>
          <w:lang w:val="en-US"/>
        </w:rPr>
        <w:t xml:space="preserve"> a general (“generic”) level and based on the level of </w:t>
      </w:r>
      <w:r w:rsidR="0099422A" w:rsidRPr="00ED4D49">
        <w:rPr>
          <w:bCs/>
          <w:szCs w:val="23"/>
          <w:lang w:val="en-US"/>
        </w:rPr>
        <w:t>subproject</w:t>
      </w:r>
      <w:r w:rsidRPr="00ED4D49">
        <w:rPr>
          <w:bCs/>
          <w:szCs w:val="23"/>
          <w:lang w:val="en-US"/>
        </w:rPr>
        <w:t xml:space="preserve"> </w:t>
      </w:r>
      <w:r w:rsidR="00E06EB1" w:rsidRPr="00ED4D49">
        <w:rPr>
          <w:bCs/>
          <w:szCs w:val="23"/>
          <w:lang w:val="en-US"/>
        </w:rPr>
        <w:t>information known at the time of preparation of this document – October 2019.</w:t>
      </w:r>
    </w:p>
    <w:p w14:paraId="6C24CE40" w14:textId="7F5F157B" w:rsidR="00CB7354" w:rsidRPr="00ED4D49" w:rsidRDefault="00CB7354" w:rsidP="00CB7354">
      <w:pPr>
        <w:jc w:val="both"/>
        <w:rPr>
          <w:rFonts w:cs="Calibri"/>
          <w:lang w:val="en-US"/>
        </w:rPr>
      </w:pPr>
      <w:r w:rsidRPr="00ED4D49">
        <w:rPr>
          <w:rFonts w:cs="Calibri"/>
          <w:lang w:val="en-US"/>
        </w:rPr>
        <w:t xml:space="preserve">The table </w:t>
      </w:r>
      <w:r w:rsidR="008F4C3A" w:rsidRPr="00ED4D49">
        <w:rPr>
          <w:rFonts w:cs="Calibri"/>
          <w:lang w:val="en-US"/>
        </w:rPr>
        <w:t xml:space="preserve">also </w:t>
      </w:r>
      <w:r w:rsidRPr="00ED4D49">
        <w:rPr>
          <w:rFonts w:cs="Calibri"/>
          <w:lang w:val="en-US"/>
        </w:rPr>
        <w:t xml:space="preserve">provides </w:t>
      </w:r>
      <w:r w:rsidR="003E020B" w:rsidRPr="00ED4D49">
        <w:rPr>
          <w:rFonts w:cs="Calibri"/>
          <w:lang w:val="en-US"/>
        </w:rPr>
        <w:t xml:space="preserve">a </w:t>
      </w:r>
      <w:r w:rsidRPr="00ED4D49">
        <w:rPr>
          <w:rFonts w:cs="Calibri"/>
          <w:lang w:val="en-US"/>
        </w:rPr>
        <w:t xml:space="preserve">preliminary risk assessment </w:t>
      </w:r>
      <w:r w:rsidR="00A45148" w:rsidRPr="00ED4D49">
        <w:rPr>
          <w:rFonts w:cs="Calibri"/>
          <w:lang w:val="en-US"/>
        </w:rPr>
        <w:t>for</w:t>
      </w:r>
      <w:r w:rsidRPr="00ED4D49">
        <w:rPr>
          <w:rFonts w:cs="Calibri"/>
          <w:lang w:val="en-US"/>
        </w:rPr>
        <w:t xml:space="preserve"> each sub-</w:t>
      </w:r>
      <w:r w:rsidR="00A45148" w:rsidRPr="00ED4D49">
        <w:rPr>
          <w:rFonts w:cs="Calibri"/>
          <w:lang w:val="en-US"/>
        </w:rPr>
        <w:t xml:space="preserve">component </w:t>
      </w:r>
      <w:r w:rsidRPr="00ED4D49">
        <w:rPr>
          <w:rFonts w:cs="Calibri"/>
          <w:lang w:val="en-US"/>
        </w:rPr>
        <w:t xml:space="preserve">based on two factors: </w:t>
      </w:r>
    </w:p>
    <w:p w14:paraId="2BC52761" w14:textId="02AE4F63" w:rsidR="00045CC5" w:rsidRPr="00ED4D49" w:rsidRDefault="00045CC5" w:rsidP="008D64BA">
      <w:pPr>
        <w:pStyle w:val="Bullets"/>
        <w:rPr>
          <w:rStyle w:val="tlid-translation"/>
        </w:rPr>
      </w:pPr>
      <w:r w:rsidRPr="00ED4D49">
        <w:rPr>
          <w:rStyle w:val="tlid-translation"/>
        </w:rPr>
        <w:lastRenderedPageBreak/>
        <w:t xml:space="preserve">Likelihood – how likely is the negative impact: </w:t>
      </w:r>
      <w:r w:rsidR="00622E8C" w:rsidRPr="00ED4D49">
        <w:rPr>
          <w:rStyle w:val="tlid-translation"/>
        </w:rPr>
        <w:t>low, moderate, high</w:t>
      </w:r>
      <w:r w:rsidRPr="00ED4D49">
        <w:rPr>
          <w:rStyle w:val="tlid-translation"/>
        </w:rPr>
        <w:t xml:space="preserve">. </w:t>
      </w:r>
    </w:p>
    <w:p w14:paraId="5B096E80" w14:textId="4142D209" w:rsidR="00CB7354" w:rsidRPr="00ED4D49" w:rsidRDefault="00E75111" w:rsidP="008D64BA">
      <w:pPr>
        <w:pStyle w:val="Bullets"/>
        <w:rPr>
          <w:rStyle w:val="tlid-translation"/>
        </w:rPr>
      </w:pPr>
      <w:r w:rsidRPr="00ED4D49">
        <w:rPr>
          <w:rStyle w:val="tlid-translation"/>
        </w:rPr>
        <w:t xml:space="preserve">Magnitude </w:t>
      </w:r>
      <w:r w:rsidR="00CB7354" w:rsidRPr="00ED4D49">
        <w:rPr>
          <w:rStyle w:val="tlid-translation"/>
        </w:rPr>
        <w:t xml:space="preserve">of consequences (harmfulness) – how much damage can occur if </w:t>
      </w:r>
      <w:r w:rsidR="003E020B" w:rsidRPr="00ED4D49">
        <w:rPr>
          <w:rStyle w:val="tlid-translation"/>
        </w:rPr>
        <w:t xml:space="preserve">the </w:t>
      </w:r>
      <w:r w:rsidR="00CB7354" w:rsidRPr="00ED4D49">
        <w:rPr>
          <w:rStyle w:val="tlid-translation"/>
        </w:rPr>
        <w:t xml:space="preserve">negative impact </w:t>
      </w:r>
      <w:r w:rsidR="003E020B" w:rsidRPr="00ED4D49">
        <w:rPr>
          <w:rStyle w:val="tlid-translation"/>
        </w:rPr>
        <w:t>occurs</w:t>
      </w:r>
      <w:r w:rsidR="00CB7354" w:rsidRPr="00ED4D49">
        <w:rPr>
          <w:rStyle w:val="tlid-translation"/>
        </w:rPr>
        <w:t xml:space="preserve">: </w:t>
      </w:r>
      <w:r w:rsidRPr="00ED4D49">
        <w:rPr>
          <w:rStyle w:val="tlid-translation"/>
        </w:rPr>
        <w:t>minor, moderate, major.</w:t>
      </w:r>
      <w:r w:rsidR="00CB7354" w:rsidRPr="00ED4D49">
        <w:rPr>
          <w:rStyle w:val="tlid-translation"/>
        </w:rPr>
        <w:t xml:space="preserve"> </w:t>
      </w:r>
    </w:p>
    <w:p w14:paraId="01FFF9D6" w14:textId="77777777" w:rsidR="005465BB" w:rsidRPr="00ED4D49" w:rsidRDefault="005465BB" w:rsidP="00CB7354">
      <w:pPr>
        <w:jc w:val="both"/>
        <w:rPr>
          <w:rStyle w:val="tlid-translation"/>
          <w:rFonts w:cs="Calibri"/>
          <w:lang w:val="en-US"/>
        </w:rPr>
      </w:pPr>
    </w:p>
    <w:p w14:paraId="542033EC" w14:textId="77777777" w:rsidR="005465BB" w:rsidRPr="00ED4D49" w:rsidRDefault="005465BB" w:rsidP="00CB7354">
      <w:pPr>
        <w:jc w:val="both"/>
        <w:rPr>
          <w:rStyle w:val="tlid-translation"/>
          <w:rFonts w:cs="Calibri"/>
          <w:lang w:val="en-US"/>
        </w:rPr>
      </w:pPr>
    </w:p>
    <w:p w14:paraId="5E077E80" w14:textId="77777777" w:rsidR="00202043" w:rsidRPr="00ED4D49" w:rsidRDefault="00202043" w:rsidP="00CB7354">
      <w:pPr>
        <w:jc w:val="both"/>
        <w:rPr>
          <w:rStyle w:val="tlid-translation"/>
          <w:rFonts w:cs="Calibri"/>
          <w:lang w:val="en-US"/>
        </w:rPr>
      </w:pPr>
    </w:p>
    <w:p w14:paraId="3B72CB4B" w14:textId="77777777" w:rsidR="00CB7354" w:rsidRPr="00ED4D49" w:rsidRDefault="00CB7354" w:rsidP="00CB7354">
      <w:pPr>
        <w:jc w:val="both"/>
        <w:rPr>
          <w:rStyle w:val="tlid-translation"/>
          <w:rFonts w:cs="Calibri"/>
          <w:lang w:val="en-US"/>
        </w:rPr>
      </w:pPr>
      <w:r w:rsidRPr="00ED4D49">
        <w:rPr>
          <w:rStyle w:val="tlid-translation"/>
          <w:rFonts w:cs="Calibri"/>
          <w:lang w:val="en-US"/>
        </w:rPr>
        <w:t xml:space="preserve">The following matrix is used to assess risk level: </w:t>
      </w:r>
    </w:p>
    <w:tbl>
      <w:tblPr>
        <w:tblStyle w:val="TableGridLight"/>
        <w:tblW w:w="0" w:type="auto"/>
        <w:tblLook w:val="04A0" w:firstRow="1" w:lastRow="0" w:firstColumn="1" w:lastColumn="0" w:noHBand="0" w:noVBand="1"/>
      </w:tblPr>
      <w:tblGrid>
        <w:gridCol w:w="2259"/>
        <w:gridCol w:w="2245"/>
        <w:gridCol w:w="2253"/>
        <w:gridCol w:w="2253"/>
      </w:tblGrid>
      <w:tr w:rsidR="00CB7354" w:rsidRPr="00ED4D49" w14:paraId="6687F974" w14:textId="77777777" w:rsidTr="00A45148">
        <w:tc>
          <w:tcPr>
            <w:tcW w:w="2394" w:type="dxa"/>
            <w:vMerge w:val="restart"/>
          </w:tcPr>
          <w:p w14:paraId="3DEDCB98" w14:textId="77777777" w:rsidR="00CB7354" w:rsidRPr="00ED4D49" w:rsidRDefault="00CB7354" w:rsidP="00F87C6D">
            <w:pPr>
              <w:spacing w:after="0"/>
              <w:ind w:right="144"/>
              <w:rPr>
                <w:rStyle w:val="tlid-translation"/>
                <w:rFonts w:cs="Calibri"/>
                <w:sz w:val="16"/>
                <w:szCs w:val="16"/>
                <w:lang w:val="en-US"/>
              </w:rPr>
            </w:pPr>
            <w:r w:rsidRPr="00ED4D49">
              <w:rPr>
                <w:color w:val="336699"/>
                <w:sz w:val="16"/>
                <w:szCs w:val="16"/>
                <w:lang w:val="en-US"/>
              </w:rPr>
              <w:t>Likelihood</w:t>
            </w:r>
          </w:p>
        </w:tc>
        <w:tc>
          <w:tcPr>
            <w:tcW w:w="7182" w:type="dxa"/>
            <w:gridSpan w:val="3"/>
          </w:tcPr>
          <w:p w14:paraId="66A86DC5" w14:textId="1DFEE616" w:rsidR="00CB7354" w:rsidRPr="00ED4D49" w:rsidRDefault="00E75111" w:rsidP="00E75111">
            <w:pPr>
              <w:tabs>
                <w:tab w:val="left" w:pos="1961"/>
                <w:tab w:val="center" w:pos="3195"/>
              </w:tabs>
              <w:spacing w:after="0"/>
              <w:ind w:right="144"/>
              <w:rPr>
                <w:color w:val="336699"/>
                <w:sz w:val="16"/>
                <w:szCs w:val="16"/>
                <w:lang w:val="en-US"/>
              </w:rPr>
            </w:pPr>
            <w:r w:rsidRPr="00ED4D49">
              <w:rPr>
                <w:color w:val="336699"/>
                <w:sz w:val="16"/>
                <w:szCs w:val="16"/>
                <w:lang w:val="en-US"/>
              </w:rPr>
              <w:tab/>
            </w:r>
            <w:r w:rsidRPr="00ED4D49">
              <w:rPr>
                <w:color w:val="336699"/>
                <w:sz w:val="16"/>
                <w:szCs w:val="16"/>
                <w:lang w:val="en-US"/>
              </w:rPr>
              <w:tab/>
              <w:t>Magnitude</w:t>
            </w:r>
            <w:r w:rsidR="00CB7354" w:rsidRPr="00ED4D49">
              <w:rPr>
                <w:color w:val="336699"/>
                <w:sz w:val="16"/>
                <w:szCs w:val="16"/>
                <w:lang w:val="en-US"/>
              </w:rPr>
              <w:t xml:space="preserve"> of consequence </w:t>
            </w:r>
          </w:p>
        </w:tc>
      </w:tr>
      <w:tr w:rsidR="00467B1C" w:rsidRPr="00ED4D49" w14:paraId="57F0F5FA" w14:textId="77777777" w:rsidTr="00A45148">
        <w:tc>
          <w:tcPr>
            <w:tcW w:w="2394" w:type="dxa"/>
            <w:vMerge/>
          </w:tcPr>
          <w:p w14:paraId="0979BDA5" w14:textId="77777777" w:rsidR="00CB7354" w:rsidRPr="00ED4D49" w:rsidRDefault="00CB7354" w:rsidP="00F87C6D">
            <w:pPr>
              <w:jc w:val="both"/>
              <w:rPr>
                <w:rStyle w:val="tlid-translation"/>
                <w:rFonts w:cs="Calibri"/>
                <w:sz w:val="16"/>
                <w:szCs w:val="16"/>
                <w:lang w:val="en-US"/>
              </w:rPr>
            </w:pPr>
          </w:p>
        </w:tc>
        <w:tc>
          <w:tcPr>
            <w:tcW w:w="2394" w:type="dxa"/>
          </w:tcPr>
          <w:p w14:paraId="1E6D2900" w14:textId="1AFE3DFC" w:rsidR="00CB7354" w:rsidRPr="00ED4D49" w:rsidRDefault="00E75111" w:rsidP="00E75111">
            <w:pPr>
              <w:jc w:val="center"/>
              <w:rPr>
                <w:rStyle w:val="tlid-translation"/>
                <w:rFonts w:cs="Calibri"/>
                <w:sz w:val="16"/>
                <w:szCs w:val="16"/>
                <w:lang w:val="en-US"/>
              </w:rPr>
            </w:pPr>
            <w:r w:rsidRPr="00ED4D49">
              <w:rPr>
                <w:rStyle w:val="tlid-translation"/>
                <w:rFonts w:cs="Calibri"/>
                <w:sz w:val="16"/>
                <w:szCs w:val="16"/>
                <w:lang w:val="en-US"/>
              </w:rPr>
              <w:t>Minor</w:t>
            </w:r>
          </w:p>
        </w:tc>
        <w:tc>
          <w:tcPr>
            <w:tcW w:w="2394" w:type="dxa"/>
          </w:tcPr>
          <w:p w14:paraId="5CCAB878" w14:textId="08A8A571" w:rsidR="00CB7354" w:rsidRPr="00ED4D49" w:rsidRDefault="00E75111" w:rsidP="00E75111">
            <w:pPr>
              <w:jc w:val="center"/>
              <w:rPr>
                <w:rStyle w:val="tlid-translation"/>
                <w:rFonts w:cs="Calibri"/>
                <w:sz w:val="16"/>
                <w:szCs w:val="16"/>
                <w:lang w:val="en-US"/>
              </w:rPr>
            </w:pPr>
            <w:r w:rsidRPr="00ED4D49">
              <w:rPr>
                <w:rStyle w:val="tlid-translation"/>
                <w:rFonts w:cs="Calibri"/>
                <w:sz w:val="16"/>
                <w:szCs w:val="16"/>
                <w:lang w:val="en-US"/>
              </w:rPr>
              <w:t>Moderate</w:t>
            </w:r>
          </w:p>
        </w:tc>
        <w:tc>
          <w:tcPr>
            <w:tcW w:w="2394" w:type="dxa"/>
          </w:tcPr>
          <w:p w14:paraId="6813BAC5" w14:textId="2F0B4F8C" w:rsidR="00CB7354" w:rsidRPr="00ED4D49" w:rsidRDefault="00E75111" w:rsidP="00E75111">
            <w:pPr>
              <w:jc w:val="center"/>
              <w:rPr>
                <w:rStyle w:val="tlid-translation"/>
                <w:rFonts w:cs="Calibri"/>
                <w:sz w:val="16"/>
                <w:szCs w:val="16"/>
                <w:lang w:val="en-US"/>
              </w:rPr>
            </w:pPr>
            <w:r w:rsidRPr="00ED4D49">
              <w:rPr>
                <w:rStyle w:val="tlid-translation"/>
                <w:rFonts w:cs="Calibri"/>
                <w:sz w:val="16"/>
                <w:szCs w:val="16"/>
                <w:lang w:val="en-US"/>
              </w:rPr>
              <w:t>Major</w:t>
            </w:r>
          </w:p>
        </w:tc>
      </w:tr>
      <w:tr w:rsidR="00467B1C" w:rsidRPr="00ED4D49" w14:paraId="75C1C393" w14:textId="77777777" w:rsidTr="00A45148">
        <w:tc>
          <w:tcPr>
            <w:tcW w:w="2394" w:type="dxa"/>
          </w:tcPr>
          <w:p w14:paraId="52194C90" w14:textId="4BC22C01" w:rsidR="00CB7354" w:rsidRPr="00ED4D49" w:rsidRDefault="00622E8C" w:rsidP="00F87C6D">
            <w:pPr>
              <w:jc w:val="both"/>
              <w:rPr>
                <w:rStyle w:val="tlid-translation"/>
                <w:rFonts w:cs="Calibri"/>
                <w:sz w:val="16"/>
                <w:szCs w:val="16"/>
                <w:lang w:val="en-US"/>
              </w:rPr>
            </w:pPr>
            <w:r w:rsidRPr="00ED4D49">
              <w:rPr>
                <w:rStyle w:val="tlid-translation"/>
                <w:rFonts w:cs="Calibri"/>
                <w:sz w:val="16"/>
                <w:szCs w:val="16"/>
                <w:lang w:val="en-US"/>
              </w:rPr>
              <w:t>Low</w:t>
            </w:r>
            <w:r w:rsidR="00CB7354" w:rsidRPr="00ED4D49">
              <w:rPr>
                <w:rStyle w:val="tlid-translation"/>
                <w:rFonts w:cs="Calibri"/>
                <w:sz w:val="16"/>
                <w:szCs w:val="16"/>
                <w:lang w:val="en-US"/>
              </w:rPr>
              <w:t xml:space="preserve"> </w:t>
            </w:r>
          </w:p>
        </w:tc>
        <w:tc>
          <w:tcPr>
            <w:tcW w:w="2394" w:type="dxa"/>
          </w:tcPr>
          <w:p w14:paraId="2F9B1ADD" w14:textId="77777777" w:rsidR="00CB7354" w:rsidRPr="00ED4D49" w:rsidRDefault="00CB7354" w:rsidP="00F87C6D">
            <w:pPr>
              <w:jc w:val="both"/>
              <w:rPr>
                <w:rStyle w:val="tlid-translation"/>
                <w:rFonts w:cs="Calibri"/>
                <w:b/>
                <w:bCs/>
                <w:sz w:val="16"/>
                <w:szCs w:val="16"/>
                <w:lang w:val="en-US"/>
              </w:rPr>
            </w:pPr>
            <w:r w:rsidRPr="00ED4D49">
              <w:rPr>
                <w:rStyle w:val="tlid-translation"/>
                <w:rFonts w:cs="Calibri"/>
                <w:b/>
                <w:bCs/>
                <w:sz w:val="16"/>
                <w:szCs w:val="16"/>
                <w:lang w:val="en-US"/>
              </w:rPr>
              <w:t xml:space="preserve">Low risk </w:t>
            </w:r>
          </w:p>
        </w:tc>
        <w:tc>
          <w:tcPr>
            <w:tcW w:w="2394" w:type="dxa"/>
          </w:tcPr>
          <w:p w14:paraId="6C624EFF" w14:textId="77777777" w:rsidR="00CB7354" w:rsidRPr="00ED4D49" w:rsidRDefault="00CB7354" w:rsidP="00F87C6D">
            <w:pPr>
              <w:jc w:val="both"/>
              <w:rPr>
                <w:rStyle w:val="tlid-translation"/>
                <w:rFonts w:cs="Calibri"/>
                <w:b/>
                <w:bCs/>
                <w:sz w:val="16"/>
                <w:szCs w:val="16"/>
                <w:lang w:val="en-US"/>
              </w:rPr>
            </w:pPr>
            <w:r w:rsidRPr="00ED4D49">
              <w:rPr>
                <w:rStyle w:val="tlid-translation"/>
                <w:rFonts w:cs="Calibri"/>
                <w:b/>
                <w:bCs/>
                <w:sz w:val="16"/>
                <w:szCs w:val="16"/>
                <w:lang w:val="en-US"/>
              </w:rPr>
              <w:t xml:space="preserve">Low risk </w:t>
            </w:r>
          </w:p>
        </w:tc>
        <w:tc>
          <w:tcPr>
            <w:tcW w:w="2394" w:type="dxa"/>
          </w:tcPr>
          <w:p w14:paraId="127D8E1E" w14:textId="56EC9654" w:rsidR="00CB7354" w:rsidRPr="00ED4D49" w:rsidRDefault="00467B1C" w:rsidP="00F87C6D">
            <w:pPr>
              <w:jc w:val="both"/>
              <w:rPr>
                <w:rStyle w:val="tlid-translation"/>
                <w:rFonts w:cs="Calibri"/>
                <w:b/>
                <w:bCs/>
                <w:sz w:val="16"/>
                <w:szCs w:val="16"/>
                <w:lang w:val="en-US"/>
              </w:rPr>
            </w:pPr>
            <w:r w:rsidRPr="00ED4D49">
              <w:rPr>
                <w:rStyle w:val="tlid-translation"/>
                <w:rFonts w:cs="Calibri"/>
                <w:b/>
                <w:bCs/>
                <w:sz w:val="16"/>
                <w:szCs w:val="16"/>
                <w:lang w:val="en-US"/>
              </w:rPr>
              <w:t>Moderate</w:t>
            </w:r>
            <w:r w:rsidR="00CB7354" w:rsidRPr="00ED4D49">
              <w:rPr>
                <w:rStyle w:val="tlid-translation"/>
                <w:rFonts w:cs="Calibri"/>
                <w:b/>
                <w:bCs/>
                <w:sz w:val="16"/>
                <w:szCs w:val="16"/>
                <w:lang w:val="en-US"/>
              </w:rPr>
              <w:t xml:space="preserve"> risk </w:t>
            </w:r>
          </w:p>
        </w:tc>
      </w:tr>
      <w:tr w:rsidR="00467B1C" w:rsidRPr="00ED4D49" w14:paraId="2F30DC46" w14:textId="77777777" w:rsidTr="00A45148">
        <w:tc>
          <w:tcPr>
            <w:tcW w:w="2394" w:type="dxa"/>
          </w:tcPr>
          <w:p w14:paraId="2578E4D3" w14:textId="46AB8975" w:rsidR="00CB7354" w:rsidRPr="00ED4D49" w:rsidRDefault="00622E8C" w:rsidP="00F87C6D">
            <w:pPr>
              <w:jc w:val="both"/>
              <w:rPr>
                <w:rStyle w:val="tlid-translation"/>
                <w:rFonts w:cs="Calibri"/>
                <w:sz w:val="16"/>
                <w:szCs w:val="16"/>
                <w:lang w:val="en-US"/>
              </w:rPr>
            </w:pPr>
            <w:r w:rsidRPr="00ED4D49">
              <w:rPr>
                <w:rStyle w:val="tlid-translation"/>
                <w:rFonts w:cs="Calibri"/>
                <w:sz w:val="16"/>
                <w:szCs w:val="16"/>
                <w:lang w:val="en-US"/>
              </w:rPr>
              <w:t>Moderate</w:t>
            </w:r>
          </w:p>
        </w:tc>
        <w:tc>
          <w:tcPr>
            <w:tcW w:w="2394" w:type="dxa"/>
          </w:tcPr>
          <w:p w14:paraId="29EF4766" w14:textId="77777777" w:rsidR="00CB7354" w:rsidRPr="00ED4D49" w:rsidRDefault="00CB7354" w:rsidP="00F87C6D">
            <w:pPr>
              <w:jc w:val="both"/>
              <w:rPr>
                <w:rStyle w:val="tlid-translation"/>
                <w:rFonts w:cs="Calibri"/>
                <w:b/>
                <w:bCs/>
                <w:sz w:val="16"/>
                <w:szCs w:val="16"/>
                <w:lang w:val="en-US"/>
              </w:rPr>
            </w:pPr>
            <w:r w:rsidRPr="00ED4D49">
              <w:rPr>
                <w:rStyle w:val="tlid-translation"/>
                <w:rFonts w:cs="Calibri"/>
                <w:b/>
                <w:bCs/>
                <w:sz w:val="16"/>
                <w:szCs w:val="16"/>
                <w:lang w:val="en-US"/>
              </w:rPr>
              <w:t xml:space="preserve">Low risk </w:t>
            </w:r>
          </w:p>
        </w:tc>
        <w:tc>
          <w:tcPr>
            <w:tcW w:w="2394" w:type="dxa"/>
          </w:tcPr>
          <w:p w14:paraId="5B92D83D" w14:textId="4B49163F" w:rsidR="00CB7354" w:rsidRPr="00ED4D49" w:rsidRDefault="00467B1C" w:rsidP="00F87C6D">
            <w:pPr>
              <w:jc w:val="both"/>
              <w:rPr>
                <w:rStyle w:val="tlid-translation"/>
                <w:rFonts w:cs="Calibri"/>
                <w:b/>
                <w:bCs/>
                <w:sz w:val="16"/>
                <w:szCs w:val="16"/>
                <w:lang w:val="en-US"/>
              </w:rPr>
            </w:pPr>
            <w:r w:rsidRPr="00ED4D49">
              <w:rPr>
                <w:rStyle w:val="tlid-translation"/>
                <w:rFonts w:cs="Calibri"/>
                <w:b/>
                <w:bCs/>
                <w:sz w:val="16"/>
                <w:szCs w:val="16"/>
                <w:lang w:val="en-US"/>
              </w:rPr>
              <w:t>Moderate</w:t>
            </w:r>
            <w:r w:rsidR="00CB7354" w:rsidRPr="00ED4D49">
              <w:rPr>
                <w:rStyle w:val="tlid-translation"/>
                <w:rFonts w:cs="Calibri"/>
                <w:b/>
                <w:bCs/>
                <w:sz w:val="16"/>
                <w:szCs w:val="16"/>
                <w:lang w:val="en-US"/>
              </w:rPr>
              <w:t xml:space="preserve"> risk </w:t>
            </w:r>
          </w:p>
        </w:tc>
        <w:tc>
          <w:tcPr>
            <w:tcW w:w="2394" w:type="dxa"/>
          </w:tcPr>
          <w:p w14:paraId="2B7E813D" w14:textId="10E4C5AB" w:rsidR="00CB7354" w:rsidRPr="00ED4D49" w:rsidRDefault="002C6507" w:rsidP="00F87C6D">
            <w:pPr>
              <w:jc w:val="both"/>
              <w:rPr>
                <w:rStyle w:val="tlid-translation"/>
                <w:rFonts w:cs="Calibri"/>
                <w:b/>
                <w:bCs/>
                <w:sz w:val="16"/>
                <w:szCs w:val="16"/>
                <w:lang w:val="en-US"/>
              </w:rPr>
            </w:pPr>
            <w:r w:rsidRPr="00ED4D49">
              <w:rPr>
                <w:rStyle w:val="tlid-translation"/>
                <w:rFonts w:cs="Calibri"/>
                <w:b/>
                <w:bCs/>
                <w:sz w:val="16"/>
                <w:szCs w:val="16"/>
                <w:lang w:val="en-US"/>
              </w:rPr>
              <w:t>S</w:t>
            </w:r>
            <w:r w:rsidRPr="00ED4D49">
              <w:rPr>
                <w:rStyle w:val="tlid-translation"/>
                <w:rFonts w:cs="Calibri"/>
                <w:b/>
                <w:bCs/>
                <w:sz w:val="16"/>
                <w:szCs w:val="16"/>
              </w:rPr>
              <w:t>ubstantial</w:t>
            </w:r>
            <w:r w:rsidRPr="00ED4D49">
              <w:rPr>
                <w:rStyle w:val="tlid-translation"/>
                <w:rFonts w:cs="Calibri"/>
                <w:b/>
                <w:bCs/>
                <w:sz w:val="16"/>
                <w:szCs w:val="16"/>
                <w:lang w:val="en-US"/>
              </w:rPr>
              <w:t xml:space="preserve"> </w:t>
            </w:r>
            <w:r w:rsidR="00CB7354" w:rsidRPr="00ED4D49">
              <w:rPr>
                <w:rStyle w:val="tlid-translation"/>
                <w:rFonts w:cs="Calibri"/>
                <w:b/>
                <w:bCs/>
                <w:sz w:val="16"/>
                <w:szCs w:val="16"/>
                <w:lang w:val="en-US"/>
              </w:rPr>
              <w:t xml:space="preserve">risk </w:t>
            </w:r>
          </w:p>
        </w:tc>
      </w:tr>
      <w:tr w:rsidR="00467B1C" w:rsidRPr="00ED4D49" w14:paraId="18EE6191" w14:textId="77777777" w:rsidTr="00A45148">
        <w:tc>
          <w:tcPr>
            <w:tcW w:w="2394" w:type="dxa"/>
          </w:tcPr>
          <w:p w14:paraId="007F3E7A" w14:textId="6EC3C914" w:rsidR="00CB7354" w:rsidRPr="00ED4D49" w:rsidRDefault="00622E8C" w:rsidP="00F87C6D">
            <w:pPr>
              <w:jc w:val="both"/>
              <w:rPr>
                <w:rStyle w:val="tlid-translation"/>
                <w:rFonts w:cs="Calibri"/>
                <w:sz w:val="16"/>
                <w:szCs w:val="16"/>
                <w:lang w:val="en-US"/>
              </w:rPr>
            </w:pPr>
            <w:r w:rsidRPr="00ED4D49">
              <w:rPr>
                <w:rStyle w:val="tlid-translation"/>
                <w:rFonts w:cs="Calibri"/>
                <w:sz w:val="16"/>
                <w:szCs w:val="16"/>
                <w:lang w:val="en-US"/>
              </w:rPr>
              <w:t>High</w:t>
            </w:r>
          </w:p>
        </w:tc>
        <w:tc>
          <w:tcPr>
            <w:tcW w:w="2394" w:type="dxa"/>
          </w:tcPr>
          <w:p w14:paraId="2C8C8804" w14:textId="01175FAF" w:rsidR="00CB7354" w:rsidRPr="00ED4D49" w:rsidRDefault="00467B1C" w:rsidP="00F87C6D">
            <w:pPr>
              <w:jc w:val="both"/>
              <w:rPr>
                <w:rStyle w:val="tlid-translation"/>
                <w:rFonts w:cs="Calibri"/>
                <w:b/>
                <w:bCs/>
                <w:sz w:val="16"/>
                <w:szCs w:val="16"/>
                <w:lang w:val="en-US"/>
              </w:rPr>
            </w:pPr>
            <w:r w:rsidRPr="00ED4D49">
              <w:rPr>
                <w:rStyle w:val="tlid-translation"/>
                <w:rFonts w:cs="Calibri"/>
                <w:b/>
                <w:bCs/>
                <w:sz w:val="16"/>
                <w:szCs w:val="16"/>
                <w:lang w:val="en-US"/>
              </w:rPr>
              <w:t>Moderate</w:t>
            </w:r>
            <w:r w:rsidR="00CB7354" w:rsidRPr="00ED4D49">
              <w:rPr>
                <w:rStyle w:val="tlid-translation"/>
                <w:rFonts w:cs="Calibri"/>
                <w:b/>
                <w:bCs/>
                <w:sz w:val="16"/>
                <w:szCs w:val="16"/>
                <w:lang w:val="en-US"/>
              </w:rPr>
              <w:t xml:space="preserve"> risk </w:t>
            </w:r>
          </w:p>
        </w:tc>
        <w:tc>
          <w:tcPr>
            <w:tcW w:w="2394" w:type="dxa"/>
          </w:tcPr>
          <w:p w14:paraId="264AD60D" w14:textId="337FD90F" w:rsidR="00CB7354" w:rsidRPr="00ED4D49" w:rsidRDefault="002C6507" w:rsidP="00F87C6D">
            <w:pPr>
              <w:jc w:val="both"/>
              <w:rPr>
                <w:rStyle w:val="tlid-translation"/>
                <w:rFonts w:cs="Calibri"/>
                <w:b/>
                <w:bCs/>
                <w:sz w:val="16"/>
                <w:szCs w:val="16"/>
                <w:lang w:val="en-US"/>
              </w:rPr>
            </w:pPr>
            <w:r w:rsidRPr="00ED4D49">
              <w:rPr>
                <w:rStyle w:val="tlid-translation"/>
                <w:rFonts w:cs="Calibri"/>
                <w:b/>
                <w:bCs/>
                <w:sz w:val="16"/>
                <w:szCs w:val="16"/>
                <w:lang w:val="en-US"/>
              </w:rPr>
              <w:t>S</w:t>
            </w:r>
            <w:r w:rsidRPr="00ED4D49">
              <w:rPr>
                <w:rStyle w:val="tlid-translation"/>
                <w:rFonts w:cs="Calibri"/>
                <w:b/>
                <w:bCs/>
                <w:sz w:val="16"/>
                <w:szCs w:val="16"/>
              </w:rPr>
              <w:t>ubstantial</w:t>
            </w:r>
            <w:r w:rsidRPr="00ED4D49">
              <w:rPr>
                <w:rStyle w:val="tlid-translation"/>
                <w:rFonts w:cs="Calibri"/>
                <w:b/>
                <w:bCs/>
                <w:sz w:val="16"/>
                <w:szCs w:val="16"/>
                <w:lang w:val="en-US"/>
              </w:rPr>
              <w:t xml:space="preserve"> </w:t>
            </w:r>
            <w:r w:rsidR="00467B1C" w:rsidRPr="00ED4D49">
              <w:rPr>
                <w:rStyle w:val="tlid-translation"/>
                <w:rFonts w:cs="Calibri"/>
                <w:b/>
                <w:bCs/>
                <w:sz w:val="16"/>
                <w:szCs w:val="16"/>
                <w:lang w:val="en-US"/>
              </w:rPr>
              <w:t>risk</w:t>
            </w:r>
            <w:r w:rsidR="00CB7354" w:rsidRPr="00ED4D49">
              <w:rPr>
                <w:rStyle w:val="tlid-translation"/>
                <w:rFonts w:cs="Calibri"/>
                <w:b/>
                <w:bCs/>
                <w:sz w:val="16"/>
                <w:szCs w:val="16"/>
                <w:lang w:val="en-US"/>
              </w:rPr>
              <w:t xml:space="preserve"> </w:t>
            </w:r>
          </w:p>
        </w:tc>
        <w:tc>
          <w:tcPr>
            <w:tcW w:w="2394" w:type="dxa"/>
          </w:tcPr>
          <w:p w14:paraId="20027279" w14:textId="77777777" w:rsidR="00CB7354" w:rsidRPr="00ED4D49" w:rsidRDefault="00CB7354" w:rsidP="00F87C6D">
            <w:pPr>
              <w:jc w:val="both"/>
              <w:rPr>
                <w:rStyle w:val="tlid-translation"/>
                <w:rFonts w:cs="Calibri"/>
                <w:b/>
                <w:bCs/>
                <w:sz w:val="16"/>
                <w:szCs w:val="16"/>
                <w:lang w:val="en-US"/>
              </w:rPr>
            </w:pPr>
            <w:r w:rsidRPr="00ED4D49">
              <w:rPr>
                <w:rStyle w:val="tlid-translation"/>
                <w:rFonts w:cs="Calibri"/>
                <w:b/>
                <w:bCs/>
                <w:sz w:val="16"/>
                <w:szCs w:val="16"/>
                <w:lang w:val="en-US"/>
              </w:rPr>
              <w:t xml:space="preserve">High risk </w:t>
            </w:r>
          </w:p>
        </w:tc>
      </w:tr>
    </w:tbl>
    <w:p w14:paraId="44F7849B" w14:textId="3126C311" w:rsidR="00045CC5" w:rsidRPr="00ED4D49" w:rsidRDefault="00F879A8" w:rsidP="00960C1F">
      <w:pPr>
        <w:jc w:val="both"/>
        <w:rPr>
          <w:lang w:val="en-US"/>
        </w:rPr>
      </w:pPr>
      <w:r w:rsidRPr="00ED4D49">
        <w:rPr>
          <w:lang w:val="en-US"/>
        </w:rPr>
        <w:t>A</w:t>
      </w:r>
      <w:r w:rsidR="00A75A7F" w:rsidRPr="00ED4D49">
        <w:rPr>
          <w:lang w:val="en-US"/>
        </w:rPr>
        <w:t xml:space="preserve"> g</w:t>
      </w:r>
      <w:r w:rsidR="00045CC5" w:rsidRPr="00ED4D49">
        <w:rPr>
          <w:lang w:val="en-US"/>
        </w:rPr>
        <w:t>eneric E</w:t>
      </w:r>
      <w:r w:rsidR="003B7A7F" w:rsidRPr="00ED4D49">
        <w:rPr>
          <w:lang w:val="en-US"/>
        </w:rPr>
        <w:t>S</w:t>
      </w:r>
      <w:r w:rsidR="00045CC5" w:rsidRPr="00ED4D49">
        <w:rPr>
          <w:lang w:val="en-US"/>
        </w:rPr>
        <w:t xml:space="preserve">MP has been prepared for the purpose of this </w:t>
      </w:r>
      <w:r w:rsidR="008F4C3A" w:rsidRPr="00ED4D49">
        <w:rPr>
          <w:lang w:val="en-US"/>
        </w:rPr>
        <w:t>project</w:t>
      </w:r>
      <w:r w:rsidR="00045CC5" w:rsidRPr="00ED4D49">
        <w:rPr>
          <w:lang w:val="en-US"/>
        </w:rPr>
        <w:t xml:space="preserve"> and is provided in Annex </w:t>
      </w:r>
      <w:r w:rsidR="00A32F87" w:rsidRPr="00ED4D49">
        <w:rPr>
          <w:lang w:val="en-US"/>
        </w:rPr>
        <w:fldChar w:fldCharType="begin"/>
      </w:r>
      <w:r w:rsidR="00A32F87" w:rsidRPr="00ED4D49">
        <w:rPr>
          <w:lang w:val="en-US"/>
        </w:rPr>
        <w:instrText xml:space="preserve"> REF _Ref22310961 \r \h </w:instrText>
      </w:r>
      <w:r w:rsidR="00ED4D49">
        <w:rPr>
          <w:lang w:val="en-US"/>
        </w:rPr>
        <w:instrText xml:space="preserve"> \* MERGEFORMAT </w:instrText>
      </w:r>
      <w:r w:rsidR="00A32F87" w:rsidRPr="00ED4D49">
        <w:rPr>
          <w:lang w:val="en-US"/>
        </w:rPr>
      </w:r>
      <w:r w:rsidR="00A32F87" w:rsidRPr="00ED4D49">
        <w:rPr>
          <w:lang w:val="en-US"/>
        </w:rPr>
        <w:fldChar w:fldCharType="separate"/>
      </w:r>
      <w:r w:rsidR="00F60130" w:rsidRPr="00ED4D49">
        <w:rPr>
          <w:lang w:val="en-US"/>
        </w:rPr>
        <w:t>D</w:t>
      </w:r>
      <w:r w:rsidR="00A32F87" w:rsidRPr="00ED4D49">
        <w:rPr>
          <w:lang w:val="en-US"/>
        </w:rPr>
        <w:fldChar w:fldCharType="end"/>
      </w:r>
      <w:r w:rsidR="00A32F87" w:rsidRPr="00ED4D49">
        <w:rPr>
          <w:lang w:val="en-US"/>
        </w:rPr>
        <w:t xml:space="preserve"> </w:t>
      </w:r>
      <w:r w:rsidR="00243A82" w:rsidRPr="00ED4D49">
        <w:rPr>
          <w:lang w:val="en-US"/>
        </w:rPr>
        <w:t>to</w:t>
      </w:r>
      <w:r w:rsidR="00045CC5" w:rsidRPr="00ED4D49">
        <w:rPr>
          <w:lang w:val="en-US"/>
        </w:rPr>
        <w:t xml:space="preserve"> this </w:t>
      </w:r>
      <w:r w:rsidR="008F4C3A" w:rsidRPr="00ED4D49">
        <w:rPr>
          <w:lang w:val="en-US"/>
        </w:rPr>
        <w:t>ESMF</w:t>
      </w:r>
      <w:r w:rsidR="00045CC5" w:rsidRPr="00ED4D49">
        <w:rPr>
          <w:lang w:val="en-US"/>
        </w:rPr>
        <w:t>. The generic E</w:t>
      </w:r>
      <w:r w:rsidR="003B7A7F" w:rsidRPr="00ED4D49">
        <w:rPr>
          <w:lang w:val="en-US"/>
        </w:rPr>
        <w:t>S</w:t>
      </w:r>
      <w:r w:rsidR="00045CC5" w:rsidRPr="00ED4D49">
        <w:rPr>
          <w:lang w:val="en-US"/>
        </w:rPr>
        <w:t xml:space="preserve">MP provides mitigation measures and monitoring structure for construction works. In addition, legislative requirements on the need for </w:t>
      </w:r>
      <w:r w:rsidRPr="00ED4D49">
        <w:rPr>
          <w:lang w:val="en-US"/>
        </w:rPr>
        <w:t xml:space="preserve">an </w:t>
      </w:r>
      <w:r w:rsidR="00045CC5" w:rsidRPr="00ED4D49">
        <w:rPr>
          <w:lang w:val="en-US"/>
        </w:rPr>
        <w:t xml:space="preserve">environmental impact assessment of project encompassing works and/or </w:t>
      </w:r>
      <w:r w:rsidRPr="00ED4D49">
        <w:rPr>
          <w:lang w:val="en-US"/>
        </w:rPr>
        <w:t xml:space="preserve">environmental </w:t>
      </w:r>
      <w:r w:rsidR="00045CC5" w:rsidRPr="00ED4D49">
        <w:rPr>
          <w:lang w:val="en-US"/>
        </w:rPr>
        <w:t xml:space="preserve">analyses </w:t>
      </w:r>
      <w:r w:rsidRPr="00ED4D49">
        <w:rPr>
          <w:lang w:val="en-US"/>
        </w:rPr>
        <w:t>must</w:t>
      </w:r>
      <w:r w:rsidR="00045CC5" w:rsidRPr="00ED4D49">
        <w:rPr>
          <w:lang w:val="en-US"/>
        </w:rPr>
        <w:t xml:space="preserve"> be respected (relevant opinion on the need for undertaking </w:t>
      </w:r>
      <w:r w:rsidRPr="00ED4D49">
        <w:rPr>
          <w:lang w:val="en-US"/>
        </w:rPr>
        <w:t>an</w:t>
      </w:r>
      <w:r w:rsidR="00045CC5" w:rsidRPr="00ED4D49">
        <w:rPr>
          <w:lang w:val="en-US"/>
        </w:rPr>
        <w:t xml:space="preserve"> EIA shall be sought, where applicable and needed), as well as relevant permits obtained. </w:t>
      </w:r>
    </w:p>
    <w:p w14:paraId="1F2F45EE" w14:textId="77777777" w:rsidR="0079388E" w:rsidRPr="00ED4D49" w:rsidRDefault="0079388E" w:rsidP="00E314D5">
      <w:pPr>
        <w:rPr>
          <w:lang w:val="en-US"/>
        </w:rPr>
        <w:sectPr w:rsidR="0079388E" w:rsidRPr="00ED4D49" w:rsidSect="000B2E9A">
          <w:footerReference w:type="default" r:id="rId38"/>
          <w:pgSz w:w="11900" w:h="16840"/>
          <w:pgMar w:top="1440" w:right="1440" w:bottom="1440" w:left="1440" w:header="720" w:footer="720" w:gutter="0"/>
          <w:pgNumType w:start="1"/>
          <w:cols w:space="720"/>
          <w:docGrid w:linePitch="360"/>
        </w:sectPr>
      </w:pPr>
    </w:p>
    <w:p w14:paraId="6308F76D" w14:textId="6D105370" w:rsidR="0079388E" w:rsidRPr="00ED4D49" w:rsidRDefault="0079388E" w:rsidP="0079388E">
      <w:pPr>
        <w:pStyle w:val="Caption"/>
        <w:spacing w:line="276" w:lineRule="auto"/>
        <w:rPr>
          <w:rFonts w:cs="Calibri"/>
          <w:b w:val="0"/>
          <w:i/>
          <w:color w:val="auto"/>
          <w:sz w:val="16"/>
        </w:rPr>
      </w:pPr>
      <w:bookmarkStart w:id="236" w:name="_Ref22291948"/>
      <w:bookmarkStart w:id="237" w:name="_Toc28188049"/>
      <w:r w:rsidRPr="00ED4D49">
        <w:rPr>
          <w:rFonts w:cs="Calibri"/>
          <w:b w:val="0"/>
          <w:i/>
          <w:color w:val="1F497D"/>
          <w:sz w:val="16"/>
        </w:rPr>
        <w:lastRenderedPageBreak/>
        <w:t xml:space="preserve">Table </w:t>
      </w:r>
      <w:r w:rsidRPr="00ED4D49">
        <w:rPr>
          <w:rFonts w:cs="Calibri"/>
          <w:b w:val="0"/>
          <w:i/>
          <w:color w:val="1F497D"/>
          <w:sz w:val="16"/>
        </w:rPr>
        <w:fldChar w:fldCharType="begin"/>
      </w:r>
      <w:r w:rsidRPr="00ED4D49">
        <w:rPr>
          <w:rFonts w:cs="Calibri"/>
          <w:b w:val="0"/>
          <w:i/>
          <w:color w:val="1F497D"/>
          <w:sz w:val="16"/>
        </w:rPr>
        <w:instrText xml:space="preserve"> SEQ Table \* ARABIC </w:instrText>
      </w:r>
      <w:r w:rsidRPr="00ED4D49">
        <w:rPr>
          <w:rFonts w:cs="Calibri"/>
          <w:b w:val="0"/>
          <w:i/>
          <w:color w:val="1F497D"/>
          <w:sz w:val="16"/>
        </w:rPr>
        <w:fldChar w:fldCharType="separate"/>
      </w:r>
      <w:r w:rsidR="00F60130" w:rsidRPr="00ED4D49">
        <w:rPr>
          <w:rFonts w:cs="Calibri"/>
          <w:b w:val="0"/>
          <w:i/>
          <w:noProof/>
          <w:color w:val="1F497D"/>
          <w:sz w:val="16"/>
        </w:rPr>
        <w:t>24</w:t>
      </w:r>
      <w:r w:rsidRPr="00ED4D49">
        <w:rPr>
          <w:rFonts w:cs="Calibri"/>
          <w:b w:val="0"/>
          <w:i/>
          <w:color w:val="1F497D"/>
          <w:sz w:val="16"/>
        </w:rPr>
        <w:fldChar w:fldCharType="end"/>
      </w:r>
      <w:bookmarkEnd w:id="236"/>
      <w:r w:rsidRPr="00ED4D49">
        <w:rPr>
          <w:rFonts w:cs="Calibri"/>
          <w:b w:val="0"/>
          <w:i/>
          <w:color w:val="1F497D"/>
          <w:sz w:val="16"/>
        </w:rPr>
        <w:t>:</w:t>
      </w:r>
      <w:r w:rsidRPr="00ED4D49">
        <w:rPr>
          <w:rFonts w:cs="Calibri"/>
          <w:b w:val="0"/>
          <w:i/>
          <w:color w:val="auto"/>
          <w:sz w:val="16"/>
        </w:rPr>
        <w:t xml:space="preserve"> Preliminary identification of environmental and social impacts of proposed </w:t>
      </w:r>
      <w:r w:rsidR="00BB3655" w:rsidRPr="00ED4D49">
        <w:rPr>
          <w:rFonts w:cs="Calibri"/>
          <w:b w:val="0"/>
          <w:i/>
          <w:color w:val="auto"/>
          <w:sz w:val="16"/>
        </w:rPr>
        <w:t>subprojects</w:t>
      </w:r>
      <w:bookmarkEnd w:id="237"/>
      <w:r w:rsidRPr="00ED4D49">
        <w:rPr>
          <w:rFonts w:cs="Calibri"/>
          <w:b w:val="0"/>
          <w:i/>
          <w:color w:val="auto"/>
          <w:sz w:val="16"/>
        </w:rPr>
        <w:t xml:space="preserve"> </w:t>
      </w:r>
    </w:p>
    <w:tbl>
      <w:tblPr>
        <w:tblStyle w:val="TableGridLight1"/>
        <w:tblW w:w="14454" w:type="dxa"/>
        <w:tblLayout w:type="fixed"/>
        <w:tblLook w:val="04A0" w:firstRow="1" w:lastRow="0" w:firstColumn="1" w:lastColumn="0" w:noHBand="0" w:noVBand="1"/>
      </w:tblPr>
      <w:tblGrid>
        <w:gridCol w:w="959"/>
        <w:gridCol w:w="2722"/>
        <w:gridCol w:w="2835"/>
        <w:gridCol w:w="4678"/>
        <w:gridCol w:w="3260"/>
      </w:tblGrid>
      <w:tr w:rsidR="00A75A7F" w:rsidRPr="00ED4D49" w14:paraId="56EF6CEB" w14:textId="77777777" w:rsidTr="00567DBF">
        <w:trPr>
          <w:tblHeader/>
        </w:trPr>
        <w:tc>
          <w:tcPr>
            <w:tcW w:w="3681" w:type="dxa"/>
            <w:gridSpan w:val="2"/>
          </w:tcPr>
          <w:p w14:paraId="6B836675" w14:textId="3F4AB7CF" w:rsidR="00A75A7F" w:rsidRPr="00ED4D49" w:rsidRDefault="00A75A7F" w:rsidP="00A67FEE">
            <w:pPr>
              <w:spacing w:before="0" w:after="0"/>
              <w:ind w:right="144"/>
              <w:rPr>
                <w:rFonts w:cs="Calibri"/>
                <w:color w:val="336699"/>
                <w:sz w:val="18"/>
                <w:szCs w:val="18"/>
                <w:lang w:val="en-US"/>
              </w:rPr>
            </w:pPr>
            <w:r w:rsidRPr="00ED4D49">
              <w:rPr>
                <w:rFonts w:cs="Calibri"/>
                <w:color w:val="336699"/>
                <w:sz w:val="18"/>
                <w:szCs w:val="18"/>
                <w:lang w:val="en-US"/>
              </w:rPr>
              <w:t>NAME OF THE COMP</w:t>
            </w:r>
            <w:r w:rsidR="0085474E" w:rsidRPr="00ED4D49">
              <w:rPr>
                <w:rFonts w:cs="Calibri"/>
                <w:color w:val="336699"/>
                <w:sz w:val="18"/>
                <w:szCs w:val="18"/>
                <w:lang w:val="en-US"/>
              </w:rPr>
              <w:t>ONENT</w:t>
            </w:r>
            <w:r w:rsidRPr="00ED4D49">
              <w:rPr>
                <w:rFonts w:cs="Calibri"/>
                <w:color w:val="336699"/>
                <w:sz w:val="18"/>
                <w:szCs w:val="18"/>
                <w:lang w:val="en-US"/>
              </w:rPr>
              <w:t>, SUB-COMP</w:t>
            </w:r>
            <w:r w:rsidR="0085474E" w:rsidRPr="00ED4D49">
              <w:rPr>
                <w:rFonts w:cs="Calibri"/>
                <w:color w:val="336699"/>
                <w:sz w:val="18"/>
                <w:szCs w:val="18"/>
                <w:lang w:val="en-US"/>
              </w:rPr>
              <w:t>ONENT</w:t>
            </w:r>
            <w:r w:rsidRPr="00ED4D49">
              <w:rPr>
                <w:rFonts w:cs="Calibri"/>
                <w:color w:val="336699"/>
                <w:sz w:val="18"/>
                <w:szCs w:val="18"/>
                <w:lang w:val="en-US"/>
              </w:rPr>
              <w:t xml:space="preserve"> AND RELATED </w:t>
            </w:r>
            <w:r w:rsidR="00BB3655" w:rsidRPr="00ED4D49">
              <w:rPr>
                <w:rFonts w:cs="Calibri"/>
                <w:color w:val="336699"/>
                <w:sz w:val="18"/>
                <w:szCs w:val="18"/>
                <w:lang w:val="en-US"/>
              </w:rPr>
              <w:t>SUBPROJECTS</w:t>
            </w:r>
          </w:p>
        </w:tc>
        <w:tc>
          <w:tcPr>
            <w:tcW w:w="2835" w:type="dxa"/>
          </w:tcPr>
          <w:p w14:paraId="2AFE8673" w14:textId="77777777" w:rsidR="00A75A7F" w:rsidRPr="00ED4D49" w:rsidRDefault="00A75A7F" w:rsidP="00A67FEE">
            <w:pPr>
              <w:spacing w:before="0" w:after="0"/>
              <w:ind w:right="144"/>
              <w:rPr>
                <w:rFonts w:cs="Calibri"/>
                <w:color w:val="336699"/>
                <w:sz w:val="18"/>
                <w:szCs w:val="18"/>
                <w:lang w:val="en-US"/>
              </w:rPr>
            </w:pPr>
            <w:r w:rsidRPr="00ED4D49">
              <w:rPr>
                <w:rFonts w:cs="Calibri"/>
                <w:color w:val="336699"/>
                <w:sz w:val="18"/>
                <w:szCs w:val="18"/>
                <w:lang w:val="en-US"/>
              </w:rPr>
              <w:t>DESCRIPTION OF ACTIVITIES</w:t>
            </w:r>
          </w:p>
        </w:tc>
        <w:tc>
          <w:tcPr>
            <w:tcW w:w="4678" w:type="dxa"/>
          </w:tcPr>
          <w:p w14:paraId="20CFC66F" w14:textId="6ED7C40F" w:rsidR="00A75A7F" w:rsidRPr="00ED4D49" w:rsidRDefault="00A75A7F" w:rsidP="00A67FEE">
            <w:pPr>
              <w:spacing w:before="0" w:after="0"/>
              <w:ind w:right="144"/>
              <w:rPr>
                <w:rFonts w:cs="Calibri"/>
                <w:color w:val="336699"/>
                <w:sz w:val="18"/>
                <w:szCs w:val="18"/>
                <w:lang w:val="en-US"/>
              </w:rPr>
            </w:pPr>
            <w:r w:rsidRPr="00ED4D49">
              <w:rPr>
                <w:rFonts w:cs="Calibri"/>
                <w:color w:val="336699"/>
                <w:sz w:val="18"/>
                <w:szCs w:val="18"/>
                <w:lang w:val="en-US"/>
              </w:rPr>
              <w:t xml:space="preserve">PRELIMINARY </w:t>
            </w:r>
            <w:r w:rsidR="0085474E" w:rsidRPr="00ED4D49">
              <w:rPr>
                <w:rFonts w:cs="Calibri"/>
                <w:color w:val="336699"/>
                <w:sz w:val="18"/>
                <w:szCs w:val="18"/>
                <w:lang w:val="en-US"/>
              </w:rPr>
              <w:t>E&amp;S</w:t>
            </w:r>
            <w:r w:rsidRPr="00ED4D49">
              <w:rPr>
                <w:rFonts w:cs="Calibri"/>
                <w:color w:val="336699"/>
                <w:sz w:val="18"/>
                <w:szCs w:val="18"/>
                <w:lang w:val="en-US"/>
              </w:rPr>
              <w:t xml:space="preserve"> IMPACT ASSESSMENT</w:t>
            </w:r>
          </w:p>
          <w:p w14:paraId="0178ABA5" w14:textId="0BFA6A61" w:rsidR="00A75A7F" w:rsidRPr="00ED4D49" w:rsidRDefault="00A75A7F" w:rsidP="00A67FEE">
            <w:pPr>
              <w:spacing w:before="0" w:after="0"/>
              <w:ind w:right="144"/>
              <w:rPr>
                <w:rFonts w:cs="Calibri"/>
                <w:color w:val="336699"/>
                <w:sz w:val="18"/>
                <w:szCs w:val="18"/>
                <w:lang w:val="en-US"/>
              </w:rPr>
            </w:pPr>
          </w:p>
        </w:tc>
        <w:tc>
          <w:tcPr>
            <w:tcW w:w="3260" w:type="dxa"/>
          </w:tcPr>
          <w:p w14:paraId="0D5D7F75" w14:textId="65E7076C" w:rsidR="00A75A7F" w:rsidRPr="00ED4D49" w:rsidRDefault="00A75A7F" w:rsidP="00A67FEE">
            <w:pPr>
              <w:spacing w:before="0" w:after="0"/>
              <w:ind w:right="144"/>
              <w:rPr>
                <w:rFonts w:cs="Calibri"/>
                <w:color w:val="336699"/>
                <w:sz w:val="18"/>
                <w:szCs w:val="18"/>
                <w:lang w:val="en-US"/>
              </w:rPr>
            </w:pPr>
            <w:r w:rsidRPr="00ED4D49">
              <w:rPr>
                <w:rFonts w:cs="Calibri"/>
                <w:color w:val="336699"/>
                <w:sz w:val="18"/>
                <w:szCs w:val="18"/>
                <w:lang w:val="en-US"/>
              </w:rPr>
              <w:t>MITIGATION MEASURES AND MONITORING</w:t>
            </w:r>
          </w:p>
        </w:tc>
      </w:tr>
      <w:tr w:rsidR="0079388E" w:rsidRPr="00ED4D49" w14:paraId="360C9AB9" w14:textId="77777777" w:rsidTr="00E07AC6">
        <w:tc>
          <w:tcPr>
            <w:tcW w:w="14454" w:type="dxa"/>
            <w:gridSpan w:val="5"/>
          </w:tcPr>
          <w:p w14:paraId="3A32484E" w14:textId="5132B018" w:rsidR="0079388E" w:rsidRPr="00ED4D49" w:rsidRDefault="0079388E" w:rsidP="00A67FEE">
            <w:pPr>
              <w:spacing w:before="60" w:after="60"/>
              <w:rPr>
                <w:sz w:val="18"/>
                <w:szCs w:val="18"/>
                <w:lang w:val="en-US"/>
              </w:rPr>
            </w:pPr>
            <w:r w:rsidRPr="00ED4D49">
              <w:rPr>
                <w:b/>
                <w:sz w:val="18"/>
                <w:szCs w:val="18"/>
                <w:lang w:val="en-US"/>
              </w:rPr>
              <w:t>COMP</w:t>
            </w:r>
            <w:r w:rsidR="00CB7354" w:rsidRPr="00ED4D49">
              <w:rPr>
                <w:b/>
                <w:sz w:val="18"/>
                <w:szCs w:val="18"/>
                <w:lang w:val="en-US"/>
              </w:rPr>
              <w:t>ONENT</w:t>
            </w:r>
            <w:r w:rsidRPr="00ED4D49">
              <w:rPr>
                <w:b/>
                <w:sz w:val="18"/>
                <w:szCs w:val="18"/>
                <w:lang w:val="en-US"/>
              </w:rPr>
              <w:t xml:space="preserve"> 1 </w:t>
            </w:r>
            <w:r w:rsidR="00A45148" w:rsidRPr="00ED4D49">
              <w:rPr>
                <w:b/>
                <w:sz w:val="18"/>
                <w:szCs w:val="18"/>
                <w:lang w:val="en-US"/>
              </w:rPr>
              <w:t>INTEGRATED</w:t>
            </w:r>
            <w:r w:rsidR="0023663B" w:rsidRPr="00ED4D49">
              <w:rPr>
                <w:b/>
                <w:sz w:val="18"/>
                <w:szCs w:val="18"/>
                <w:lang w:val="en-US"/>
              </w:rPr>
              <w:t xml:space="preserve"> MANAGEMENT AND </w:t>
            </w:r>
            <w:r w:rsidR="00A45148" w:rsidRPr="00ED4D49">
              <w:rPr>
                <w:b/>
                <w:sz w:val="18"/>
                <w:szCs w:val="18"/>
                <w:lang w:val="en-US"/>
              </w:rPr>
              <w:t>DEVELOPMENT OF THE SAVA RIVER CORRIDOR</w:t>
            </w:r>
          </w:p>
        </w:tc>
      </w:tr>
      <w:tr w:rsidR="0008316E" w:rsidRPr="00ED4D49" w14:paraId="55DA8DF0" w14:textId="77777777" w:rsidTr="00E07AC6">
        <w:tc>
          <w:tcPr>
            <w:tcW w:w="14454" w:type="dxa"/>
            <w:gridSpan w:val="5"/>
          </w:tcPr>
          <w:p w14:paraId="3E68CF03" w14:textId="68E5C470" w:rsidR="0008316E" w:rsidRPr="00ED4D49" w:rsidRDefault="00CB7354" w:rsidP="0008316E">
            <w:pPr>
              <w:spacing w:before="60" w:after="60"/>
              <w:rPr>
                <w:b/>
                <w:bCs/>
                <w:i/>
                <w:sz w:val="18"/>
                <w:szCs w:val="18"/>
                <w:lang w:val="en-US"/>
              </w:rPr>
            </w:pPr>
            <w:r w:rsidRPr="00ED4D49">
              <w:rPr>
                <w:rFonts w:asciiTheme="minorHAnsi" w:hAnsiTheme="minorHAnsi"/>
                <w:b/>
                <w:bCs/>
                <w:color w:val="0D0D0D" w:themeColor="text1" w:themeTint="F2"/>
                <w:sz w:val="18"/>
                <w:szCs w:val="18"/>
                <w:lang w:val="en-US"/>
              </w:rPr>
              <w:t xml:space="preserve">Sub-component 1.1: </w:t>
            </w:r>
            <w:r w:rsidR="0008316E" w:rsidRPr="00ED4D49">
              <w:rPr>
                <w:rFonts w:asciiTheme="minorHAnsi" w:hAnsiTheme="minorHAnsi"/>
                <w:b/>
                <w:bCs/>
                <w:color w:val="0D0D0D" w:themeColor="text1" w:themeTint="F2"/>
                <w:sz w:val="18"/>
                <w:szCs w:val="18"/>
                <w:lang w:val="en-US"/>
              </w:rPr>
              <w:t>Flood protection</w:t>
            </w:r>
            <w:r w:rsidR="0023663B" w:rsidRPr="00ED4D49">
              <w:rPr>
                <w:rFonts w:asciiTheme="minorHAnsi" w:hAnsiTheme="minorHAnsi"/>
                <w:b/>
                <w:bCs/>
                <w:color w:val="0D0D0D" w:themeColor="text1" w:themeTint="F2"/>
                <w:sz w:val="18"/>
                <w:szCs w:val="18"/>
                <w:lang w:val="en-US"/>
              </w:rPr>
              <w:t xml:space="preserve"> and</w:t>
            </w:r>
            <w:r w:rsidR="0008316E" w:rsidRPr="00ED4D49">
              <w:rPr>
                <w:rFonts w:asciiTheme="minorHAnsi" w:hAnsiTheme="minorHAnsi"/>
                <w:b/>
                <w:bCs/>
                <w:color w:val="0D0D0D" w:themeColor="text1" w:themeTint="F2"/>
                <w:sz w:val="18"/>
                <w:szCs w:val="18"/>
                <w:lang w:val="en-US"/>
              </w:rPr>
              <w:t xml:space="preserve"> environmental management</w:t>
            </w:r>
          </w:p>
        </w:tc>
      </w:tr>
      <w:tr w:rsidR="006F64D7" w:rsidRPr="00ED4D49" w14:paraId="759E2264" w14:textId="77777777" w:rsidTr="00E07AC6">
        <w:trPr>
          <w:trHeight w:val="813"/>
        </w:trPr>
        <w:tc>
          <w:tcPr>
            <w:tcW w:w="959" w:type="dxa"/>
          </w:tcPr>
          <w:p w14:paraId="192BED87" w14:textId="374A39F2" w:rsidR="006F64D7" w:rsidRPr="00ED4D49" w:rsidRDefault="006F64D7" w:rsidP="00B824E1">
            <w:pPr>
              <w:spacing w:before="60" w:after="60"/>
              <w:rPr>
                <w:sz w:val="18"/>
                <w:szCs w:val="18"/>
                <w:lang w:val="en-US"/>
              </w:rPr>
            </w:pPr>
            <w:r w:rsidRPr="00ED4D49">
              <w:rPr>
                <w:sz w:val="18"/>
                <w:szCs w:val="18"/>
                <w:lang w:val="en-US"/>
              </w:rPr>
              <w:t xml:space="preserve">a) </w:t>
            </w:r>
          </w:p>
        </w:tc>
        <w:tc>
          <w:tcPr>
            <w:tcW w:w="2722" w:type="dxa"/>
          </w:tcPr>
          <w:p w14:paraId="45440F76" w14:textId="5551DE28" w:rsidR="006F64D7" w:rsidRPr="00ED4D49" w:rsidRDefault="006F64D7" w:rsidP="00E07AC6">
            <w:pPr>
              <w:spacing w:before="60" w:after="60"/>
              <w:rPr>
                <w:rFonts w:asciiTheme="minorHAnsi" w:hAnsiTheme="minorHAnsi"/>
                <w:color w:val="0D0D0D" w:themeColor="text1" w:themeTint="F2"/>
                <w:sz w:val="18"/>
                <w:szCs w:val="18"/>
                <w:lang w:val="en-US"/>
              </w:rPr>
            </w:pPr>
            <w:r w:rsidRPr="00ED4D49">
              <w:rPr>
                <w:rFonts w:asciiTheme="minorHAnsi" w:hAnsiTheme="minorHAnsi"/>
                <w:color w:val="0D0D0D" w:themeColor="text1" w:themeTint="F2"/>
                <w:sz w:val="18"/>
                <w:szCs w:val="18"/>
                <w:lang w:val="en-US"/>
              </w:rPr>
              <w:t xml:space="preserve">Regulation of concrete channel and pipe, </w:t>
            </w:r>
            <w:proofErr w:type="spellStart"/>
            <w:r w:rsidRPr="00ED4D49">
              <w:rPr>
                <w:rFonts w:asciiTheme="minorHAnsi" w:hAnsiTheme="minorHAnsi"/>
                <w:color w:val="0D0D0D" w:themeColor="text1" w:themeTint="F2"/>
                <w:sz w:val="18"/>
                <w:szCs w:val="18"/>
                <w:lang w:val="en-US"/>
              </w:rPr>
              <w:t>Bubnjarica</w:t>
            </w:r>
            <w:proofErr w:type="spellEnd"/>
            <w:r w:rsidRPr="00ED4D49">
              <w:rPr>
                <w:rFonts w:asciiTheme="minorHAnsi" w:hAnsiTheme="minorHAnsi"/>
                <w:color w:val="0D0D0D" w:themeColor="text1" w:themeTint="F2"/>
                <w:sz w:val="18"/>
                <w:szCs w:val="18"/>
                <w:lang w:val="en-US"/>
              </w:rPr>
              <w:t xml:space="preserve"> Creek torrent water </w:t>
            </w:r>
          </w:p>
        </w:tc>
        <w:tc>
          <w:tcPr>
            <w:tcW w:w="2835" w:type="dxa"/>
            <w:vMerge w:val="restart"/>
          </w:tcPr>
          <w:p w14:paraId="5F11FD47" w14:textId="24AC4E07" w:rsidR="006F64D7" w:rsidRPr="00ED4D49" w:rsidRDefault="006F64D7" w:rsidP="00B824E1">
            <w:pPr>
              <w:spacing w:before="60" w:after="60"/>
              <w:rPr>
                <w:sz w:val="18"/>
                <w:szCs w:val="18"/>
                <w:lang w:val="en-US"/>
              </w:rPr>
            </w:pPr>
            <w:r w:rsidRPr="00ED4D49">
              <w:rPr>
                <w:sz w:val="18"/>
                <w:szCs w:val="18"/>
                <w:lang w:val="en-US"/>
              </w:rPr>
              <w:t>Actions needed for flood protection, bank stabilization, drainage and river training works, and reservoir management in the Drina Corridor. This sub-component will finance selected priority investments in line with the project development objective including any further studies that may be needed.</w:t>
            </w:r>
          </w:p>
        </w:tc>
        <w:tc>
          <w:tcPr>
            <w:tcW w:w="4678" w:type="dxa"/>
            <w:vMerge w:val="restart"/>
          </w:tcPr>
          <w:p w14:paraId="013A1D97" w14:textId="77777777" w:rsidR="006F64D7" w:rsidRPr="00ED4D49" w:rsidRDefault="006F64D7" w:rsidP="00B824E1">
            <w:pPr>
              <w:autoSpaceDE w:val="0"/>
              <w:autoSpaceDN w:val="0"/>
              <w:adjustRightInd w:val="0"/>
              <w:rPr>
                <w:sz w:val="18"/>
                <w:szCs w:val="18"/>
                <w:lang w:val="en-US"/>
              </w:rPr>
            </w:pPr>
            <w:r w:rsidRPr="00ED4D49">
              <w:rPr>
                <w:rFonts w:cs="Courier New"/>
                <w:b/>
                <w:sz w:val="18"/>
                <w:szCs w:val="18"/>
                <w:lang w:val="en-US"/>
              </w:rPr>
              <w:t>Impacts:</w:t>
            </w:r>
            <w:r w:rsidRPr="00ED4D49">
              <w:rPr>
                <w:rFonts w:cs="Courier New"/>
                <w:sz w:val="18"/>
                <w:szCs w:val="18"/>
                <w:lang w:val="en-US"/>
              </w:rPr>
              <w:t xml:space="preserve"> </w:t>
            </w:r>
            <w:r w:rsidRPr="00ED4D49">
              <w:rPr>
                <w:i/>
                <w:iCs/>
                <w:sz w:val="18"/>
                <w:szCs w:val="18"/>
                <w:lang w:val="en-US"/>
              </w:rPr>
              <w:t>In the pre-construction phase</w:t>
            </w:r>
            <w:r w:rsidRPr="00ED4D49">
              <w:rPr>
                <w:sz w:val="18"/>
                <w:szCs w:val="18"/>
                <w:lang w:val="en-US"/>
              </w:rPr>
              <w:t xml:space="preserve">, the identified social impact are related to possible acquisition of land at the locations of the works. </w:t>
            </w:r>
          </w:p>
          <w:p w14:paraId="2D8DE26E" w14:textId="77777777" w:rsidR="006F64D7" w:rsidRPr="00ED4D49" w:rsidRDefault="006F64D7" w:rsidP="00B824E1">
            <w:pPr>
              <w:autoSpaceDE w:val="0"/>
              <w:autoSpaceDN w:val="0"/>
              <w:adjustRightInd w:val="0"/>
              <w:rPr>
                <w:rFonts w:cs="Tw Cen MT"/>
                <w:sz w:val="18"/>
                <w:szCs w:val="18"/>
                <w:lang w:val="en-US"/>
              </w:rPr>
            </w:pPr>
            <w:r w:rsidRPr="00ED4D49">
              <w:rPr>
                <w:i/>
                <w:iCs/>
                <w:sz w:val="18"/>
                <w:szCs w:val="18"/>
                <w:lang w:val="en-US"/>
              </w:rPr>
              <w:t xml:space="preserve">In the construction phase, </w:t>
            </w:r>
            <w:r w:rsidRPr="00ED4D49">
              <w:rPr>
                <w:sz w:val="18"/>
                <w:szCs w:val="18"/>
                <w:lang w:val="en-US"/>
              </w:rPr>
              <w:t xml:space="preserve">the social impacts are mainly related to community health and safety during construction; minor negative impacts could be expected through human presence and nature of construction works at site, which are limited to the location of works or its surrounding vicinity. Large influx of workers from outside communities is not expected. The </w:t>
            </w:r>
            <w:r w:rsidRPr="00ED4D49">
              <w:rPr>
                <w:rFonts w:cs="Courier New"/>
                <w:sz w:val="18"/>
                <w:szCs w:val="18"/>
                <w:lang w:val="en-US"/>
              </w:rPr>
              <w:t xml:space="preserve">regulation of riverbed and stabilization of active landslides envisioned within the project may have certain impacts on </w:t>
            </w:r>
            <w:r w:rsidRPr="00ED4D49">
              <w:rPr>
                <w:sz w:val="18"/>
                <w:szCs w:val="18"/>
                <w:lang w:val="en-US"/>
              </w:rPr>
              <w:t xml:space="preserve">the </w:t>
            </w:r>
            <w:r w:rsidRPr="00ED4D49">
              <w:rPr>
                <w:rFonts w:cs="Courier New"/>
                <w:sz w:val="18"/>
                <w:szCs w:val="18"/>
                <w:lang w:val="en-US"/>
              </w:rPr>
              <w:t>environment/water resource during construction/reconstruction and removal of materials. Analyses performed should provide best available materials for collection and separation of waste</w:t>
            </w:r>
            <w:r w:rsidRPr="00ED4D49">
              <w:rPr>
                <w:rFonts w:cs="ArialMT"/>
                <w:sz w:val="18"/>
                <w:szCs w:val="18"/>
                <w:lang w:val="en-US"/>
              </w:rPr>
              <w:t xml:space="preserve">; impact of </w:t>
            </w:r>
            <w:r w:rsidRPr="00ED4D49">
              <w:rPr>
                <w:rFonts w:cs="Arial"/>
                <w:sz w:val="18"/>
                <w:szCs w:val="18"/>
                <w:lang w:val="en-US"/>
              </w:rPr>
              <w:t xml:space="preserve">transporting the machinery to site; noise of construction; </w:t>
            </w:r>
            <w:r w:rsidRPr="00ED4D49">
              <w:rPr>
                <w:rFonts w:cs="Tw Cen MT"/>
                <w:sz w:val="18"/>
                <w:szCs w:val="18"/>
                <w:lang w:val="en-US"/>
              </w:rPr>
              <w:t xml:space="preserve">waste, noise, dirt and dust on the location and the access roads.  </w:t>
            </w:r>
          </w:p>
          <w:p w14:paraId="37344EC2" w14:textId="77777777" w:rsidR="006F64D7" w:rsidRPr="00ED4D49" w:rsidRDefault="006F64D7" w:rsidP="00B824E1">
            <w:pPr>
              <w:autoSpaceDE w:val="0"/>
              <w:autoSpaceDN w:val="0"/>
              <w:adjustRightInd w:val="0"/>
              <w:rPr>
                <w:rFonts w:cs="Tw Cen MT"/>
                <w:sz w:val="18"/>
                <w:szCs w:val="18"/>
                <w:lang w:val="en-US"/>
              </w:rPr>
            </w:pPr>
            <w:r w:rsidRPr="00ED4D49">
              <w:rPr>
                <w:rFonts w:cs="Tw Cen MT"/>
                <w:i/>
                <w:iCs/>
                <w:sz w:val="18"/>
                <w:szCs w:val="18"/>
                <w:lang w:val="en-US"/>
              </w:rPr>
              <w:t>In the</w:t>
            </w:r>
            <w:r w:rsidRPr="00ED4D49">
              <w:rPr>
                <w:rFonts w:cs="Tw Cen MT"/>
                <w:sz w:val="18"/>
                <w:szCs w:val="18"/>
                <w:lang w:val="en-US"/>
              </w:rPr>
              <w:t xml:space="preserve"> </w:t>
            </w:r>
            <w:r w:rsidRPr="00ED4D49">
              <w:rPr>
                <w:rFonts w:cs="Tw Cen MT"/>
                <w:i/>
                <w:iCs/>
                <w:sz w:val="18"/>
                <w:szCs w:val="18"/>
                <w:lang w:val="en-US"/>
              </w:rPr>
              <w:t>operational phase,</w:t>
            </w:r>
            <w:r w:rsidRPr="00ED4D49">
              <w:rPr>
                <w:rFonts w:cs="Tw Cen MT"/>
                <w:sz w:val="18"/>
                <w:szCs w:val="18"/>
                <w:lang w:val="en-US"/>
              </w:rPr>
              <w:t xml:space="preserve"> the expected impacts are mainly related to maintenance of these structures and have a similar effect on </w:t>
            </w:r>
            <w:r w:rsidRPr="00ED4D49">
              <w:rPr>
                <w:sz w:val="18"/>
                <w:szCs w:val="18"/>
                <w:lang w:val="en-US"/>
              </w:rPr>
              <w:t xml:space="preserve">the </w:t>
            </w:r>
            <w:r w:rsidRPr="00ED4D49">
              <w:rPr>
                <w:rFonts w:cs="Tw Cen MT"/>
                <w:sz w:val="18"/>
                <w:szCs w:val="18"/>
                <w:lang w:val="en-US"/>
              </w:rPr>
              <w:t xml:space="preserve">environment as the construction works involve </w:t>
            </w:r>
            <w:r w:rsidRPr="00ED4D49">
              <w:rPr>
                <w:sz w:val="18"/>
                <w:szCs w:val="18"/>
                <w:lang w:val="en-US"/>
              </w:rPr>
              <w:t xml:space="preserve">the </w:t>
            </w:r>
            <w:r w:rsidRPr="00ED4D49">
              <w:rPr>
                <w:rFonts w:cs="Tw Cen MT"/>
                <w:sz w:val="18"/>
                <w:szCs w:val="18"/>
                <w:lang w:val="en-US"/>
              </w:rPr>
              <w:t>presence of workers and machinery on the site.</w:t>
            </w:r>
          </w:p>
          <w:p w14:paraId="6CBE41AD" w14:textId="77777777" w:rsidR="006F64D7" w:rsidRPr="00ED4D49" w:rsidRDefault="006F64D7" w:rsidP="00B824E1">
            <w:pPr>
              <w:autoSpaceDE w:val="0"/>
              <w:autoSpaceDN w:val="0"/>
              <w:adjustRightInd w:val="0"/>
              <w:rPr>
                <w:rFonts w:cs="Arial"/>
                <w:sz w:val="18"/>
                <w:szCs w:val="18"/>
                <w:lang w:val="en-US"/>
              </w:rPr>
            </w:pPr>
            <w:r w:rsidRPr="00ED4D49">
              <w:rPr>
                <w:sz w:val="18"/>
                <w:szCs w:val="18"/>
                <w:lang w:val="en-US"/>
              </w:rPr>
              <w:t xml:space="preserve">The projects on examination of the status of the Sava dyke and a portion of the Una dyke, </w:t>
            </w:r>
            <w:r w:rsidRPr="00ED4D49">
              <w:rPr>
                <w:rFonts w:cs="Arial"/>
                <w:sz w:val="18"/>
                <w:szCs w:val="18"/>
                <w:lang w:val="en-US"/>
              </w:rPr>
              <w:t xml:space="preserve">development of conceptual design for the downstream section of Bosna River and missing technical documentation are not expected to have </w:t>
            </w:r>
            <w:r w:rsidRPr="00ED4D49">
              <w:rPr>
                <w:rFonts w:cs="Arial"/>
                <w:sz w:val="18"/>
                <w:szCs w:val="18"/>
                <w:lang w:val="en-US"/>
              </w:rPr>
              <w:lastRenderedPageBreak/>
              <w:t xml:space="preserve">negative impacts on </w:t>
            </w:r>
            <w:r w:rsidRPr="00ED4D49">
              <w:rPr>
                <w:sz w:val="18"/>
                <w:szCs w:val="18"/>
                <w:lang w:val="en-US"/>
              </w:rPr>
              <w:t xml:space="preserve">the </w:t>
            </w:r>
            <w:r w:rsidRPr="00ED4D49">
              <w:rPr>
                <w:rFonts w:cs="Arial"/>
                <w:sz w:val="18"/>
                <w:szCs w:val="18"/>
                <w:lang w:val="en-US"/>
              </w:rPr>
              <w:t xml:space="preserve">environment, since this phase involves preparation of documents that will be implemented subsequently.  </w:t>
            </w:r>
          </w:p>
          <w:p w14:paraId="59EA803C" w14:textId="77777777" w:rsidR="006F64D7" w:rsidRPr="00ED4D49" w:rsidRDefault="006F64D7" w:rsidP="00B824E1">
            <w:pPr>
              <w:spacing w:before="0" w:after="0"/>
              <w:ind w:right="144"/>
              <w:rPr>
                <w:sz w:val="18"/>
                <w:szCs w:val="18"/>
                <w:lang w:val="en-US"/>
              </w:rPr>
            </w:pPr>
            <w:r w:rsidRPr="00ED4D49">
              <w:rPr>
                <w:b/>
                <w:bCs/>
                <w:sz w:val="18"/>
                <w:szCs w:val="18"/>
                <w:lang w:val="en-US"/>
              </w:rPr>
              <w:t>Likelihood:</w:t>
            </w:r>
            <w:r w:rsidRPr="00ED4D49">
              <w:rPr>
                <w:sz w:val="18"/>
                <w:szCs w:val="18"/>
                <w:lang w:val="en-US"/>
              </w:rPr>
              <w:t xml:space="preserve"> Moderate </w:t>
            </w:r>
          </w:p>
          <w:p w14:paraId="14465757" w14:textId="77777777" w:rsidR="006F64D7" w:rsidRPr="00ED4D49" w:rsidRDefault="006F64D7" w:rsidP="00B824E1">
            <w:pPr>
              <w:spacing w:before="0" w:after="0"/>
              <w:ind w:right="144"/>
              <w:rPr>
                <w:sz w:val="18"/>
                <w:szCs w:val="18"/>
                <w:lang w:val="en-US"/>
              </w:rPr>
            </w:pPr>
            <w:r w:rsidRPr="00ED4D49">
              <w:rPr>
                <w:b/>
                <w:bCs/>
                <w:sz w:val="18"/>
                <w:szCs w:val="18"/>
                <w:lang w:val="en-US"/>
              </w:rPr>
              <w:t>Magnitude of consequence:</w:t>
            </w:r>
            <w:r w:rsidRPr="00ED4D49">
              <w:rPr>
                <w:sz w:val="18"/>
                <w:szCs w:val="18"/>
                <w:lang w:val="en-US"/>
              </w:rPr>
              <w:t xml:space="preserve"> Moderate</w:t>
            </w:r>
          </w:p>
          <w:p w14:paraId="3175C9DC" w14:textId="3112E4AB" w:rsidR="006F64D7" w:rsidRPr="00ED4D49" w:rsidRDefault="006F64D7" w:rsidP="00B824E1">
            <w:pPr>
              <w:spacing w:before="60" w:after="60"/>
              <w:rPr>
                <w:b/>
                <w:bCs/>
                <w:sz w:val="18"/>
                <w:szCs w:val="18"/>
                <w:lang w:val="en-US"/>
              </w:rPr>
            </w:pPr>
            <w:r w:rsidRPr="00ED4D49">
              <w:rPr>
                <w:b/>
                <w:bCs/>
                <w:sz w:val="18"/>
                <w:szCs w:val="18"/>
                <w:lang w:val="en-US"/>
              </w:rPr>
              <w:t>ASSESSMENT: MODERATE RISK</w:t>
            </w:r>
          </w:p>
          <w:p w14:paraId="3CDB44F8" w14:textId="46698271" w:rsidR="0044369A" w:rsidRPr="00ED4D49" w:rsidRDefault="0044369A" w:rsidP="00B824E1">
            <w:pPr>
              <w:spacing w:before="60" w:after="60"/>
              <w:rPr>
                <w:b/>
                <w:bCs/>
                <w:sz w:val="18"/>
                <w:szCs w:val="18"/>
                <w:lang w:val="en-US"/>
              </w:rPr>
            </w:pPr>
          </w:p>
          <w:p w14:paraId="58BE0416" w14:textId="0CAFB46F" w:rsidR="0044369A" w:rsidRPr="00ED4D49" w:rsidRDefault="0044369A" w:rsidP="00B824E1">
            <w:pPr>
              <w:spacing w:before="60" w:after="60"/>
              <w:rPr>
                <w:b/>
                <w:bCs/>
                <w:sz w:val="18"/>
                <w:szCs w:val="18"/>
                <w:lang w:val="en-US"/>
              </w:rPr>
            </w:pPr>
          </w:p>
          <w:p w14:paraId="54385A13" w14:textId="0106855A" w:rsidR="007770FB" w:rsidRPr="00ED4D49" w:rsidRDefault="007770FB" w:rsidP="007770FB">
            <w:pPr>
              <w:autoSpaceDE w:val="0"/>
              <w:autoSpaceDN w:val="0"/>
              <w:adjustRightInd w:val="0"/>
              <w:rPr>
                <w:sz w:val="18"/>
                <w:szCs w:val="18"/>
                <w:lang w:val="en-US"/>
              </w:rPr>
            </w:pPr>
            <w:r w:rsidRPr="00ED4D49">
              <w:rPr>
                <w:rFonts w:cs="Courier New"/>
                <w:b/>
                <w:sz w:val="18"/>
                <w:szCs w:val="18"/>
                <w:lang w:val="en-US"/>
              </w:rPr>
              <w:t>Impacts:</w:t>
            </w:r>
            <w:r w:rsidRPr="00ED4D49">
              <w:rPr>
                <w:rFonts w:cs="Courier New"/>
                <w:sz w:val="16"/>
                <w:szCs w:val="16"/>
                <w:lang w:val="en-US"/>
              </w:rPr>
              <w:t xml:space="preserve"> </w:t>
            </w:r>
            <w:r w:rsidR="00745161" w:rsidRPr="00ED4D49">
              <w:rPr>
                <w:sz w:val="16"/>
                <w:szCs w:val="16"/>
                <w:lang w:val="en-US"/>
              </w:rPr>
              <w:t>land</w:t>
            </w:r>
            <w:r w:rsidR="00745161" w:rsidRPr="00ED4D49">
              <w:rPr>
                <w:lang w:val="en-US"/>
              </w:rPr>
              <w:t xml:space="preserve"> </w:t>
            </w:r>
            <w:r w:rsidR="006E35AC" w:rsidRPr="00ED4D49">
              <w:rPr>
                <w:sz w:val="18"/>
                <w:szCs w:val="18"/>
                <w:lang w:val="en-US"/>
              </w:rPr>
              <w:t>acquisition impacts might be an issue, depending on the type and location of the project.</w:t>
            </w:r>
          </w:p>
          <w:p w14:paraId="10E46E09" w14:textId="75C22CE4" w:rsidR="007770FB" w:rsidRPr="00ED4D49" w:rsidRDefault="007770FB" w:rsidP="007770FB">
            <w:pPr>
              <w:autoSpaceDE w:val="0"/>
              <w:autoSpaceDN w:val="0"/>
              <w:adjustRightInd w:val="0"/>
              <w:rPr>
                <w:rFonts w:cs="Tw Cen MT"/>
                <w:sz w:val="18"/>
                <w:szCs w:val="18"/>
                <w:lang w:val="en-US"/>
              </w:rPr>
            </w:pPr>
            <w:r w:rsidRPr="00ED4D49">
              <w:rPr>
                <w:i/>
                <w:iCs/>
                <w:sz w:val="18"/>
                <w:szCs w:val="18"/>
                <w:lang w:val="en-US"/>
              </w:rPr>
              <w:t xml:space="preserve">In the construction phase, </w:t>
            </w:r>
            <w:r w:rsidRPr="00ED4D49">
              <w:rPr>
                <w:sz w:val="18"/>
                <w:szCs w:val="18"/>
                <w:lang w:val="en-US"/>
              </w:rPr>
              <w:t xml:space="preserve">the impacts are mainly related to community health and </w:t>
            </w:r>
            <w:r w:rsidR="00B81C3A" w:rsidRPr="00ED4D49">
              <w:rPr>
                <w:sz w:val="18"/>
                <w:szCs w:val="18"/>
                <w:lang w:val="en-US"/>
              </w:rPr>
              <w:t xml:space="preserve">sanitary </w:t>
            </w:r>
            <w:r w:rsidRPr="00ED4D49">
              <w:rPr>
                <w:sz w:val="18"/>
                <w:szCs w:val="18"/>
                <w:lang w:val="en-US"/>
              </w:rPr>
              <w:t xml:space="preserve">safety during </w:t>
            </w:r>
            <w:r w:rsidR="00B81C3A" w:rsidRPr="00ED4D49">
              <w:rPr>
                <w:rFonts w:asciiTheme="minorHAnsi" w:hAnsiTheme="minorHAnsi"/>
                <w:color w:val="0D0D0D" w:themeColor="text1" w:themeTint="F2"/>
                <w:sz w:val="18"/>
                <w:szCs w:val="18"/>
                <w:lang w:val="en-US"/>
              </w:rPr>
              <w:t>landfill rehabilitation and its closure</w:t>
            </w:r>
            <w:r w:rsidRPr="00ED4D49">
              <w:rPr>
                <w:sz w:val="18"/>
                <w:szCs w:val="18"/>
                <w:lang w:val="en-US"/>
              </w:rPr>
              <w:t xml:space="preserve">; </w:t>
            </w:r>
            <w:r w:rsidR="00B81C3A" w:rsidRPr="00ED4D49">
              <w:rPr>
                <w:sz w:val="18"/>
                <w:szCs w:val="18"/>
                <w:lang w:val="en-US"/>
              </w:rPr>
              <w:t xml:space="preserve">with </w:t>
            </w:r>
            <w:r w:rsidR="00833F99" w:rsidRPr="00ED4D49">
              <w:rPr>
                <w:sz w:val="18"/>
                <w:szCs w:val="18"/>
                <w:lang w:val="en-US"/>
              </w:rPr>
              <w:t xml:space="preserve">anticipated </w:t>
            </w:r>
            <w:r w:rsidRPr="00ED4D49">
              <w:rPr>
                <w:sz w:val="18"/>
                <w:szCs w:val="18"/>
                <w:lang w:val="en-US"/>
              </w:rPr>
              <w:t xml:space="preserve">negative impacts </w:t>
            </w:r>
            <w:r w:rsidR="00833F99" w:rsidRPr="00ED4D49">
              <w:rPr>
                <w:sz w:val="18"/>
                <w:szCs w:val="18"/>
                <w:lang w:val="en-US"/>
              </w:rPr>
              <w:t xml:space="preserve">that </w:t>
            </w:r>
            <w:r w:rsidR="00B81C3A" w:rsidRPr="00ED4D49">
              <w:rPr>
                <w:sz w:val="18"/>
                <w:szCs w:val="18"/>
                <w:lang w:val="en-US"/>
              </w:rPr>
              <w:t xml:space="preserve">may </w:t>
            </w:r>
            <w:r w:rsidRPr="00ED4D49">
              <w:rPr>
                <w:sz w:val="18"/>
                <w:szCs w:val="18"/>
                <w:lang w:val="en-US"/>
              </w:rPr>
              <w:t>be expected through human presence and nature of works at site</w:t>
            </w:r>
            <w:r w:rsidR="00833F99" w:rsidRPr="00ED4D49">
              <w:rPr>
                <w:sz w:val="18"/>
                <w:szCs w:val="18"/>
                <w:lang w:val="en-US"/>
              </w:rPr>
              <w:t xml:space="preserve"> including dust and noise generation, </w:t>
            </w:r>
            <w:r w:rsidR="002C6507" w:rsidRPr="00ED4D49">
              <w:rPr>
                <w:sz w:val="18"/>
                <w:szCs w:val="18"/>
                <w:lang w:val="en-US"/>
              </w:rPr>
              <w:t xml:space="preserve">health and safety risks to workers and community, </w:t>
            </w:r>
            <w:r w:rsidR="00833F99" w:rsidRPr="00ED4D49">
              <w:rPr>
                <w:sz w:val="18"/>
                <w:szCs w:val="18"/>
                <w:lang w:val="en-US"/>
              </w:rPr>
              <w:t xml:space="preserve">construction waste management, machinery on site, slope stabilization and excavation, </w:t>
            </w:r>
            <w:r w:rsidR="003B6634" w:rsidRPr="00ED4D49">
              <w:rPr>
                <w:sz w:val="18"/>
                <w:szCs w:val="18"/>
                <w:lang w:val="en-US"/>
              </w:rPr>
              <w:t xml:space="preserve">procurement of raw materials all of which are readily mitigated through sound mitigation measures while the impacts </w:t>
            </w:r>
            <w:r w:rsidRPr="00ED4D49">
              <w:rPr>
                <w:sz w:val="18"/>
                <w:szCs w:val="18"/>
                <w:lang w:val="en-US"/>
              </w:rPr>
              <w:t xml:space="preserve"> are limited to the location of works or its surrounding vicinity. Large influx of workers from outside communities is not expected. </w:t>
            </w:r>
          </w:p>
          <w:p w14:paraId="265E0EA9" w14:textId="77777777" w:rsidR="007770FB" w:rsidRPr="00ED4D49" w:rsidRDefault="007770FB" w:rsidP="007770FB">
            <w:pPr>
              <w:autoSpaceDE w:val="0"/>
              <w:autoSpaceDN w:val="0"/>
              <w:adjustRightInd w:val="0"/>
              <w:rPr>
                <w:rFonts w:cs="Tw Cen MT"/>
                <w:sz w:val="18"/>
                <w:szCs w:val="18"/>
                <w:lang w:val="en-US"/>
              </w:rPr>
            </w:pPr>
            <w:r w:rsidRPr="00ED4D49">
              <w:rPr>
                <w:rFonts w:cs="Tw Cen MT"/>
                <w:i/>
                <w:iCs/>
                <w:sz w:val="18"/>
                <w:szCs w:val="18"/>
                <w:lang w:val="en-US"/>
              </w:rPr>
              <w:t>In the</w:t>
            </w:r>
            <w:r w:rsidRPr="00ED4D49">
              <w:rPr>
                <w:rFonts w:cs="Tw Cen MT"/>
                <w:sz w:val="18"/>
                <w:szCs w:val="18"/>
                <w:lang w:val="en-US"/>
              </w:rPr>
              <w:t xml:space="preserve"> </w:t>
            </w:r>
            <w:r w:rsidRPr="00ED4D49">
              <w:rPr>
                <w:rFonts w:cs="Tw Cen MT"/>
                <w:i/>
                <w:iCs/>
                <w:sz w:val="18"/>
                <w:szCs w:val="18"/>
                <w:lang w:val="en-US"/>
              </w:rPr>
              <w:t>operational phase,</w:t>
            </w:r>
            <w:r w:rsidRPr="00ED4D49">
              <w:rPr>
                <w:rFonts w:cs="Tw Cen MT"/>
                <w:sz w:val="18"/>
                <w:szCs w:val="18"/>
                <w:lang w:val="en-US"/>
              </w:rPr>
              <w:t xml:space="preserve"> the expected impacts are mainly related to maintenance of these structures and have a similar effect on </w:t>
            </w:r>
            <w:r w:rsidRPr="00ED4D49">
              <w:rPr>
                <w:sz w:val="18"/>
                <w:szCs w:val="18"/>
                <w:lang w:val="en-US"/>
              </w:rPr>
              <w:t xml:space="preserve">the </w:t>
            </w:r>
            <w:r w:rsidRPr="00ED4D49">
              <w:rPr>
                <w:rFonts w:cs="Tw Cen MT"/>
                <w:sz w:val="18"/>
                <w:szCs w:val="18"/>
                <w:lang w:val="en-US"/>
              </w:rPr>
              <w:t xml:space="preserve">environment as the construction works involve </w:t>
            </w:r>
            <w:r w:rsidRPr="00ED4D49">
              <w:rPr>
                <w:sz w:val="18"/>
                <w:szCs w:val="18"/>
                <w:lang w:val="en-US"/>
              </w:rPr>
              <w:t xml:space="preserve">the </w:t>
            </w:r>
            <w:r w:rsidRPr="00ED4D49">
              <w:rPr>
                <w:rFonts w:cs="Tw Cen MT"/>
                <w:sz w:val="18"/>
                <w:szCs w:val="18"/>
                <w:lang w:val="en-US"/>
              </w:rPr>
              <w:t>presence of workers and machinery on the site.</w:t>
            </w:r>
          </w:p>
          <w:p w14:paraId="22E87C75" w14:textId="77777777" w:rsidR="007770FB" w:rsidRPr="00ED4D49" w:rsidRDefault="007770FB" w:rsidP="007770FB">
            <w:pPr>
              <w:spacing w:before="0" w:after="0"/>
              <w:ind w:right="144"/>
              <w:rPr>
                <w:sz w:val="18"/>
                <w:szCs w:val="18"/>
                <w:lang w:val="en-US"/>
              </w:rPr>
            </w:pPr>
            <w:r w:rsidRPr="00ED4D49">
              <w:rPr>
                <w:b/>
                <w:bCs/>
                <w:sz w:val="18"/>
                <w:szCs w:val="18"/>
                <w:lang w:val="en-US"/>
              </w:rPr>
              <w:t>Likelihood:</w:t>
            </w:r>
            <w:r w:rsidRPr="00ED4D49">
              <w:rPr>
                <w:sz w:val="18"/>
                <w:szCs w:val="18"/>
                <w:lang w:val="en-US"/>
              </w:rPr>
              <w:t xml:space="preserve"> Moderate </w:t>
            </w:r>
          </w:p>
          <w:p w14:paraId="4BFB5192" w14:textId="65CF4AD7" w:rsidR="007770FB" w:rsidRPr="00ED4D49" w:rsidRDefault="007770FB" w:rsidP="007770FB">
            <w:pPr>
              <w:spacing w:before="0" w:after="0"/>
              <w:ind w:right="144"/>
              <w:rPr>
                <w:sz w:val="18"/>
                <w:szCs w:val="18"/>
                <w:lang w:val="en-US"/>
              </w:rPr>
            </w:pPr>
            <w:r w:rsidRPr="00ED4D49">
              <w:rPr>
                <w:b/>
                <w:bCs/>
                <w:sz w:val="18"/>
                <w:szCs w:val="18"/>
                <w:lang w:val="en-US"/>
              </w:rPr>
              <w:t>Magnitude of consequence:</w:t>
            </w:r>
            <w:r w:rsidRPr="00ED4D49">
              <w:rPr>
                <w:sz w:val="18"/>
                <w:szCs w:val="18"/>
                <w:lang w:val="en-US"/>
              </w:rPr>
              <w:t xml:space="preserve"> </w:t>
            </w:r>
            <w:r w:rsidR="00AF3CA4" w:rsidRPr="00ED4D49">
              <w:rPr>
                <w:sz w:val="18"/>
                <w:szCs w:val="18"/>
                <w:lang w:val="en-US"/>
              </w:rPr>
              <w:t>High</w:t>
            </w:r>
          </w:p>
          <w:p w14:paraId="037534CF" w14:textId="5C76FB5C" w:rsidR="007770FB" w:rsidRPr="00ED4D49" w:rsidRDefault="007770FB" w:rsidP="007770FB">
            <w:pPr>
              <w:spacing w:before="60" w:after="60"/>
              <w:rPr>
                <w:b/>
                <w:bCs/>
                <w:sz w:val="18"/>
                <w:szCs w:val="18"/>
                <w:lang w:val="en-US"/>
              </w:rPr>
            </w:pPr>
            <w:r w:rsidRPr="00ED4D49">
              <w:rPr>
                <w:b/>
                <w:bCs/>
                <w:sz w:val="18"/>
                <w:szCs w:val="18"/>
                <w:lang w:val="en-US"/>
              </w:rPr>
              <w:lastRenderedPageBreak/>
              <w:t xml:space="preserve">ASSESSMENT: </w:t>
            </w:r>
            <w:r w:rsidR="00AF3CA4" w:rsidRPr="00ED4D49">
              <w:rPr>
                <w:b/>
                <w:bCs/>
                <w:sz w:val="18"/>
                <w:szCs w:val="18"/>
                <w:lang w:val="en-US"/>
              </w:rPr>
              <w:t xml:space="preserve">SUBSTANTIAL </w:t>
            </w:r>
            <w:r w:rsidRPr="00ED4D49">
              <w:rPr>
                <w:b/>
                <w:bCs/>
                <w:sz w:val="18"/>
                <w:szCs w:val="18"/>
                <w:lang w:val="en-US"/>
              </w:rPr>
              <w:t>RISK</w:t>
            </w:r>
          </w:p>
          <w:p w14:paraId="4BA9C424" w14:textId="4AD66D4C" w:rsidR="0044369A" w:rsidRPr="00ED4D49" w:rsidRDefault="0044369A" w:rsidP="00B824E1">
            <w:pPr>
              <w:spacing w:before="60" w:after="60"/>
              <w:rPr>
                <w:b/>
                <w:bCs/>
                <w:sz w:val="18"/>
                <w:szCs w:val="18"/>
                <w:lang w:val="en-US"/>
              </w:rPr>
            </w:pPr>
          </w:p>
          <w:p w14:paraId="5938A26F" w14:textId="2ECDA102" w:rsidR="00256BC0" w:rsidRPr="00ED4D49" w:rsidRDefault="00256BC0" w:rsidP="00B824E1">
            <w:pPr>
              <w:spacing w:before="60" w:after="60"/>
              <w:rPr>
                <w:b/>
                <w:bCs/>
                <w:sz w:val="18"/>
                <w:szCs w:val="18"/>
                <w:lang w:val="en-US"/>
              </w:rPr>
            </w:pPr>
          </w:p>
          <w:p w14:paraId="1867C1AD" w14:textId="77777777" w:rsidR="00256BC0" w:rsidRPr="00ED4D49" w:rsidRDefault="00256BC0" w:rsidP="00256BC0">
            <w:pPr>
              <w:autoSpaceDE w:val="0"/>
              <w:autoSpaceDN w:val="0"/>
              <w:adjustRightInd w:val="0"/>
              <w:rPr>
                <w:sz w:val="18"/>
                <w:szCs w:val="18"/>
                <w:lang w:val="en-US"/>
              </w:rPr>
            </w:pPr>
            <w:r w:rsidRPr="00ED4D49">
              <w:rPr>
                <w:rFonts w:cs="Courier New"/>
                <w:b/>
                <w:sz w:val="18"/>
                <w:szCs w:val="18"/>
                <w:lang w:val="en-US"/>
              </w:rPr>
              <w:t>Impacts:</w:t>
            </w:r>
            <w:r w:rsidRPr="00ED4D49">
              <w:rPr>
                <w:rFonts w:cs="Courier New"/>
                <w:sz w:val="18"/>
                <w:szCs w:val="18"/>
                <w:lang w:val="en-US"/>
              </w:rPr>
              <w:t xml:space="preserve"> </w:t>
            </w:r>
            <w:r w:rsidRPr="00ED4D49">
              <w:rPr>
                <w:i/>
                <w:iCs/>
                <w:sz w:val="18"/>
                <w:szCs w:val="18"/>
                <w:lang w:val="en-US"/>
              </w:rPr>
              <w:t>In the pre-construction phase</w:t>
            </w:r>
            <w:r w:rsidRPr="00ED4D49">
              <w:rPr>
                <w:sz w:val="18"/>
                <w:szCs w:val="18"/>
                <w:lang w:val="en-US"/>
              </w:rPr>
              <w:t xml:space="preserve">, the identified social impact are related to possible acquisition of land at the locations of the works. </w:t>
            </w:r>
          </w:p>
          <w:p w14:paraId="5F7DC15E" w14:textId="77777777" w:rsidR="00256BC0" w:rsidRPr="00ED4D49" w:rsidRDefault="00256BC0" w:rsidP="00256BC0">
            <w:pPr>
              <w:autoSpaceDE w:val="0"/>
              <w:autoSpaceDN w:val="0"/>
              <w:adjustRightInd w:val="0"/>
              <w:rPr>
                <w:rFonts w:cs="Tw Cen MT"/>
                <w:sz w:val="18"/>
                <w:szCs w:val="18"/>
                <w:lang w:val="en-US"/>
              </w:rPr>
            </w:pPr>
            <w:r w:rsidRPr="00ED4D49">
              <w:rPr>
                <w:i/>
                <w:iCs/>
                <w:sz w:val="18"/>
                <w:szCs w:val="18"/>
                <w:lang w:val="en-US"/>
              </w:rPr>
              <w:t xml:space="preserve">In the construction phase, </w:t>
            </w:r>
            <w:r w:rsidRPr="00ED4D49">
              <w:rPr>
                <w:sz w:val="18"/>
                <w:szCs w:val="18"/>
                <w:lang w:val="en-US"/>
              </w:rPr>
              <w:t xml:space="preserve">the social impacts are mainly related to community health and safety during construction; minor negative impacts could be expected through human presence and nature of construction works at site, which are limited to the location of works or its surrounding vicinity. Large influx of workers from outside communities is not expected. The </w:t>
            </w:r>
            <w:r w:rsidRPr="00ED4D49">
              <w:rPr>
                <w:rFonts w:cs="Courier New"/>
                <w:sz w:val="18"/>
                <w:szCs w:val="18"/>
                <w:lang w:val="en-US"/>
              </w:rPr>
              <w:t xml:space="preserve">regulation of riverbed and stabilization of active landslides envisioned within the project may have certain impacts on </w:t>
            </w:r>
            <w:r w:rsidRPr="00ED4D49">
              <w:rPr>
                <w:sz w:val="18"/>
                <w:szCs w:val="18"/>
                <w:lang w:val="en-US"/>
              </w:rPr>
              <w:t xml:space="preserve">the </w:t>
            </w:r>
            <w:r w:rsidRPr="00ED4D49">
              <w:rPr>
                <w:rFonts w:cs="Courier New"/>
                <w:sz w:val="18"/>
                <w:szCs w:val="18"/>
                <w:lang w:val="en-US"/>
              </w:rPr>
              <w:t>environment/water resource during construction/reconstruction and removal of materials. Analyses performed should provide best available materials for collection and separation of waste</w:t>
            </w:r>
            <w:r w:rsidRPr="00ED4D49">
              <w:rPr>
                <w:rFonts w:cs="ArialMT"/>
                <w:sz w:val="18"/>
                <w:szCs w:val="18"/>
                <w:lang w:val="en-US"/>
              </w:rPr>
              <w:t xml:space="preserve">; impact of </w:t>
            </w:r>
            <w:r w:rsidRPr="00ED4D49">
              <w:rPr>
                <w:rFonts w:cs="Arial"/>
                <w:sz w:val="18"/>
                <w:szCs w:val="18"/>
                <w:lang w:val="en-US"/>
              </w:rPr>
              <w:t xml:space="preserve">transporting the machinery to site; noise of construction; </w:t>
            </w:r>
            <w:r w:rsidRPr="00ED4D49">
              <w:rPr>
                <w:rFonts w:cs="Tw Cen MT"/>
                <w:sz w:val="18"/>
                <w:szCs w:val="18"/>
                <w:lang w:val="en-US"/>
              </w:rPr>
              <w:t xml:space="preserve">waste, noise, dirt and dust on the location and the access roads.  </w:t>
            </w:r>
          </w:p>
          <w:p w14:paraId="767023D6" w14:textId="77777777" w:rsidR="00256BC0" w:rsidRPr="00ED4D49" w:rsidRDefault="00256BC0" w:rsidP="00256BC0">
            <w:pPr>
              <w:autoSpaceDE w:val="0"/>
              <w:autoSpaceDN w:val="0"/>
              <w:adjustRightInd w:val="0"/>
              <w:rPr>
                <w:rFonts w:cs="Tw Cen MT"/>
                <w:sz w:val="18"/>
                <w:szCs w:val="18"/>
                <w:lang w:val="en-US"/>
              </w:rPr>
            </w:pPr>
            <w:r w:rsidRPr="00ED4D49">
              <w:rPr>
                <w:rFonts w:cs="Tw Cen MT"/>
                <w:i/>
                <w:iCs/>
                <w:sz w:val="18"/>
                <w:szCs w:val="18"/>
                <w:lang w:val="en-US"/>
              </w:rPr>
              <w:t>In the</w:t>
            </w:r>
            <w:r w:rsidRPr="00ED4D49">
              <w:rPr>
                <w:rFonts w:cs="Tw Cen MT"/>
                <w:sz w:val="18"/>
                <w:szCs w:val="18"/>
                <w:lang w:val="en-US"/>
              </w:rPr>
              <w:t xml:space="preserve"> </w:t>
            </w:r>
            <w:r w:rsidRPr="00ED4D49">
              <w:rPr>
                <w:rFonts w:cs="Tw Cen MT"/>
                <w:i/>
                <w:iCs/>
                <w:sz w:val="18"/>
                <w:szCs w:val="18"/>
                <w:lang w:val="en-US"/>
              </w:rPr>
              <w:t>operational phase,</w:t>
            </w:r>
            <w:r w:rsidRPr="00ED4D49">
              <w:rPr>
                <w:rFonts w:cs="Tw Cen MT"/>
                <w:sz w:val="18"/>
                <w:szCs w:val="18"/>
                <w:lang w:val="en-US"/>
              </w:rPr>
              <w:t xml:space="preserve"> the expected impacts are mainly related to maintenance of these structures and have a similar effect on </w:t>
            </w:r>
            <w:r w:rsidRPr="00ED4D49">
              <w:rPr>
                <w:sz w:val="18"/>
                <w:szCs w:val="18"/>
                <w:lang w:val="en-US"/>
              </w:rPr>
              <w:t xml:space="preserve">the </w:t>
            </w:r>
            <w:r w:rsidRPr="00ED4D49">
              <w:rPr>
                <w:rFonts w:cs="Tw Cen MT"/>
                <w:sz w:val="18"/>
                <w:szCs w:val="18"/>
                <w:lang w:val="en-US"/>
              </w:rPr>
              <w:t xml:space="preserve">environment as the construction works involve </w:t>
            </w:r>
            <w:r w:rsidRPr="00ED4D49">
              <w:rPr>
                <w:sz w:val="18"/>
                <w:szCs w:val="18"/>
                <w:lang w:val="en-US"/>
              </w:rPr>
              <w:t xml:space="preserve">the </w:t>
            </w:r>
            <w:r w:rsidRPr="00ED4D49">
              <w:rPr>
                <w:rFonts w:cs="Tw Cen MT"/>
                <w:sz w:val="18"/>
                <w:szCs w:val="18"/>
                <w:lang w:val="en-US"/>
              </w:rPr>
              <w:t>presence of workers and machinery on the site.</w:t>
            </w:r>
          </w:p>
          <w:p w14:paraId="471BD023" w14:textId="76318A46" w:rsidR="00256BC0" w:rsidRPr="00ED4D49" w:rsidRDefault="00256BC0" w:rsidP="00256BC0">
            <w:pPr>
              <w:autoSpaceDE w:val="0"/>
              <w:autoSpaceDN w:val="0"/>
              <w:adjustRightInd w:val="0"/>
              <w:rPr>
                <w:rFonts w:cs="Arial"/>
                <w:sz w:val="18"/>
                <w:szCs w:val="18"/>
                <w:lang w:val="en-US"/>
              </w:rPr>
            </w:pPr>
            <w:r w:rsidRPr="00ED4D49">
              <w:rPr>
                <w:sz w:val="18"/>
                <w:szCs w:val="18"/>
                <w:lang w:val="en-US"/>
              </w:rPr>
              <w:t xml:space="preserve">The projects on examination of the status of the Sava dyke, </w:t>
            </w:r>
            <w:r w:rsidRPr="00ED4D49">
              <w:rPr>
                <w:rFonts w:cs="Arial"/>
                <w:sz w:val="18"/>
                <w:szCs w:val="18"/>
                <w:lang w:val="en-US"/>
              </w:rPr>
              <w:t xml:space="preserve">development of conceptual design and missing technical documentation are not expected to have negative impacts on </w:t>
            </w:r>
            <w:r w:rsidRPr="00ED4D49">
              <w:rPr>
                <w:sz w:val="18"/>
                <w:szCs w:val="18"/>
                <w:lang w:val="en-US"/>
              </w:rPr>
              <w:t xml:space="preserve">the </w:t>
            </w:r>
            <w:r w:rsidRPr="00ED4D49">
              <w:rPr>
                <w:rFonts w:cs="Arial"/>
                <w:sz w:val="18"/>
                <w:szCs w:val="18"/>
                <w:lang w:val="en-US"/>
              </w:rPr>
              <w:t xml:space="preserve">environment, since this phase involves preparation of documents that will be implemented subsequently.  </w:t>
            </w:r>
          </w:p>
          <w:p w14:paraId="110CB140" w14:textId="77777777" w:rsidR="00256BC0" w:rsidRPr="00ED4D49" w:rsidRDefault="00256BC0" w:rsidP="00256BC0">
            <w:pPr>
              <w:spacing w:before="0" w:after="0"/>
              <w:ind w:right="144"/>
              <w:rPr>
                <w:sz w:val="18"/>
                <w:szCs w:val="18"/>
                <w:lang w:val="en-US"/>
              </w:rPr>
            </w:pPr>
            <w:r w:rsidRPr="00ED4D49">
              <w:rPr>
                <w:b/>
                <w:bCs/>
                <w:sz w:val="18"/>
                <w:szCs w:val="18"/>
                <w:lang w:val="en-US"/>
              </w:rPr>
              <w:lastRenderedPageBreak/>
              <w:t>Likelihood:</w:t>
            </w:r>
            <w:r w:rsidRPr="00ED4D49">
              <w:rPr>
                <w:sz w:val="18"/>
                <w:szCs w:val="18"/>
                <w:lang w:val="en-US"/>
              </w:rPr>
              <w:t xml:space="preserve"> Moderate </w:t>
            </w:r>
          </w:p>
          <w:p w14:paraId="2EF89242" w14:textId="77777777" w:rsidR="00256BC0" w:rsidRPr="00ED4D49" w:rsidRDefault="00256BC0" w:rsidP="00256BC0">
            <w:pPr>
              <w:spacing w:before="0" w:after="0"/>
              <w:ind w:right="144"/>
              <w:rPr>
                <w:sz w:val="18"/>
                <w:szCs w:val="18"/>
                <w:lang w:val="en-US"/>
              </w:rPr>
            </w:pPr>
            <w:r w:rsidRPr="00ED4D49">
              <w:rPr>
                <w:b/>
                <w:bCs/>
                <w:sz w:val="18"/>
                <w:szCs w:val="18"/>
                <w:lang w:val="en-US"/>
              </w:rPr>
              <w:t>Magnitude of consequence:</w:t>
            </w:r>
            <w:r w:rsidRPr="00ED4D49">
              <w:rPr>
                <w:sz w:val="18"/>
                <w:szCs w:val="18"/>
                <w:lang w:val="en-US"/>
              </w:rPr>
              <w:t xml:space="preserve"> Moderate</w:t>
            </w:r>
          </w:p>
          <w:p w14:paraId="110FB5B0" w14:textId="77777777" w:rsidR="00256BC0" w:rsidRPr="00ED4D49" w:rsidRDefault="00256BC0" w:rsidP="00256BC0">
            <w:pPr>
              <w:spacing w:before="60" w:after="60"/>
              <w:rPr>
                <w:b/>
                <w:bCs/>
                <w:sz w:val="18"/>
                <w:szCs w:val="18"/>
                <w:lang w:val="en-US"/>
              </w:rPr>
            </w:pPr>
            <w:r w:rsidRPr="00ED4D49">
              <w:rPr>
                <w:b/>
                <w:bCs/>
                <w:sz w:val="18"/>
                <w:szCs w:val="18"/>
                <w:lang w:val="en-US"/>
              </w:rPr>
              <w:t>ASSESSMENT: MODERATE RISK</w:t>
            </w:r>
          </w:p>
          <w:p w14:paraId="1CD80DD2" w14:textId="2796E5BE" w:rsidR="0044369A" w:rsidRPr="00ED4D49" w:rsidRDefault="0044369A" w:rsidP="00B824E1">
            <w:pPr>
              <w:spacing w:before="60" w:after="60"/>
              <w:rPr>
                <w:b/>
                <w:bCs/>
                <w:sz w:val="18"/>
                <w:szCs w:val="18"/>
                <w:lang w:val="en-US"/>
              </w:rPr>
            </w:pPr>
          </w:p>
          <w:p w14:paraId="01E49470" w14:textId="77777777" w:rsidR="0044369A" w:rsidRPr="00ED4D49" w:rsidRDefault="0044369A" w:rsidP="00B824E1">
            <w:pPr>
              <w:spacing w:before="60" w:after="60"/>
              <w:rPr>
                <w:b/>
                <w:bCs/>
                <w:sz w:val="18"/>
                <w:szCs w:val="18"/>
                <w:lang w:val="en-US"/>
              </w:rPr>
            </w:pPr>
          </w:p>
          <w:p w14:paraId="6111700E" w14:textId="77777777" w:rsidR="0044369A" w:rsidRPr="00ED4D49" w:rsidRDefault="0044369A" w:rsidP="00B824E1">
            <w:pPr>
              <w:spacing w:before="60" w:after="60"/>
              <w:rPr>
                <w:b/>
                <w:bCs/>
                <w:sz w:val="18"/>
                <w:szCs w:val="18"/>
                <w:lang w:val="en-US"/>
              </w:rPr>
            </w:pPr>
          </w:p>
          <w:p w14:paraId="502E7DB6" w14:textId="7217CE57" w:rsidR="0044369A" w:rsidRPr="00ED4D49" w:rsidRDefault="0044369A" w:rsidP="00B824E1">
            <w:pPr>
              <w:spacing w:before="60" w:after="60"/>
              <w:rPr>
                <w:b/>
                <w:sz w:val="18"/>
                <w:szCs w:val="18"/>
                <w:lang w:val="en-US"/>
              </w:rPr>
            </w:pPr>
          </w:p>
        </w:tc>
        <w:tc>
          <w:tcPr>
            <w:tcW w:w="3260" w:type="dxa"/>
            <w:vMerge w:val="restart"/>
          </w:tcPr>
          <w:p w14:paraId="08460B4C" w14:textId="77777777" w:rsidR="006F64D7" w:rsidRPr="00ED4D49" w:rsidRDefault="006F64D7" w:rsidP="00B824E1">
            <w:pPr>
              <w:rPr>
                <w:rFonts w:cs="Courier New"/>
                <w:sz w:val="18"/>
                <w:szCs w:val="18"/>
                <w:lang w:val="en-US"/>
              </w:rPr>
            </w:pPr>
            <w:r w:rsidRPr="00ED4D49">
              <w:rPr>
                <w:rFonts w:cs="Courier New"/>
                <w:b/>
                <w:bCs/>
                <w:sz w:val="18"/>
                <w:szCs w:val="18"/>
                <w:lang w:val="en-US"/>
              </w:rPr>
              <w:lastRenderedPageBreak/>
              <w:t>Mitigation measures:</w:t>
            </w:r>
            <w:r w:rsidRPr="00ED4D49">
              <w:rPr>
                <w:rFonts w:cs="Courier New"/>
                <w:sz w:val="18"/>
                <w:szCs w:val="18"/>
                <w:lang w:val="en-US"/>
              </w:rPr>
              <w:t xml:space="preserve"> the prepared generic ESMP provides general mitigation measures and monitoring structure for construction works, and/or analyses that might take place within the projects’ implementation. </w:t>
            </w:r>
          </w:p>
          <w:p w14:paraId="022C08FA" w14:textId="77777777" w:rsidR="006F64D7" w:rsidRPr="00ED4D49" w:rsidRDefault="006F64D7" w:rsidP="00B824E1">
            <w:pPr>
              <w:autoSpaceDE w:val="0"/>
              <w:autoSpaceDN w:val="0"/>
              <w:adjustRightInd w:val="0"/>
              <w:rPr>
                <w:rFonts w:cs="Courier New"/>
                <w:sz w:val="18"/>
                <w:szCs w:val="18"/>
                <w:lang w:val="en-US"/>
              </w:rPr>
            </w:pPr>
            <w:r w:rsidRPr="00ED4D49">
              <w:rPr>
                <w:rFonts w:cs="Arial"/>
                <w:sz w:val="18"/>
                <w:szCs w:val="18"/>
                <w:lang w:val="en-US"/>
              </w:rPr>
              <w:t>Safety procedures must be observed by contractors during the construction work and removal of structures;</w:t>
            </w:r>
            <w:r w:rsidRPr="00ED4D49">
              <w:rPr>
                <w:rFonts w:cs="Courier New"/>
                <w:sz w:val="18"/>
                <w:szCs w:val="18"/>
                <w:lang w:val="en-US"/>
              </w:rPr>
              <w:t xml:space="preserve"> construction best practices for waste management and disposal, equipment maintained during construction, materials used, attested transportation vehicles; </w:t>
            </w:r>
            <w:r w:rsidRPr="00ED4D49">
              <w:rPr>
                <w:rFonts w:cs="Arial"/>
                <w:sz w:val="18"/>
                <w:szCs w:val="18"/>
                <w:lang w:val="en-US"/>
              </w:rPr>
              <w:t xml:space="preserve">the noise level will be controlled at all times and the activities will be controlled to avoid excessive disturbance </w:t>
            </w:r>
            <w:r w:rsidRPr="00ED4D49">
              <w:rPr>
                <w:rFonts w:cs="Courier New"/>
                <w:sz w:val="18"/>
                <w:szCs w:val="18"/>
                <w:lang w:val="en-US"/>
              </w:rPr>
              <w:t>as set out in the generic ESMP.</w:t>
            </w:r>
          </w:p>
          <w:p w14:paraId="6E61124B" w14:textId="77777777" w:rsidR="006F64D7" w:rsidRPr="00ED4D49" w:rsidRDefault="006F64D7" w:rsidP="00B824E1">
            <w:pPr>
              <w:spacing w:before="60" w:after="60"/>
              <w:rPr>
                <w:b/>
                <w:sz w:val="18"/>
                <w:szCs w:val="18"/>
                <w:lang w:val="en-US"/>
              </w:rPr>
            </w:pPr>
            <w:r w:rsidRPr="00ED4D49">
              <w:rPr>
                <w:sz w:val="18"/>
                <w:szCs w:val="18"/>
                <w:lang w:val="en-US"/>
              </w:rPr>
              <w:t>As part of the due diligence of applying the ESMP, land ownership titles will be verified. In the event that any private land rights are identified, they will be compensated as appropriate under the RPF, with due consideration to the legacy of use. A project-specific action plan for resettlement will be prepared to mitigate this impact.</w:t>
            </w:r>
            <w:r w:rsidRPr="00ED4D49">
              <w:rPr>
                <w:b/>
                <w:sz w:val="18"/>
                <w:szCs w:val="18"/>
                <w:lang w:val="en-US"/>
              </w:rPr>
              <w:t xml:space="preserve"> </w:t>
            </w:r>
          </w:p>
          <w:p w14:paraId="1D07BF49" w14:textId="77777777" w:rsidR="006F64D7" w:rsidRPr="00ED4D49" w:rsidRDefault="006F64D7" w:rsidP="00B824E1">
            <w:pPr>
              <w:spacing w:before="60" w:after="60"/>
              <w:rPr>
                <w:rFonts w:cs="Courier New"/>
                <w:sz w:val="18"/>
                <w:szCs w:val="18"/>
                <w:lang w:val="en-US"/>
              </w:rPr>
            </w:pPr>
            <w:r w:rsidRPr="00ED4D49">
              <w:rPr>
                <w:rFonts w:cs="Courier New"/>
                <w:b/>
                <w:sz w:val="18"/>
                <w:szCs w:val="18"/>
                <w:lang w:val="en-US"/>
              </w:rPr>
              <w:lastRenderedPageBreak/>
              <w:t xml:space="preserve">Monitoring: </w:t>
            </w:r>
            <w:r w:rsidRPr="00ED4D49">
              <w:rPr>
                <w:rFonts w:cs="Courier New"/>
                <w:sz w:val="18"/>
                <w:szCs w:val="18"/>
                <w:lang w:val="en-US"/>
              </w:rPr>
              <w:t>by the implementing agency</w:t>
            </w:r>
          </w:p>
          <w:p w14:paraId="179F2CA2" w14:textId="77777777" w:rsidR="006F64D7" w:rsidRPr="00ED4D49" w:rsidRDefault="006F64D7" w:rsidP="00B824E1">
            <w:pPr>
              <w:spacing w:before="60" w:after="60"/>
              <w:rPr>
                <w:b/>
                <w:bCs/>
                <w:sz w:val="18"/>
                <w:szCs w:val="18"/>
                <w:lang w:val="en-US"/>
              </w:rPr>
            </w:pPr>
          </w:p>
          <w:p w14:paraId="5AF6C535" w14:textId="77777777" w:rsidR="0044369A" w:rsidRPr="00ED4D49" w:rsidRDefault="0044369A" w:rsidP="00190B9D">
            <w:pPr>
              <w:rPr>
                <w:sz w:val="18"/>
                <w:szCs w:val="18"/>
                <w:lang w:val="en-US"/>
              </w:rPr>
            </w:pPr>
          </w:p>
          <w:p w14:paraId="215E8EF3" w14:textId="77777777" w:rsidR="0044369A" w:rsidRPr="00ED4D49" w:rsidRDefault="0044369A" w:rsidP="00190B9D">
            <w:pPr>
              <w:rPr>
                <w:sz w:val="18"/>
                <w:szCs w:val="18"/>
                <w:lang w:val="en-US"/>
              </w:rPr>
            </w:pPr>
          </w:p>
          <w:p w14:paraId="3BAD55EA" w14:textId="77777777" w:rsidR="0044369A" w:rsidRPr="00ED4D49" w:rsidRDefault="0044369A" w:rsidP="00190B9D">
            <w:pPr>
              <w:rPr>
                <w:sz w:val="18"/>
                <w:szCs w:val="18"/>
                <w:lang w:val="en-US"/>
              </w:rPr>
            </w:pPr>
          </w:p>
          <w:p w14:paraId="54108DB0" w14:textId="6F144254" w:rsidR="0044369A" w:rsidRPr="00ED4D49" w:rsidRDefault="0044369A" w:rsidP="0044369A">
            <w:pPr>
              <w:rPr>
                <w:sz w:val="18"/>
                <w:szCs w:val="18"/>
                <w:lang w:val="en-US"/>
              </w:rPr>
            </w:pPr>
          </w:p>
          <w:p w14:paraId="103A7CF6" w14:textId="3B193EDF" w:rsidR="00256BC0" w:rsidRPr="00ED4D49" w:rsidRDefault="00256BC0" w:rsidP="00256BC0">
            <w:pPr>
              <w:rPr>
                <w:rFonts w:cs="Courier New"/>
                <w:sz w:val="18"/>
                <w:szCs w:val="18"/>
                <w:lang w:val="en-US"/>
              </w:rPr>
            </w:pPr>
            <w:r w:rsidRPr="00ED4D49">
              <w:rPr>
                <w:rFonts w:cs="Courier New"/>
                <w:b/>
                <w:bCs/>
                <w:sz w:val="18"/>
                <w:szCs w:val="18"/>
                <w:lang w:val="en-US"/>
              </w:rPr>
              <w:t>Mitigation measures:</w:t>
            </w:r>
            <w:r w:rsidRPr="00ED4D49">
              <w:rPr>
                <w:rFonts w:cs="Courier New"/>
                <w:sz w:val="18"/>
                <w:szCs w:val="18"/>
                <w:lang w:val="en-US"/>
              </w:rPr>
              <w:t xml:space="preserve"> the prepared generic ESMP provides general mitigation measures and monitoring structure for construction works, and/or analyses that might take place within the projects’ implementation. </w:t>
            </w:r>
            <w:r w:rsidR="00120D8D" w:rsidRPr="00ED4D49">
              <w:rPr>
                <w:rFonts w:cs="Courier New"/>
                <w:sz w:val="18"/>
                <w:szCs w:val="18"/>
                <w:lang w:val="en-US"/>
              </w:rPr>
              <w:t xml:space="preserve">The generic ESMP can be supplemented with relatively minor site-specific information. </w:t>
            </w:r>
          </w:p>
          <w:p w14:paraId="48A81953" w14:textId="2A01D1FA" w:rsidR="00256BC0" w:rsidRPr="00ED4D49" w:rsidRDefault="00256BC0" w:rsidP="00190B9D">
            <w:pPr>
              <w:autoSpaceDE w:val="0"/>
              <w:autoSpaceDN w:val="0"/>
              <w:adjustRightInd w:val="0"/>
              <w:rPr>
                <w:b/>
                <w:sz w:val="18"/>
                <w:szCs w:val="18"/>
                <w:lang w:val="en-US"/>
              </w:rPr>
            </w:pPr>
            <w:r w:rsidRPr="00ED4D49">
              <w:rPr>
                <w:rFonts w:cs="Arial"/>
                <w:sz w:val="18"/>
                <w:szCs w:val="18"/>
                <w:lang w:val="en-US"/>
              </w:rPr>
              <w:t xml:space="preserve">Safety procedures must be observed by contractors during the </w:t>
            </w:r>
            <w:r w:rsidRPr="00ED4D49">
              <w:rPr>
                <w:rFonts w:cs="Courier New"/>
                <w:sz w:val="18"/>
                <w:szCs w:val="18"/>
                <w:lang w:val="en-US"/>
              </w:rPr>
              <w:t xml:space="preserve">construction best practices for waste management and disposal, equipment maintained during construction, materials used, attested transportation vehicles; </w:t>
            </w:r>
            <w:r w:rsidRPr="00ED4D49">
              <w:rPr>
                <w:rFonts w:cs="Arial"/>
                <w:sz w:val="18"/>
                <w:szCs w:val="18"/>
                <w:lang w:val="en-US"/>
              </w:rPr>
              <w:t xml:space="preserve">the noise level will be controlled at all times and the activities will be controlled to avoid excessive disturbance </w:t>
            </w:r>
            <w:r w:rsidRPr="00ED4D49">
              <w:rPr>
                <w:rFonts w:cs="Courier New"/>
                <w:sz w:val="18"/>
                <w:szCs w:val="18"/>
                <w:lang w:val="en-US"/>
              </w:rPr>
              <w:t>as set out in the generic ESMP.</w:t>
            </w:r>
            <w:r w:rsidRPr="00ED4D49">
              <w:rPr>
                <w:b/>
                <w:sz w:val="18"/>
                <w:szCs w:val="18"/>
                <w:lang w:val="en-US"/>
              </w:rPr>
              <w:t xml:space="preserve"> </w:t>
            </w:r>
          </w:p>
          <w:p w14:paraId="1114AE5A" w14:textId="1ADD539F" w:rsidR="00256BC0" w:rsidRPr="00ED4D49" w:rsidRDefault="00256BC0" w:rsidP="00256BC0">
            <w:pPr>
              <w:spacing w:before="60" w:after="60"/>
              <w:rPr>
                <w:rFonts w:cs="Courier New"/>
                <w:sz w:val="18"/>
                <w:szCs w:val="18"/>
                <w:lang w:val="en-US"/>
              </w:rPr>
            </w:pPr>
            <w:r w:rsidRPr="00ED4D49">
              <w:rPr>
                <w:rFonts w:cs="Courier New"/>
                <w:b/>
                <w:sz w:val="18"/>
                <w:szCs w:val="18"/>
                <w:lang w:val="en-US"/>
              </w:rPr>
              <w:t xml:space="preserve">Monitoring: </w:t>
            </w:r>
            <w:r w:rsidRPr="00ED4D49">
              <w:rPr>
                <w:rFonts w:cs="Courier New"/>
                <w:sz w:val="18"/>
                <w:szCs w:val="18"/>
                <w:lang w:val="en-US"/>
              </w:rPr>
              <w:t xml:space="preserve">By the BD IPIU </w:t>
            </w:r>
          </w:p>
          <w:p w14:paraId="376828EC" w14:textId="77777777" w:rsidR="0044369A" w:rsidRPr="00ED4D49" w:rsidRDefault="0044369A" w:rsidP="00190B9D">
            <w:pPr>
              <w:rPr>
                <w:sz w:val="18"/>
                <w:szCs w:val="18"/>
                <w:lang w:val="en-US"/>
              </w:rPr>
            </w:pPr>
          </w:p>
          <w:p w14:paraId="60F82965" w14:textId="77777777" w:rsidR="0044369A" w:rsidRPr="00ED4D49" w:rsidRDefault="0044369A" w:rsidP="00190B9D">
            <w:pPr>
              <w:rPr>
                <w:sz w:val="18"/>
                <w:szCs w:val="18"/>
                <w:lang w:val="en-US"/>
              </w:rPr>
            </w:pPr>
          </w:p>
          <w:p w14:paraId="0C1E8C97" w14:textId="77777777" w:rsidR="0044369A" w:rsidRPr="00ED4D49" w:rsidRDefault="0044369A" w:rsidP="00190B9D">
            <w:pPr>
              <w:rPr>
                <w:sz w:val="18"/>
                <w:szCs w:val="18"/>
                <w:lang w:val="en-US"/>
              </w:rPr>
            </w:pPr>
          </w:p>
          <w:p w14:paraId="3B4058BB" w14:textId="77777777" w:rsidR="0044369A" w:rsidRPr="00ED4D49" w:rsidRDefault="0044369A" w:rsidP="00190B9D">
            <w:pPr>
              <w:rPr>
                <w:sz w:val="18"/>
                <w:szCs w:val="18"/>
                <w:lang w:val="en-US"/>
              </w:rPr>
            </w:pPr>
          </w:p>
          <w:p w14:paraId="397DAE63" w14:textId="77777777" w:rsidR="0044369A" w:rsidRPr="00ED4D49" w:rsidRDefault="0044369A" w:rsidP="00190B9D">
            <w:pPr>
              <w:rPr>
                <w:sz w:val="18"/>
                <w:szCs w:val="18"/>
                <w:lang w:val="en-US"/>
              </w:rPr>
            </w:pPr>
          </w:p>
          <w:p w14:paraId="4851DFA7" w14:textId="148E2EB6" w:rsidR="00256BC0" w:rsidRPr="00ED4D49" w:rsidRDefault="00256BC0" w:rsidP="00256BC0">
            <w:pPr>
              <w:rPr>
                <w:rFonts w:cs="Courier New"/>
                <w:sz w:val="18"/>
                <w:szCs w:val="18"/>
                <w:lang w:val="en-US"/>
              </w:rPr>
            </w:pPr>
            <w:r w:rsidRPr="00ED4D49">
              <w:rPr>
                <w:rFonts w:cs="Courier New"/>
                <w:b/>
                <w:bCs/>
                <w:sz w:val="18"/>
                <w:szCs w:val="18"/>
                <w:lang w:val="en-US"/>
              </w:rPr>
              <w:t>Mitigation measures:</w:t>
            </w:r>
            <w:r w:rsidRPr="00ED4D49">
              <w:rPr>
                <w:rFonts w:cs="Courier New"/>
                <w:sz w:val="18"/>
                <w:szCs w:val="18"/>
                <w:lang w:val="en-US"/>
              </w:rPr>
              <w:t xml:space="preserve"> the prepared generic ESMP provides general mitigation measures and monitoring structure for construction works, and/or analyses that might take place within the projects’ implementation. </w:t>
            </w:r>
            <w:r w:rsidR="0083668E" w:rsidRPr="00ED4D49">
              <w:rPr>
                <w:rFonts w:cs="Courier New"/>
                <w:sz w:val="18"/>
                <w:szCs w:val="18"/>
                <w:lang w:val="en-US"/>
              </w:rPr>
              <w:t>The generic ESMP can be supplemented with relatively minor site-specific information.</w:t>
            </w:r>
          </w:p>
          <w:p w14:paraId="07FDD713" w14:textId="77777777" w:rsidR="00256BC0" w:rsidRPr="00ED4D49" w:rsidRDefault="00256BC0" w:rsidP="00256BC0">
            <w:pPr>
              <w:autoSpaceDE w:val="0"/>
              <w:autoSpaceDN w:val="0"/>
              <w:adjustRightInd w:val="0"/>
              <w:rPr>
                <w:rFonts w:cs="Courier New"/>
                <w:sz w:val="18"/>
                <w:szCs w:val="18"/>
                <w:lang w:val="en-US"/>
              </w:rPr>
            </w:pPr>
            <w:r w:rsidRPr="00ED4D49">
              <w:rPr>
                <w:rFonts w:cs="Arial"/>
                <w:sz w:val="18"/>
                <w:szCs w:val="18"/>
                <w:lang w:val="en-US"/>
              </w:rPr>
              <w:t>Safety procedures must be observed by contractors during the construction work and removal of structures;</w:t>
            </w:r>
            <w:r w:rsidRPr="00ED4D49">
              <w:rPr>
                <w:rFonts w:cs="Courier New"/>
                <w:sz w:val="18"/>
                <w:szCs w:val="18"/>
                <w:lang w:val="en-US"/>
              </w:rPr>
              <w:t xml:space="preserve"> construction best practices for waste management and disposal, equipment maintained during construction, materials used, attested transportation vehicles; </w:t>
            </w:r>
            <w:r w:rsidRPr="00ED4D49">
              <w:rPr>
                <w:rFonts w:cs="Arial"/>
                <w:sz w:val="18"/>
                <w:szCs w:val="18"/>
                <w:lang w:val="en-US"/>
              </w:rPr>
              <w:t xml:space="preserve">the noise level will be controlled at all times and the activities will be controlled to avoid excessive disturbance </w:t>
            </w:r>
            <w:r w:rsidRPr="00ED4D49">
              <w:rPr>
                <w:rFonts w:cs="Courier New"/>
                <w:sz w:val="18"/>
                <w:szCs w:val="18"/>
                <w:lang w:val="en-US"/>
              </w:rPr>
              <w:t>as set out in the generic ESMP.</w:t>
            </w:r>
          </w:p>
          <w:p w14:paraId="3030995E" w14:textId="0C46FA57" w:rsidR="00256BC0" w:rsidRPr="00ED4D49" w:rsidRDefault="00256BC0" w:rsidP="00256BC0">
            <w:pPr>
              <w:spacing w:before="60" w:after="60"/>
              <w:rPr>
                <w:b/>
                <w:sz w:val="18"/>
                <w:szCs w:val="18"/>
                <w:lang w:val="en-US"/>
              </w:rPr>
            </w:pPr>
            <w:r w:rsidRPr="00ED4D49">
              <w:rPr>
                <w:sz w:val="18"/>
                <w:szCs w:val="18"/>
                <w:lang w:val="en-US"/>
              </w:rPr>
              <w:t xml:space="preserve">As part of the due diligence of applying the ESMP, land ownership titles will be verified. In the event that any private land rights are identified, they will be compensated as appropriate under the RPF, with due consideration to the legacy of use. A project-specific action plan for resettlement will be prepared to mitigate </w:t>
            </w:r>
            <w:r w:rsidRPr="00ED4D49">
              <w:rPr>
                <w:sz w:val="18"/>
                <w:szCs w:val="18"/>
                <w:lang w:val="en-US"/>
              </w:rPr>
              <w:lastRenderedPageBreak/>
              <w:t>this impact</w:t>
            </w:r>
            <w:r w:rsidR="002B4463" w:rsidRPr="00ED4D49">
              <w:rPr>
                <w:sz w:val="18"/>
                <w:szCs w:val="18"/>
                <w:lang w:val="en-US"/>
              </w:rPr>
              <w:t xml:space="preserve"> and </w:t>
            </w:r>
            <w:proofErr w:type="spellStart"/>
            <w:r w:rsidR="002B4463" w:rsidRPr="00ED4D49">
              <w:rPr>
                <w:sz w:val="18"/>
                <w:szCs w:val="18"/>
                <w:lang w:val="en-US"/>
              </w:rPr>
              <w:t>Restlement</w:t>
            </w:r>
            <w:proofErr w:type="spellEnd"/>
            <w:r w:rsidR="002B4463" w:rsidRPr="00ED4D49">
              <w:rPr>
                <w:sz w:val="18"/>
                <w:szCs w:val="18"/>
                <w:lang w:val="en-US"/>
              </w:rPr>
              <w:t xml:space="preserve"> Audit for</w:t>
            </w:r>
            <w:r w:rsidR="002B4463" w:rsidRPr="00ED4D49">
              <w:rPr>
                <w:rFonts w:asciiTheme="minorHAnsi" w:hAnsiTheme="minorHAnsi"/>
                <w:color w:val="0D0D0D" w:themeColor="text1" w:themeTint="F2"/>
                <w:sz w:val="18"/>
                <w:szCs w:val="18"/>
                <w:lang w:val="en-US"/>
              </w:rPr>
              <w:t xml:space="preserve"> Regulation of part of the </w:t>
            </w:r>
            <w:proofErr w:type="spellStart"/>
            <w:r w:rsidR="002B4463" w:rsidRPr="00ED4D49">
              <w:rPr>
                <w:rFonts w:asciiTheme="minorHAnsi" w:hAnsiTheme="minorHAnsi"/>
                <w:color w:val="0D0D0D" w:themeColor="text1" w:themeTint="F2"/>
                <w:sz w:val="18"/>
                <w:szCs w:val="18"/>
                <w:lang w:val="en-US"/>
              </w:rPr>
              <w:t>Waterstream</w:t>
            </w:r>
            <w:proofErr w:type="spellEnd"/>
            <w:r w:rsidR="002B4463" w:rsidRPr="00ED4D49">
              <w:rPr>
                <w:rFonts w:asciiTheme="minorHAnsi" w:hAnsiTheme="minorHAnsi"/>
                <w:color w:val="0D0D0D" w:themeColor="text1" w:themeTint="F2"/>
                <w:sz w:val="18"/>
                <w:szCs w:val="18"/>
                <w:lang w:val="en-US"/>
              </w:rPr>
              <w:t xml:space="preserve"> / creek “</w:t>
            </w:r>
            <w:proofErr w:type="spellStart"/>
            <w:r w:rsidR="002B4463" w:rsidRPr="00ED4D49">
              <w:rPr>
                <w:rFonts w:asciiTheme="minorHAnsi" w:hAnsiTheme="minorHAnsi"/>
                <w:color w:val="0D0D0D" w:themeColor="text1" w:themeTint="F2"/>
                <w:sz w:val="18"/>
                <w:szCs w:val="18"/>
                <w:lang w:val="en-US"/>
              </w:rPr>
              <w:t>Blizna</w:t>
            </w:r>
            <w:proofErr w:type="spellEnd"/>
            <w:r w:rsidR="002B4463" w:rsidRPr="00ED4D49">
              <w:rPr>
                <w:rFonts w:asciiTheme="minorHAnsi" w:hAnsiTheme="minorHAnsi"/>
                <w:color w:val="0D0D0D" w:themeColor="text1" w:themeTint="F2"/>
                <w:sz w:val="18"/>
                <w:szCs w:val="18"/>
                <w:lang w:val="en-US"/>
              </w:rPr>
              <w:t>” in Brčko District (part I and part II)</w:t>
            </w:r>
            <w:r w:rsidR="002B4463" w:rsidRPr="00ED4D49">
              <w:rPr>
                <w:sz w:val="18"/>
                <w:szCs w:val="18"/>
                <w:lang w:val="en-US"/>
              </w:rPr>
              <w:t xml:space="preserve"> </w:t>
            </w:r>
          </w:p>
          <w:p w14:paraId="639BB38D" w14:textId="77777777" w:rsidR="002B4463" w:rsidRPr="00ED4D49" w:rsidRDefault="002B4463" w:rsidP="002B4463">
            <w:pPr>
              <w:spacing w:before="60" w:after="60"/>
              <w:rPr>
                <w:rFonts w:cs="Courier New"/>
                <w:sz w:val="18"/>
                <w:szCs w:val="18"/>
                <w:lang w:val="en-US"/>
              </w:rPr>
            </w:pPr>
            <w:r w:rsidRPr="00ED4D49">
              <w:rPr>
                <w:rFonts w:cs="Courier New"/>
                <w:b/>
                <w:sz w:val="18"/>
                <w:szCs w:val="18"/>
                <w:lang w:val="en-US"/>
              </w:rPr>
              <w:t xml:space="preserve">Monitoring: </w:t>
            </w:r>
            <w:r w:rsidRPr="00ED4D49">
              <w:rPr>
                <w:rFonts w:cs="Courier New"/>
                <w:sz w:val="18"/>
                <w:szCs w:val="18"/>
                <w:lang w:val="en-US"/>
              </w:rPr>
              <w:t xml:space="preserve">By the BD IPIU </w:t>
            </w:r>
          </w:p>
          <w:p w14:paraId="5AE46FDE" w14:textId="77777777" w:rsidR="0044369A" w:rsidRPr="00ED4D49" w:rsidRDefault="0044369A" w:rsidP="0044369A">
            <w:pPr>
              <w:spacing w:before="60" w:after="60"/>
              <w:rPr>
                <w:b/>
                <w:bCs/>
                <w:sz w:val="18"/>
                <w:szCs w:val="18"/>
                <w:lang w:val="en-US"/>
              </w:rPr>
            </w:pPr>
          </w:p>
          <w:p w14:paraId="22997EB1" w14:textId="4D5EB4BB" w:rsidR="0044369A" w:rsidRPr="00ED4D49" w:rsidRDefault="0044369A" w:rsidP="00256BC0">
            <w:pPr>
              <w:spacing w:before="60" w:after="60"/>
              <w:rPr>
                <w:sz w:val="18"/>
                <w:szCs w:val="18"/>
                <w:lang w:val="en-US"/>
              </w:rPr>
            </w:pPr>
          </w:p>
        </w:tc>
      </w:tr>
      <w:tr w:rsidR="006F64D7" w:rsidRPr="00ED4D49" w14:paraId="2A7207BA" w14:textId="77777777" w:rsidTr="00E07AC6">
        <w:trPr>
          <w:trHeight w:val="343"/>
        </w:trPr>
        <w:tc>
          <w:tcPr>
            <w:tcW w:w="959" w:type="dxa"/>
          </w:tcPr>
          <w:p w14:paraId="7058C2D2" w14:textId="55548C7E" w:rsidR="006F64D7" w:rsidRPr="00ED4D49" w:rsidRDefault="006F64D7" w:rsidP="00B824E1">
            <w:pPr>
              <w:spacing w:before="60" w:after="60"/>
              <w:rPr>
                <w:sz w:val="18"/>
                <w:szCs w:val="18"/>
                <w:lang w:val="en-US"/>
              </w:rPr>
            </w:pPr>
            <w:r w:rsidRPr="00ED4D49">
              <w:rPr>
                <w:sz w:val="18"/>
                <w:szCs w:val="18"/>
                <w:lang w:val="en-US"/>
              </w:rPr>
              <w:t>b)</w:t>
            </w:r>
          </w:p>
        </w:tc>
        <w:tc>
          <w:tcPr>
            <w:tcW w:w="2722" w:type="dxa"/>
          </w:tcPr>
          <w:p w14:paraId="7AC83A65" w14:textId="77777777" w:rsidR="006F64D7" w:rsidRPr="00ED4D49" w:rsidRDefault="006F64D7" w:rsidP="00E07AC6">
            <w:pPr>
              <w:spacing w:before="60" w:after="60"/>
              <w:rPr>
                <w:rFonts w:asciiTheme="minorHAnsi" w:hAnsiTheme="minorHAnsi"/>
                <w:color w:val="0D0D0D" w:themeColor="text1" w:themeTint="F2"/>
                <w:sz w:val="18"/>
                <w:szCs w:val="18"/>
                <w:lang w:val="en-US"/>
              </w:rPr>
            </w:pPr>
            <w:proofErr w:type="spellStart"/>
            <w:r w:rsidRPr="00ED4D49">
              <w:rPr>
                <w:rFonts w:asciiTheme="minorHAnsi" w:hAnsiTheme="minorHAnsi"/>
                <w:color w:val="0D0D0D" w:themeColor="text1" w:themeTint="F2"/>
                <w:sz w:val="18"/>
                <w:szCs w:val="18"/>
                <w:lang w:val="en-US"/>
              </w:rPr>
              <w:t>Bubnjarica</w:t>
            </w:r>
            <w:proofErr w:type="spellEnd"/>
            <w:r w:rsidRPr="00ED4D49">
              <w:rPr>
                <w:rFonts w:asciiTheme="minorHAnsi" w:hAnsiTheme="minorHAnsi"/>
                <w:color w:val="0D0D0D" w:themeColor="text1" w:themeTint="F2"/>
                <w:sz w:val="18"/>
                <w:szCs w:val="18"/>
                <w:lang w:val="en-US"/>
              </w:rPr>
              <w:t xml:space="preserve"> River torrent canal cleaning </w:t>
            </w:r>
          </w:p>
          <w:p w14:paraId="24510368" w14:textId="77777777" w:rsidR="007770FB" w:rsidRPr="00ED4D49" w:rsidRDefault="007770FB" w:rsidP="00E07AC6">
            <w:pPr>
              <w:spacing w:before="60" w:after="60"/>
              <w:rPr>
                <w:rFonts w:asciiTheme="minorHAnsi" w:hAnsiTheme="minorHAnsi"/>
                <w:color w:val="0D0D0D" w:themeColor="text1" w:themeTint="F2"/>
                <w:sz w:val="18"/>
                <w:szCs w:val="18"/>
                <w:lang w:val="en-US"/>
              </w:rPr>
            </w:pPr>
          </w:p>
          <w:p w14:paraId="2D7F2D47" w14:textId="77777777" w:rsidR="007770FB" w:rsidRPr="00ED4D49" w:rsidRDefault="007770FB" w:rsidP="00E07AC6">
            <w:pPr>
              <w:spacing w:before="60" w:after="60"/>
              <w:rPr>
                <w:rFonts w:asciiTheme="minorHAnsi" w:hAnsiTheme="minorHAnsi"/>
                <w:color w:val="0D0D0D" w:themeColor="text1" w:themeTint="F2"/>
                <w:sz w:val="18"/>
                <w:szCs w:val="18"/>
                <w:lang w:val="en-US"/>
              </w:rPr>
            </w:pPr>
          </w:p>
          <w:p w14:paraId="1836F1D2" w14:textId="3A175E08" w:rsidR="007770FB" w:rsidRPr="00ED4D49" w:rsidRDefault="007770FB" w:rsidP="00E07AC6">
            <w:pPr>
              <w:spacing w:before="60" w:after="60"/>
              <w:rPr>
                <w:rFonts w:asciiTheme="minorHAnsi" w:hAnsiTheme="minorHAnsi"/>
                <w:color w:val="0D0D0D" w:themeColor="text1" w:themeTint="F2"/>
                <w:sz w:val="18"/>
                <w:szCs w:val="18"/>
                <w:lang w:val="en-US"/>
              </w:rPr>
            </w:pPr>
          </w:p>
        </w:tc>
        <w:tc>
          <w:tcPr>
            <w:tcW w:w="2835" w:type="dxa"/>
            <w:vMerge/>
          </w:tcPr>
          <w:p w14:paraId="0EE7BEC3" w14:textId="77777777" w:rsidR="006F64D7" w:rsidRPr="00ED4D49" w:rsidRDefault="006F64D7" w:rsidP="00B824E1">
            <w:pPr>
              <w:spacing w:before="60" w:after="60"/>
              <w:rPr>
                <w:sz w:val="18"/>
                <w:szCs w:val="18"/>
                <w:lang w:val="en-US"/>
              </w:rPr>
            </w:pPr>
          </w:p>
        </w:tc>
        <w:tc>
          <w:tcPr>
            <w:tcW w:w="4678" w:type="dxa"/>
            <w:vMerge/>
          </w:tcPr>
          <w:p w14:paraId="6B8DFE87" w14:textId="77777777" w:rsidR="006F64D7" w:rsidRPr="00ED4D49" w:rsidRDefault="006F64D7" w:rsidP="00B824E1">
            <w:pPr>
              <w:autoSpaceDE w:val="0"/>
              <w:autoSpaceDN w:val="0"/>
              <w:adjustRightInd w:val="0"/>
              <w:rPr>
                <w:rFonts w:cs="Courier New"/>
                <w:b/>
                <w:sz w:val="18"/>
                <w:szCs w:val="18"/>
                <w:lang w:val="en-US"/>
              </w:rPr>
            </w:pPr>
          </w:p>
        </w:tc>
        <w:tc>
          <w:tcPr>
            <w:tcW w:w="3260" w:type="dxa"/>
            <w:vMerge/>
          </w:tcPr>
          <w:p w14:paraId="416A6A05" w14:textId="77777777" w:rsidR="006F64D7" w:rsidRPr="00ED4D49" w:rsidRDefault="006F64D7" w:rsidP="00B824E1">
            <w:pPr>
              <w:rPr>
                <w:rFonts w:cs="Courier New"/>
                <w:b/>
                <w:bCs/>
                <w:sz w:val="18"/>
                <w:szCs w:val="18"/>
                <w:lang w:val="en-US"/>
              </w:rPr>
            </w:pPr>
          </w:p>
        </w:tc>
      </w:tr>
      <w:tr w:rsidR="006F64D7" w:rsidRPr="00ED4D49" w14:paraId="32415CD4" w14:textId="77777777" w:rsidTr="00E07AC6">
        <w:trPr>
          <w:trHeight w:val="519"/>
        </w:trPr>
        <w:tc>
          <w:tcPr>
            <w:tcW w:w="959" w:type="dxa"/>
          </w:tcPr>
          <w:p w14:paraId="0A9D23FA" w14:textId="0D24F170" w:rsidR="006F64D7" w:rsidRPr="00ED4D49" w:rsidRDefault="006F64D7" w:rsidP="00B824E1">
            <w:pPr>
              <w:spacing w:before="60" w:after="60"/>
              <w:rPr>
                <w:sz w:val="18"/>
                <w:szCs w:val="18"/>
                <w:lang w:val="en-US"/>
              </w:rPr>
            </w:pPr>
            <w:r w:rsidRPr="00ED4D49">
              <w:rPr>
                <w:sz w:val="18"/>
                <w:szCs w:val="18"/>
                <w:lang w:val="en-US"/>
              </w:rPr>
              <w:t>c)</w:t>
            </w:r>
          </w:p>
        </w:tc>
        <w:tc>
          <w:tcPr>
            <w:tcW w:w="2722" w:type="dxa"/>
          </w:tcPr>
          <w:p w14:paraId="75A3B4ED" w14:textId="77777777" w:rsidR="006F64D7" w:rsidRPr="00ED4D49" w:rsidRDefault="006F64D7" w:rsidP="00E07AC6">
            <w:pPr>
              <w:spacing w:before="60" w:after="60"/>
              <w:rPr>
                <w:rFonts w:asciiTheme="minorHAnsi" w:hAnsiTheme="minorHAnsi"/>
                <w:color w:val="0D0D0D" w:themeColor="text1" w:themeTint="F2"/>
                <w:sz w:val="18"/>
                <w:szCs w:val="18"/>
                <w:lang w:val="en-US"/>
              </w:rPr>
            </w:pPr>
            <w:r w:rsidRPr="00ED4D49">
              <w:rPr>
                <w:rFonts w:asciiTheme="minorHAnsi" w:hAnsiTheme="minorHAnsi"/>
                <w:color w:val="0D0D0D" w:themeColor="text1" w:themeTint="F2"/>
                <w:sz w:val="18"/>
                <w:szCs w:val="18"/>
                <w:lang w:val="en-US"/>
              </w:rPr>
              <w:t xml:space="preserve">Drainage control, dyke near the Una River </w:t>
            </w:r>
          </w:p>
          <w:p w14:paraId="4979F2FB" w14:textId="2D06B6E8" w:rsidR="007770FB" w:rsidRPr="00ED4D49" w:rsidRDefault="007770FB" w:rsidP="00E07AC6">
            <w:pPr>
              <w:spacing w:before="60" w:after="60"/>
              <w:rPr>
                <w:rFonts w:asciiTheme="minorHAnsi" w:hAnsiTheme="minorHAnsi"/>
                <w:color w:val="0D0D0D" w:themeColor="text1" w:themeTint="F2"/>
                <w:sz w:val="18"/>
                <w:szCs w:val="18"/>
                <w:lang w:val="en-US"/>
              </w:rPr>
            </w:pPr>
          </w:p>
        </w:tc>
        <w:tc>
          <w:tcPr>
            <w:tcW w:w="2835" w:type="dxa"/>
            <w:vMerge/>
          </w:tcPr>
          <w:p w14:paraId="666B53C2" w14:textId="77777777" w:rsidR="006F64D7" w:rsidRPr="00ED4D49" w:rsidRDefault="006F64D7" w:rsidP="00B824E1">
            <w:pPr>
              <w:spacing w:before="60" w:after="60"/>
              <w:rPr>
                <w:sz w:val="18"/>
                <w:szCs w:val="18"/>
                <w:lang w:val="en-US"/>
              </w:rPr>
            </w:pPr>
          </w:p>
        </w:tc>
        <w:tc>
          <w:tcPr>
            <w:tcW w:w="4678" w:type="dxa"/>
            <w:vMerge/>
          </w:tcPr>
          <w:p w14:paraId="3E792BBE" w14:textId="77777777" w:rsidR="006F64D7" w:rsidRPr="00ED4D49" w:rsidRDefault="006F64D7" w:rsidP="00B824E1">
            <w:pPr>
              <w:autoSpaceDE w:val="0"/>
              <w:autoSpaceDN w:val="0"/>
              <w:adjustRightInd w:val="0"/>
              <w:rPr>
                <w:rFonts w:cs="Courier New"/>
                <w:b/>
                <w:sz w:val="18"/>
                <w:szCs w:val="18"/>
                <w:lang w:val="en-US"/>
              </w:rPr>
            </w:pPr>
          </w:p>
        </w:tc>
        <w:tc>
          <w:tcPr>
            <w:tcW w:w="3260" w:type="dxa"/>
            <w:vMerge/>
          </w:tcPr>
          <w:p w14:paraId="498FF1F0" w14:textId="77777777" w:rsidR="006F64D7" w:rsidRPr="00ED4D49" w:rsidRDefault="006F64D7" w:rsidP="00B824E1">
            <w:pPr>
              <w:rPr>
                <w:rFonts w:cs="Courier New"/>
                <w:b/>
                <w:bCs/>
                <w:sz w:val="18"/>
                <w:szCs w:val="18"/>
                <w:lang w:val="en-US"/>
              </w:rPr>
            </w:pPr>
          </w:p>
        </w:tc>
      </w:tr>
      <w:tr w:rsidR="006F64D7" w:rsidRPr="00ED4D49" w14:paraId="118493E9" w14:textId="77777777" w:rsidTr="00E07AC6">
        <w:trPr>
          <w:trHeight w:val="507"/>
        </w:trPr>
        <w:tc>
          <w:tcPr>
            <w:tcW w:w="959" w:type="dxa"/>
          </w:tcPr>
          <w:p w14:paraId="14B66FCB" w14:textId="3F1EDF66" w:rsidR="006F64D7" w:rsidRPr="00ED4D49" w:rsidRDefault="006F64D7" w:rsidP="00B824E1">
            <w:pPr>
              <w:spacing w:before="60" w:after="60"/>
              <w:rPr>
                <w:sz w:val="18"/>
                <w:szCs w:val="18"/>
                <w:lang w:val="en-US"/>
              </w:rPr>
            </w:pPr>
            <w:r w:rsidRPr="00ED4D49">
              <w:rPr>
                <w:sz w:val="18"/>
                <w:szCs w:val="18"/>
                <w:lang w:val="en-US"/>
              </w:rPr>
              <w:t>d)</w:t>
            </w:r>
          </w:p>
        </w:tc>
        <w:tc>
          <w:tcPr>
            <w:tcW w:w="2722" w:type="dxa"/>
          </w:tcPr>
          <w:p w14:paraId="0E6777C4" w14:textId="77777777" w:rsidR="006F64D7" w:rsidRPr="00ED4D49" w:rsidRDefault="006F64D7" w:rsidP="00E07AC6">
            <w:pPr>
              <w:spacing w:before="60" w:after="60"/>
              <w:rPr>
                <w:rFonts w:asciiTheme="minorHAnsi" w:hAnsiTheme="minorHAnsi"/>
                <w:color w:val="0D0D0D" w:themeColor="text1" w:themeTint="F2"/>
                <w:sz w:val="18"/>
                <w:szCs w:val="18"/>
                <w:lang w:val="en-US"/>
              </w:rPr>
            </w:pPr>
            <w:r w:rsidRPr="00ED4D49">
              <w:rPr>
                <w:rFonts w:asciiTheme="minorHAnsi" w:hAnsiTheme="minorHAnsi"/>
                <w:color w:val="0D0D0D" w:themeColor="text1" w:themeTint="F2"/>
                <w:sz w:val="18"/>
                <w:szCs w:val="18"/>
                <w:lang w:val="en-US"/>
              </w:rPr>
              <w:t xml:space="preserve">Studeni </w:t>
            </w:r>
            <w:proofErr w:type="spellStart"/>
            <w:r w:rsidRPr="00ED4D49">
              <w:rPr>
                <w:rFonts w:asciiTheme="minorHAnsi" w:hAnsiTheme="minorHAnsi"/>
                <w:color w:val="0D0D0D" w:themeColor="text1" w:themeTint="F2"/>
                <w:sz w:val="18"/>
                <w:szCs w:val="18"/>
                <w:lang w:val="en-US"/>
              </w:rPr>
              <w:t>Jadar</w:t>
            </w:r>
            <w:proofErr w:type="spellEnd"/>
            <w:r w:rsidRPr="00ED4D49">
              <w:rPr>
                <w:rFonts w:asciiTheme="minorHAnsi" w:hAnsiTheme="minorHAnsi"/>
                <w:color w:val="0D0D0D" w:themeColor="text1" w:themeTint="F2"/>
                <w:sz w:val="18"/>
                <w:szCs w:val="18"/>
                <w:lang w:val="en-US"/>
              </w:rPr>
              <w:t xml:space="preserve"> riverbank works-training </w:t>
            </w:r>
          </w:p>
          <w:p w14:paraId="35EB8C26" w14:textId="78B33790" w:rsidR="007770FB" w:rsidRPr="00ED4D49" w:rsidRDefault="007770FB" w:rsidP="00E07AC6">
            <w:pPr>
              <w:spacing w:before="60" w:after="60"/>
              <w:rPr>
                <w:rFonts w:asciiTheme="minorHAnsi" w:hAnsiTheme="minorHAnsi"/>
                <w:color w:val="0D0D0D" w:themeColor="text1" w:themeTint="F2"/>
                <w:sz w:val="18"/>
                <w:szCs w:val="18"/>
                <w:lang w:val="en-US"/>
              </w:rPr>
            </w:pPr>
          </w:p>
        </w:tc>
        <w:tc>
          <w:tcPr>
            <w:tcW w:w="2835" w:type="dxa"/>
            <w:vMerge/>
          </w:tcPr>
          <w:p w14:paraId="286C59A2" w14:textId="77777777" w:rsidR="006F64D7" w:rsidRPr="00ED4D49" w:rsidRDefault="006F64D7" w:rsidP="00B824E1">
            <w:pPr>
              <w:spacing w:before="60" w:after="60"/>
              <w:rPr>
                <w:sz w:val="18"/>
                <w:szCs w:val="18"/>
                <w:lang w:val="en-US"/>
              </w:rPr>
            </w:pPr>
          </w:p>
        </w:tc>
        <w:tc>
          <w:tcPr>
            <w:tcW w:w="4678" w:type="dxa"/>
            <w:vMerge/>
          </w:tcPr>
          <w:p w14:paraId="5FB76ECC" w14:textId="77777777" w:rsidR="006F64D7" w:rsidRPr="00ED4D49" w:rsidRDefault="006F64D7" w:rsidP="00B824E1">
            <w:pPr>
              <w:autoSpaceDE w:val="0"/>
              <w:autoSpaceDN w:val="0"/>
              <w:adjustRightInd w:val="0"/>
              <w:rPr>
                <w:rFonts w:cs="Courier New"/>
                <w:b/>
                <w:sz w:val="18"/>
                <w:szCs w:val="18"/>
                <w:lang w:val="en-US"/>
              </w:rPr>
            </w:pPr>
          </w:p>
        </w:tc>
        <w:tc>
          <w:tcPr>
            <w:tcW w:w="3260" w:type="dxa"/>
            <w:vMerge/>
          </w:tcPr>
          <w:p w14:paraId="1B2264E0" w14:textId="77777777" w:rsidR="006F64D7" w:rsidRPr="00ED4D49" w:rsidRDefault="006F64D7" w:rsidP="00B824E1">
            <w:pPr>
              <w:rPr>
                <w:rFonts w:cs="Courier New"/>
                <w:b/>
                <w:bCs/>
                <w:sz w:val="18"/>
                <w:szCs w:val="18"/>
                <w:lang w:val="en-US"/>
              </w:rPr>
            </w:pPr>
          </w:p>
        </w:tc>
      </w:tr>
      <w:tr w:rsidR="006F64D7" w:rsidRPr="00ED4D49" w14:paraId="47E4CBE4" w14:textId="77777777" w:rsidTr="00E07AC6">
        <w:trPr>
          <w:trHeight w:val="295"/>
        </w:trPr>
        <w:tc>
          <w:tcPr>
            <w:tcW w:w="959" w:type="dxa"/>
          </w:tcPr>
          <w:p w14:paraId="4FD82CF4" w14:textId="5E16DF8F" w:rsidR="006F64D7" w:rsidRPr="00ED4D49" w:rsidRDefault="006F64D7" w:rsidP="00B824E1">
            <w:pPr>
              <w:spacing w:before="60" w:after="60"/>
              <w:rPr>
                <w:sz w:val="18"/>
                <w:szCs w:val="18"/>
                <w:lang w:val="en-US"/>
              </w:rPr>
            </w:pPr>
            <w:r w:rsidRPr="00ED4D49">
              <w:rPr>
                <w:sz w:val="18"/>
                <w:szCs w:val="18"/>
                <w:lang w:val="en-US"/>
              </w:rPr>
              <w:t>e)</w:t>
            </w:r>
          </w:p>
        </w:tc>
        <w:tc>
          <w:tcPr>
            <w:tcW w:w="2722" w:type="dxa"/>
          </w:tcPr>
          <w:p w14:paraId="6A1B9414" w14:textId="77777777" w:rsidR="006F64D7" w:rsidRPr="00ED4D49" w:rsidRDefault="006F64D7" w:rsidP="00E07AC6">
            <w:pPr>
              <w:spacing w:before="60" w:after="60"/>
              <w:rPr>
                <w:rFonts w:asciiTheme="minorHAnsi" w:hAnsiTheme="minorHAnsi"/>
                <w:color w:val="0D0D0D" w:themeColor="text1" w:themeTint="F2"/>
                <w:sz w:val="18"/>
                <w:szCs w:val="18"/>
                <w:lang w:val="en-US"/>
              </w:rPr>
            </w:pPr>
            <w:r w:rsidRPr="00ED4D49">
              <w:rPr>
                <w:rFonts w:asciiTheme="minorHAnsi" w:hAnsiTheme="minorHAnsi"/>
                <w:color w:val="0D0D0D" w:themeColor="text1" w:themeTint="F2"/>
                <w:sz w:val="18"/>
                <w:szCs w:val="18"/>
                <w:lang w:val="en-US"/>
              </w:rPr>
              <w:t xml:space="preserve">Examination of status of the Sava dyke and a portion of the Una dyke </w:t>
            </w:r>
          </w:p>
          <w:p w14:paraId="334167AE" w14:textId="57A82EE3" w:rsidR="007770FB" w:rsidRPr="00ED4D49" w:rsidRDefault="007770FB" w:rsidP="00E07AC6">
            <w:pPr>
              <w:spacing w:before="60" w:after="60"/>
              <w:rPr>
                <w:rFonts w:asciiTheme="minorHAnsi" w:hAnsiTheme="minorHAnsi"/>
                <w:color w:val="0D0D0D" w:themeColor="text1" w:themeTint="F2"/>
                <w:sz w:val="18"/>
                <w:szCs w:val="18"/>
                <w:lang w:val="en-US"/>
              </w:rPr>
            </w:pPr>
          </w:p>
        </w:tc>
        <w:tc>
          <w:tcPr>
            <w:tcW w:w="2835" w:type="dxa"/>
            <w:vMerge/>
          </w:tcPr>
          <w:p w14:paraId="6F334C49" w14:textId="77777777" w:rsidR="006F64D7" w:rsidRPr="00ED4D49" w:rsidRDefault="006F64D7" w:rsidP="00B824E1">
            <w:pPr>
              <w:spacing w:before="60" w:after="60"/>
              <w:rPr>
                <w:sz w:val="18"/>
                <w:szCs w:val="18"/>
                <w:lang w:val="en-US"/>
              </w:rPr>
            </w:pPr>
          </w:p>
        </w:tc>
        <w:tc>
          <w:tcPr>
            <w:tcW w:w="4678" w:type="dxa"/>
            <w:vMerge/>
          </w:tcPr>
          <w:p w14:paraId="1E0270B3" w14:textId="77777777" w:rsidR="006F64D7" w:rsidRPr="00ED4D49" w:rsidRDefault="006F64D7" w:rsidP="00B824E1">
            <w:pPr>
              <w:autoSpaceDE w:val="0"/>
              <w:autoSpaceDN w:val="0"/>
              <w:adjustRightInd w:val="0"/>
              <w:rPr>
                <w:rFonts w:cs="Courier New"/>
                <w:b/>
                <w:sz w:val="18"/>
                <w:szCs w:val="18"/>
                <w:lang w:val="en-US"/>
              </w:rPr>
            </w:pPr>
          </w:p>
        </w:tc>
        <w:tc>
          <w:tcPr>
            <w:tcW w:w="3260" w:type="dxa"/>
            <w:vMerge/>
          </w:tcPr>
          <w:p w14:paraId="5EAA5752" w14:textId="77777777" w:rsidR="006F64D7" w:rsidRPr="00ED4D49" w:rsidRDefault="006F64D7" w:rsidP="00B824E1">
            <w:pPr>
              <w:rPr>
                <w:rFonts w:cs="Courier New"/>
                <w:b/>
                <w:bCs/>
                <w:sz w:val="18"/>
                <w:szCs w:val="18"/>
                <w:lang w:val="en-US"/>
              </w:rPr>
            </w:pPr>
          </w:p>
        </w:tc>
      </w:tr>
      <w:tr w:rsidR="006F64D7" w:rsidRPr="00ED4D49" w14:paraId="15641CFC" w14:textId="77777777" w:rsidTr="00E07AC6">
        <w:trPr>
          <w:trHeight w:val="295"/>
        </w:trPr>
        <w:tc>
          <w:tcPr>
            <w:tcW w:w="959" w:type="dxa"/>
          </w:tcPr>
          <w:p w14:paraId="4D54B2D9" w14:textId="317610E9" w:rsidR="006F64D7" w:rsidRPr="00ED4D49" w:rsidRDefault="006F64D7" w:rsidP="00B824E1">
            <w:pPr>
              <w:spacing w:before="60" w:after="60"/>
              <w:rPr>
                <w:sz w:val="18"/>
                <w:szCs w:val="18"/>
                <w:lang w:val="en-US"/>
              </w:rPr>
            </w:pPr>
            <w:r w:rsidRPr="00ED4D49">
              <w:rPr>
                <w:sz w:val="18"/>
                <w:szCs w:val="18"/>
                <w:lang w:val="en-US"/>
              </w:rPr>
              <w:t>f)</w:t>
            </w:r>
          </w:p>
        </w:tc>
        <w:tc>
          <w:tcPr>
            <w:tcW w:w="2722" w:type="dxa"/>
          </w:tcPr>
          <w:p w14:paraId="6ACEC763" w14:textId="77777777" w:rsidR="006F64D7" w:rsidRPr="00ED4D49" w:rsidRDefault="006F64D7" w:rsidP="00E07AC6">
            <w:pPr>
              <w:spacing w:before="60" w:after="60"/>
              <w:rPr>
                <w:rFonts w:asciiTheme="minorHAnsi" w:hAnsiTheme="minorHAnsi"/>
                <w:color w:val="0D0D0D" w:themeColor="text1" w:themeTint="F2"/>
                <w:sz w:val="18"/>
                <w:szCs w:val="18"/>
                <w:lang w:val="en-US"/>
              </w:rPr>
            </w:pPr>
            <w:r w:rsidRPr="00ED4D49">
              <w:rPr>
                <w:rFonts w:asciiTheme="minorHAnsi" w:hAnsiTheme="minorHAnsi"/>
                <w:color w:val="0D0D0D" w:themeColor="text1" w:themeTint="F2"/>
                <w:sz w:val="18"/>
                <w:szCs w:val="18"/>
                <w:lang w:val="en-US"/>
              </w:rPr>
              <w:t xml:space="preserve">Conceptual design of integrated regulation of water regime and multipurpose use of downstream section of </w:t>
            </w:r>
            <w:proofErr w:type="gramStart"/>
            <w:r w:rsidRPr="00ED4D49">
              <w:rPr>
                <w:rFonts w:asciiTheme="minorHAnsi" w:hAnsiTheme="minorHAnsi"/>
                <w:color w:val="0D0D0D" w:themeColor="text1" w:themeTint="F2"/>
                <w:sz w:val="18"/>
                <w:szCs w:val="18"/>
                <w:lang w:val="en-US"/>
              </w:rPr>
              <w:t>Bosna river</w:t>
            </w:r>
            <w:proofErr w:type="gramEnd"/>
            <w:r w:rsidRPr="00ED4D49">
              <w:rPr>
                <w:rFonts w:asciiTheme="minorHAnsi" w:hAnsiTheme="minorHAnsi"/>
                <w:color w:val="0D0D0D" w:themeColor="text1" w:themeTint="F2"/>
                <w:sz w:val="18"/>
                <w:szCs w:val="18"/>
                <w:lang w:val="en-US"/>
              </w:rPr>
              <w:t xml:space="preserve">, with Feasibility Study </w:t>
            </w:r>
          </w:p>
          <w:p w14:paraId="455E042D" w14:textId="131D6C41" w:rsidR="007770FB" w:rsidRPr="00ED4D49" w:rsidRDefault="007770FB" w:rsidP="00E07AC6">
            <w:pPr>
              <w:spacing w:before="60" w:after="60"/>
              <w:rPr>
                <w:rFonts w:asciiTheme="minorHAnsi" w:hAnsiTheme="minorHAnsi"/>
                <w:color w:val="0D0D0D" w:themeColor="text1" w:themeTint="F2"/>
                <w:sz w:val="18"/>
                <w:szCs w:val="18"/>
                <w:lang w:val="en-US"/>
              </w:rPr>
            </w:pPr>
          </w:p>
        </w:tc>
        <w:tc>
          <w:tcPr>
            <w:tcW w:w="2835" w:type="dxa"/>
            <w:vMerge/>
          </w:tcPr>
          <w:p w14:paraId="42D307EA" w14:textId="77777777" w:rsidR="006F64D7" w:rsidRPr="00ED4D49" w:rsidRDefault="006F64D7" w:rsidP="00B824E1">
            <w:pPr>
              <w:spacing w:before="60" w:after="60"/>
              <w:rPr>
                <w:sz w:val="18"/>
                <w:szCs w:val="18"/>
                <w:lang w:val="en-US"/>
              </w:rPr>
            </w:pPr>
          </w:p>
        </w:tc>
        <w:tc>
          <w:tcPr>
            <w:tcW w:w="4678" w:type="dxa"/>
            <w:vMerge/>
          </w:tcPr>
          <w:p w14:paraId="34E3867B" w14:textId="77777777" w:rsidR="006F64D7" w:rsidRPr="00ED4D49" w:rsidRDefault="006F64D7" w:rsidP="00B824E1">
            <w:pPr>
              <w:autoSpaceDE w:val="0"/>
              <w:autoSpaceDN w:val="0"/>
              <w:adjustRightInd w:val="0"/>
              <w:rPr>
                <w:rFonts w:cs="Courier New"/>
                <w:b/>
                <w:sz w:val="18"/>
                <w:szCs w:val="18"/>
                <w:lang w:val="en-US"/>
              </w:rPr>
            </w:pPr>
          </w:p>
        </w:tc>
        <w:tc>
          <w:tcPr>
            <w:tcW w:w="3260" w:type="dxa"/>
            <w:vMerge/>
          </w:tcPr>
          <w:p w14:paraId="17AAFACC" w14:textId="77777777" w:rsidR="006F64D7" w:rsidRPr="00ED4D49" w:rsidRDefault="006F64D7" w:rsidP="00B824E1">
            <w:pPr>
              <w:rPr>
                <w:rFonts w:cs="Courier New"/>
                <w:b/>
                <w:bCs/>
                <w:sz w:val="18"/>
                <w:szCs w:val="18"/>
                <w:lang w:val="en-US"/>
              </w:rPr>
            </w:pPr>
          </w:p>
        </w:tc>
      </w:tr>
      <w:tr w:rsidR="006F64D7" w:rsidRPr="00ED4D49" w14:paraId="7A1C46C3" w14:textId="77777777" w:rsidTr="00E07AC6">
        <w:trPr>
          <w:trHeight w:val="1370"/>
        </w:trPr>
        <w:tc>
          <w:tcPr>
            <w:tcW w:w="959" w:type="dxa"/>
          </w:tcPr>
          <w:p w14:paraId="7C874103" w14:textId="7D993E51" w:rsidR="006F64D7" w:rsidRPr="00ED4D49" w:rsidRDefault="006F64D7" w:rsidP="00B824E1">
            <w:pPr>
              <w:spacing w:before="60" w:after="60"/>
              <w:rPr>
                <w:sz w:val="18"/>
                <w:szCs w:val="18"/>
                <w:lang w:val="en-US"/>
              </w:rPr>
            </w:pPr>
            <w:r w:rsidRPr="00ED4D49">
              <w:rPr>
                <w:sz w:val="18"/>
                <w:szCs w:val="18"/>
                <w:lang w:val="en-US"/>
              </w:rPr>
              <w:lastRenderedPageBreak/>
              <w:t>g)</w:t>
            </w:r>
          </w:p>
        </w:tc>
        <w:tc>
          <w:tcPr>
            <w:tcW w:w="2722" w:type="dxa"/>
          </w:tcPr>
          <w:p w14:paraId="235A82C4" w14:textId="77777777" w:rsidR="006F64D7" w:rsidRPr="00ED4D49" w:rsidRDefault="006F64D7" w:rsidP="00E07AC6">
            <w:pPr>
              <w:spacing w:before="60" w:after="60"/>
              <w:rPr>
                <w:rFonts w:asciiTheme="minorHAnsi" w:hAnsiTheme="minorHAnsi"/>
                <w:color w:val="0D0D0D" w:themeColor="text1" w:themeTint="F2"/>
                <w:sz w:val="18"/>
                <w:szCs w:val="18"/>
                <w:lang w:val="en-US"/>
              </w:rPr>
            </w:pPr>
            <w:r w:rsidRPr="00ED4D49">
              <w:rPr>
                <w:rFonts w:asciiTheme="minorHAnsi" w:hAnsiTheme="minorHAnsi"/>
                <w:color w:val="0D0D0D" w:themeColor="text1" w:themeTint="F2"/>
                <w:sz w:val="18"/>
                <w:szCs w:val="18"/>
                <w:lang w:val="en-US"/>
              </w:rPr>
              <w:t xml:space="preserve">Regulation of the Vrbas River water regime on the Section 2 from the </w:t>
            </w:r>
            <w:proofErr w:type="spellStart"/>
            <w:r w:rsidRPr="00ED4D49">
              <w:rPr>
                <w:rFonts w:asciiTheme="minorHAnsi" w:hAnsiTheme="minorHAnsi"/>
                <w:color w:val="0D0D0D" w:themeColor="text1" w:themeTint="F2"/>
                <w:sz w:val="18"/>
                <w:szCs w:val="18"/>
                <w:lang w:val="en-US"/>
              </w:rPr>
              <w:t>Trapisti</w:t>
            </w:r>
            <w:proofErr w:type="spellEnd"/>
            <w:r w:rsidRPr="00ED4D49">
              <w:rPr>
                <w:rFonts w:asciiTheme="minorHAnsi" w:hAnsiTheme="minorHAnsi"/>
                <w:color w:val="0D0D0D" w:themeColor="text1" w:themeTint="F2"/>
                <w:sz w:val="18"/>
                <w:szCs w:val="18"/>
                <w:lang w:val="en-US"/>
              </w:rPr>
              <w:t xml:space="preserve"> Bridge upstream to the confluence of the </w:t>
            </w:r>
            <w:proofErr w:type="spellStart"/>
            <w:r w:rsidRPr="00ED4D49">
              <w:rPr>
                <w:rFonts w:asciiTheme="minorHAnsi" w:hAnsiTheme="minorHAnsi"/>
                <w:color w:val="0D0D0D" w:themeColor="text1" w:themeTint="F2"/>
                <w:sz w:val="18"/>
                <w:szCs w:val="18"/>
                <w:lang w:val="en-US"/>
              </w:rPr>
              <w:t>Vrbanja</w:t>
            </w:r>
            <w:proofErr w:type="spellEnd"/>
            <w:r w:rsidRPr="00ED4D49">
              <w:rPr>
                <w:rFonts w:asciiTheme="minorHAnsi" w:hAnsiTheme="minorHAnsi"/>
                <w:color w:val="0D0D0D" w:themeColor="text1" w:themeTint="F2"/>
                <w:sz w:val="18"/>
                <w:szCs w:val="18"/>
                <w:lang w:val="en-US"/>
              </w:rPr>
              <w:t xml:space="preserve"> River</w:t>
            </w:r>
          </w:p>
          <w:p w14:paraId="2B8B8D74" w14:textId="77777777" w:rsidR="007770FB" w:rsidRPr="00ED4D49" w:rsidRDefault="007770FB" w:rsidP="00E07AC6">
            <w:pPr>
              <w:spacing w:before="60" w:after="60"/>
              <w:rPr>
                <w:rFonts w:asciiTheme="minorHAnsi" w:hAnsiTheme="minorHAnsi"/>
                <w:color w:val="0D0D0D" w:themeColor="text1" w:themeTint="F2"/>
                <w:sz w:val="18"/>
                <w:szCs w:val="18"/>
                <w:lang w:val="en-US"/>
              </w:rPr>
            </w:pPr>
          </w:p>
          <w:p w14:paraId="6BD6092C" w14:textId="11775F31" w:rsidR="007770FB" w:rsidRPr="00ED4D49" w:rsidRDefault="007770FB" w:rsidP="00E07AC6">
            <w:pPr>
              <w:spacing w:before="60" w:after="60"/>
              <w:rPr>
                <w:rFonts w:asciiTheme="minorHAnsi" w:hAnsiTheme="minorHAnsi"/>
                <w:color w:val="0D0D0D" w:themeColor="text1" w:themeTint="F2"/>
                <w:sz w:val="18"/>
                <w:szCs w:val="18"/>
                <w:lang w:val="en-US"/>
              </w:rPr>
            </w:pPr>
          </w:p>
        </w:tc>
        <w:tc>
          <w:tcPr>
            <w:tcW w:w="2835" w:type="dxa"/>
            <w:vMerge/>
          </w:tcPr>
          <w:p w14:paraId="0D2ACB35" w14:textId="77777777" w:rsidR="006F64D7" w:rsidRPr="00ED4D49" w:rsidRDefault="006F64D7" w:rsidP="00B824E1">
            <w:pPr>
              <w:spacing w:before="60" w:after="60"/>
              <w:rPr>
                <w:sz w:val="18"/>
                <w:szCs w:val="18"/>
                <w:lang w:val="en-US"/>
              </w:rPr>
            </w:pPr>
          </w:p>
        </w:tc>
        <w:tc>
          <w:tcPr>
            <w:tcW w:w="4678" w:type="dxa"/>
            <w:vMerge/>
          </w:tcPr>
          <w:p w14:paraId="3DC26B39" w14:textId="77777777" w:rsidR="006F64D7" w:rsidRPr="00ED4D49" w:rsidRDefault="006F64D7" w:rsidP="00B824E1">
            <w:pPr>
              <w:autoSpaceDE w:val="0"/>
              <w:autoSpaceDN w:val="0"/>
              <w:adjustRightInd w:val="0"/>
              <w:rPr>
                <w:rFonts w:cs="Courier New"/>
                <w:b/>
                <w:sz w:val="18"/>
                <w:szCs w:val="18"/>
                <w:lang w:val="en-US"/>
              </w:rPr>
            </w:pPr>
          </w:p>
        </w:tc>
        <w:tc>
          <w:tcPr>
            <w:tcW w:w="3260" w:type="dxa"/>
            <w:vMerge/>
          </w:tcPr>
          <w:p w14:paraId="669841AC" w14:textId="77777777" w:rsidR="006F64D7" w:rsidRPr="00ED4D49" w:rsidRDefault="006F64D7" w:rsidP="00B824E1">
            <w:pPr>
              <w:rPr>
                <w:rFonts w:cs="Courier New"/>
                <w:b/>
                <w:bCs/>
                <w:sz w:val="18"/>
                <w:szCs w:val="18"/>
                <w:lang w:val="en-US"/>
              </w:rPr>
            </w:pPr>
          </w:p>
        </w:tc>
      </w:tr>
      <w:tr w:rsidR="006F64D7" w:rsidRPr="00ED4D49" w14:paraId="16BE3B86" w14:textId="77777777" w:rsidTr="00EB6464">
        <w:trPr>
          <w:trHeight w:val="485"/>
        </w:trPr>
        <w:tc>
          <w:tcPr>
            <w:tcW w:w="959" w:type="dxa"/>
          </w:tcPr>
          <w:p w14:paraId="1B4F1A04" w14:textId="75C4870B" w:rsidR="006F64D7" w:rsidRPr="00ED4D49" w:rsidRDefault="006F64D7" w:rsidP="00EB6464">
            <w:pPr>
              <w:spacing w:before="60" w:after="60"/>
              <w:rPr>
                <w:sz w:val="18"/>
                <w:szCs w:val="18"/>
                <w:lang w:val="en-US"/>
              </w:rPr>
            </w:pPr>
            <w:r w:rsidRPr="00ED4D49">
              <w:rPr>
                <w:sz w:val="18"/>
                <w:szCs w:val="18"/>
                <w:lang w:val="en-US"/>
              </w:rPr>
              <w:t>h)</w:t>
            </w:r>
          </w:p>
        </w:tc>
        <w:tc>
          <w:tcPr>
            <w:tcW w:w="2722" w:type="dxa"/>
          </w:tcPr>
          <w:p w14:paraId="44A5D93B" w14:textId="1F1D9F45" w:rsidR="006F64D7" w:rsidRPr="00ED4D49" w:rsidRDefault="006F64D7" w:rsidP="00EB6464">
            <w:pPr>
              <w:spacing w:before="60" w:after="60"/>
              <w:rPr>
                <w:rFonts w:asciiTheme="minorHAnsi" w:hAnsiTheme="minorHAnsi"/>
                <w:color w:val="0D0D0D" w:themeColor="text1" w:themeTint="F2"/>
                <w:sz w:val="18"/>
                <w:szCs w:val="18"/>
                <w:lang w:val="en-US"/>
              </w:rPr>
            </w:pPr>
            <w:r w:rsidRPr="00ED4D49">
              <w:rPr>
                <w:rFonts w:asciiTheme="minorHAnsi" w:hAnsiTheme="minorHAnsi"/>
                <w:color w:val="0D0D0D" w:themeColor="text1" w:themeTint="F2"/>
                <w:sz w:val="18"/>
                <w:szCs w:val="18"/>
                <w:lang w:val="en-US"/>
              </w:rPr>
              <w:t>Brčko District landfill rehabilitation and its closure</w:t>
            </w:r>
          </w:p>
        </w:tc>
        <w:tc>
          <w:tcPr>
            <w:tcW w:w="2835" w:type="dxa"/>
          </w:tcPr>
          <w:p w14:paraId="298B74BE" w14:textId="5B95EFC8" w:rsidR="006F64D7" w:rsidRPr="00ED4D49" w:rsidRDefault="006F64D7" w:rsidP="00EB6464">
            <w:pPr>
              <w:spacing w:before="60" w:after="60"/>
              <w:rPr>
                <w:rFonts w:asciiTheme="minorHAnsi" w:hAnsiTheme="minorHAnsi"/>
                <w:color w:val="0D0D0D" w:themeColor="text1" w:themeTint="F2"/>
                <w:sz w:val="18"/>
                <w:szCs w:val="18"/>
                <w:lang w:val="en-US"/>
              </w:rPr>
            </w:pPr>
            <w:r w:rsidRPr="00ED4D49">
              <w:rPr>
                <w:rFonts w:asciiTheme="minorHAnsi" w:hAnsiTheme="minorHAnsi"/>
                <w:color w:val="0D0D0D" w:themeColor="text1" w:themeTint="F2"/>
                <w:sz w:val="18"/>
                <w:szCs w:val="18"/>
                <w:lang w:val="en-US"/>
              </w:rPr>
              <w:t xml:space="preserve">The proposed project involves closing the existing landfill, </w:t>
            </w:r>
            <w:r w:rsidR="008D40CA" w:rsidRPr="00ED4D49">
              <w:rPr>
                <w:rFonts w:asciiTheme="minorHAnsi" w:hAnsiTheme="minorHAnsi"/>
                <w:color w:val="0D0D0D" w:themeColor="text1" w:themeTint="F2"/>
                <w:sz w:val="18"/>
                <w:szCs w:val="18"/>
                <w:lang w:val="en-US"/>
              </w:rPr>
              <w:t xml:space="preserve">including works such as </w:t>
            </w:r>
            <w:r w:rsidRPr="00ED4D49">
              <w:rPr>
                <w:rFonts w:asciiTheme="minorHAnsi" w:hAnsiTheme="minorHAnsi"/>
                <w:color w:val="0D0D0D" w:themeColor="text1" w:themeTint="F2"/>
                <w:sz w:val="18"/>
                <w:szCs w:val="18"/>
                <w:lang w:val="en-US"/>
              </w:rPr>
              <w:t xml:space="preserve">compacting and shaping the waste </w:t>
            </w:r>
            <w:r w:rsidR="004F0507" w:rsidRPr="00ED4D49">
              <w:rPr>
                <w:rFonts w:asciiTheme="minorHAnsi" w:hAnsiTheme="minorHAnsi"/>
                <w:color w:val="0D0D0D" w:themeColor="text1" w:themeTint="F2"/>
                <w:sz w:val="18"/>
                <w:szCs w:val="18"/>
                <w:lang w:val="en-US"/>
              </w:rPr>
              <w:t xml:space="preserve">body </w:t>
            </w:r>
            <w:r w:rsidRPr="00ED4D49">
              <w:rPr>
                <w:rFonts w:asciiTheme="minorHAnsi" w:hAnsiTheme="minorHAnsi"/>
                <w:color w:val="0D0D0D" w:themeColor="text1" w:themeTint="F2"/>
                <w:sz w:val="18"/>
                <w:szCs w:val="18"/>
                <w:lang w:val="en-US"/>
              </w:rPr>
              <w:t>and covering the landfill with a final cover</w:t>
            </w:r>
            <w:r w:rsidR="004F0507" w:rsidRPr="00ED4D49">
              <w:rPr>
                <w:rFonts w:asciiTheme="minorHAnsi" w:hAnsiTheme="minorHAnsi"/>
                <w:color w:val="0D0D0D" w:themeColor="text1" w:themeTint="F2"/>
                <w:sz w:val="18"/>
                <w:szCs w:val="18"/>
                <w:lang w:val="en-US"/>
              </w:rPr>
              <w:t xml:space="preserve"> in order to prevent infiltration of precipitation and leaching into the Sava River</w:t>
            </w:r>
            <w:r w:rsidRPr="00ED4D49">
              <w:rPr>
                <w:rFonts w:asciiTheme="minorHAnsi" w:hAnsiTheme="minorHAnsi"/>
                <w:color w:val="0D0D0D" w:themeColor="text1" w:themeTint="F2"/>
                <w:sz w:val="18"/>
                <w:szCs w:val="18"/>
                <w:lang w:val="en-US"/>
              </w:rPr>
              <w:t xml:space="preserve">. </w:t>
            </w:r>
            <w:r w:rsidR="00E20581" w:rsidRPr="00ED4D49">
              <w:rPr>
                <w:rFonts w:asciiTheme="minorHAnsi" w:hAnsiTheme="minorHAnsi"/>
                <w:color w:val="0D0D0D" w:themeColor="text1" w:themeTint="F2"/>
                <w:sz w:val="18"/>
                <w:szCs w:val="18"/>
                <w:lang w:val="en-US"/>
              </w:rPr>
              <w:t>The</w:t>
            </w:r>
            <w:r w:rsidRPr="00ED4D49">
              <w:rPr>
                <w:rFonts w:asciiTheme="minorHAnsi" w:hAnsiTheme="minorHAnsi"/>
                <w:color w:val="0D0D0D" w:themeColor="text1" w:themeTint="F2"/>
                <w:sz w:val="18"/>
                <w:szCs w:val="18"/>
                <w:lang w:val="en-US"/>
              </w:rPr>
              <w:t xml:space="preserve"> existing unsanitary landfill </w:t>
            </w:r>
            <w:r w:rsidR="00E20581" w:rsidRPr="00ED4D49">
              <w:rPr>
                <w:rFonts w:asciiTheme="minorHAnsi" w:hAnsiTheme="minorHAnsi"/>
                <w:color w:val="0D0D0D" w:themeColor="text1" w:themeTint="F2"/>
                <w:sz w:val="18"/>
                <w:szCs w:val="18"/>
                <w:lang w:val="en-US"/>
              </w:rPr>
              <w:t xml:space="preserve">is </w:t>
            </w:r>
            <w:r w:rsidRPr="00ED4D49">
              <w:rPr>
                <w:rFonts w:asciiTheme="minorHAnsi" w:hAnsiTheme="minorHAnsi"/>
                <w:color w:val="0D0D0D" w:themeColor="text1" w:themeTint="F2"/>
                <w:sz w:val="18"/>
                <w:szCs w:val="18"/>
                <w:lang w:val="en-US"/>
              </w:rPr>
              <w:t xml:space="preserve">not far from the city center, in the immediate vicinity of a densely populated </w:t>
            </w:r>
            <w:proofErr w:type="spellStart"/>
            <w:proofErr w:type="gramStart"/>
            <w:r w:rsidRPr="00ED4D49">
              <w:rPr>
                <w:rFonts w:asciiTheme="minorHAnsi" w:hAnsiTheme="minorHAnsi"/>
                <w:color w:val="0D0D0D" w:themeColor="text1" w:themeTint="F2"/>
                <w:sz w:val="18"/>
                <w:szCs w:val="18"/>
                <w:lang w:val="en-US"/>
              </w:rPr>
              <w:t>area</w:t>
            </w:r>
            <w:r w:rsidR="003D02D2" w:rsidRPr="00ED4D49">
              <w:rPr>
                <w:rFonts w:asciiTheme="minorHAnsi" w:hAnsiTheme="minorHAnsi"/>
                <w:color w:val="0D0D0D" w:themeColor="text1" w:themeTint="F2"/>
                <w:sz w:val="18"/>
                <w:szCs w:val="18"/>
                <w:lang w:val="en-US"/>
              </w:rPr>
              <w:t>and</w:t>
            </w:r>
            <w:proofErr w:type="spellEnd"/>
            <w:r w:rsidR="003D02D2" w:rsidRPr="00ED4D49">
              <w:rPr>
                <w:rFonts w:asciiTheme="minorHAnsi" w:hAnsiTheme="minorHAnsi"/>
                <w:color w:val="0D0D0D" w:themeColor="text1" w:themeTint="F2"/>
                <w:sz w:val="18"/>
                <w:szCs w:val="18"/>
                <w:lang w:val="en-US"/>
              </w:rPr>
              <w:t xml:space="preserve"> </w:t>
            </w:r>
            <w:r w:rsidRPr="00ED4D49">
              <w:rPr>
                <w:rFonts w:asciiTheme="minorHAnsi" w:hAnsiTheme="minorHAnsi"/>
                <w:color w:val="0D0D0D" w:themeColor="text1" w:themeTint="F2"/>
                <w:sz w:val="18"/>
                <w:szCs w:val="18"/>
                <w:lang w:val="en-US"/>
              </w:rPr>
              <w:t xml:space="preserve"> could</w:t>
            </w:r>
            <w:proofErr w:type="gramEnd"/>
            <w:r w:rsidRPr="00ED4D49">
              <w:rPr>
                <w:rFonts w:asciiTheme="minorHAnsi" w:hAnsiTheme="minorHAnsi"/>
                <w:color w:val="0D0D0D" w:themeColor="text1" w:themeTint="F2"/>
                <w:sz w:val="18"/>
                <w:szCs w:val="18"/>
                <w:lang w:val="en-US"/>
              </w:rPr>
              <w:t xml:space="preserve"> provide space for much better and more appropriate purposes</w:t>
            </w:r>
            <w:r w:rsidR="003D02D2" w:rsidRPr="00ED4D49">
              <w:rPr>
                <w:rFonts w:asciiTheme="minorHAnsi" w:hAnsiTheme="minorHAnsi"/>
                <w:color w:val="0D0D0D" w:themeColor="text1" w:themeTint="F2"/>
                <w:sz w:val="18"/>
                <w:szCs w:val="18"/>
                <w:lang w:val="en-US"/>
              </w:rPr>
              <w:t xml:space="preserve">. While the rehabilitation works would </w:t>
            </w:r>
            <w:r w:rsidRPr="00ED4D49">
              <w:rPr>
                <w:rFonts w:asciiTheme="minorHAnsi" w:hAnsiTheme="minorHAnsi"/>
                <w:color w:val="0D0D0D" w:themeColor="text1" w:themeTint="F2"/>
                <w:sz w:val="18"/>
                <w:szCs w:val="18"/>
                <w:lang w:val="en-US"/>
              </w:rPr>
              <w:t>reduc</w:t>
            </w:r>
            <w:r w:rsidR="003D02D2" w:rsidRPr="00ED4D49">
              <w:rPr>
                <w:rFonts w:asciiTheme="minorHAnsi" w:hAnsiTheme="minorHAnsi"/>
                <w:color w:val="0D0D0D" w:themeColor="text1" w:themeTint="F2"/>
                <w:sz w:val="18"/>
                <w:szCs w:val="18"/>
                <w:lang w:val="en-US"/>
              </w:rPr>
              <w:t>e</w:t>
            </w:r>
            <w:r w:rsidRPr="00ED4D49">
              <w:rPr>
                <w:rFonts w:asciiTheme="minorHAnsi" w:hAnsiTheme="minorHAnsi"/>
                <w:color w:val="0D0D0D" w:themeColor="text1" w:themeTint="F2"/>
                <w:sz w:val="18"/>
                <w:szCs w:val="18"/>
                <w:lang w:val="en-US"/>
              </w:rPr>
              <w:t xml:space="preserve"> the negative impact</w:t>
            </w:r>
            <w:r w:rsidR="003D02D2" w:rsidRPr="00ED4D49">
              <w:rPr>
                <w:rFonts w:asciiTheme="minorHAnsi" w:hAnsiTheme="minorHAnsi"/>
                <w:color w:val="0D0D0D" w:themeColor="text1" w:themeTint="F2"/>
                <w:sz w:val="18"/>
                <w:szCs w:val="18"/>
                <w:lang w:val="en-US"/>
              </w:rPr>
              <w:t>s</w:t>
            </w:r>
            <w:r w:rsidRPr="00ED4D49">
              <w:rPr>
                <w:rFonts w:asciiTheme="minorHAnsi" w:hAnsiTheme="minorHAnsi"/>
                <w:color w:val="0D0D0D" w:themeColor="text1" w:themeTint="F2"/>
                <w:sz w:val="18"/>
                <w:szCs w:val="18"/>
                <w:lang w:val="en-US"/>
              </w:rPr>
              <w:t xml:space="preserve"> on the environment</w:t>
            </w:r>
            <w:r w:rsidR="003D02D2" w:rsidRPr="00ED4D49">
              <w:rPr>
                <w:rFonts w:asciiTheme="minorHAnsi" w:hAnsiTheme="minorHAnsi"/>
                <w:color w:val="0D0D0D" w:themeColor="text1" w:themeTint="F2"/>
                <w:sz w:val="18"/>
                <w:szCs w:val="18"/>
                <w:lang w:val="en-US"/>
              </w:rPr>
              <w:t xml:space="preserve">, first and foremost on public health but also on the quality of the </w:t>
            </w:r>
            <w:proofErr w:type="gramStart"/>
            <w:r w:rsidR="003D02D2" w:rsidRPr="00ED4D49">
              <w:rPr>
                <w:rFonts w:asciiTheme="minorHAnsi" w:hAnsiTheme="minorHAnsi"/>
                <w:color w:val="0D0D0D" w:themeColor="text1" w:themeTint="F2"/>
                <w:sz w:val="18"/>
                <w:szCs w:val="18"/>
                <w:lang w:val="en-US"/>
              </w:rPr>
              <w:t>Sava river</w:t>
            </w:r>
            <w:proofErr w:type="gramEnd"/>
            <w:r w:rsidRPr="00ED4D49">
              <w:rPr>
                <w:rFonts w:asciiTheme="minorHAnsi" w:hAnsiTheme="minorHAnsi"/>
                <w:color w:val="0D0D0D" w:themeColor="text1" w:themeTint="F2"/>
                <w:sz w:val="18"/>
                <w:szCs w:val="18"/>
                <w:lang w:val="en-US"/>
              </w:rPr>
              <w:t xml:space="preserve">. The closure of the old landfill will stop and further prevention of the pollution of the surrounding watercourses located in the immediate vicinity of the landfill, as </w:t>
            </w:r>
            <w:r w:rsidRPr="00ED4D49">
              <w:rPr>
                <w:rFonts w:asciiTheme="minorHAnsi" w:hAnsiTheme="minorHAnsi"/>
                <w:color w:val="0D0D0D" w:themeColor="text1" w:themeTint="F2"/>
                <w:sz w:val="18"/>
                <w:szCs w:val="18"/>
                <w:lang w:val="en-US"/>
              </w:rPr>
              <w:lastRenderedPageBreak/>
              <w:t>well as the pollution of the Sava River itself.</w:t>
            </w:r>
          </w:p>
        </w:tc>
        <w:tc>
          <w:tcPr>
            <w:tcW w:w="4678" w:type="dxa"/>
            <w:vMerge/>
          </w:tcPr>
          <w:p w14:paraId="660A5B5D" w14:textId="77777777" w:rsidR="006F64D7" w:rsidRPr="00ED4D49" w:rsidRDefault="006F64D7" w:rsidP="00EB6464">
            <w:pPr>
              <w:autoSpaceDE w:val="0"/>
              <w:autoSpaceDN w:val="0"/>
              <w:adjustRightInd w:val="0"/>
              <w:rPr>
                <w:rFonts w:cs="Courier New"/>
                <w:b/>
                <w:sz w:val="18"/>
                <w:szCs w:val="18"/>
                <w:lang w:val="en-US"/>
              </w:rPr>
            </w:pPr>
          </w:p>
        </w:tc>
        <w:tc>
          <w:tcPr>
            <w:tcW w:w="3260" w:type="dxa"/>
            <w:vMerge/>
          </w:tcPr>
          <w:p w14:paraId="365FDD6C" w14:textId="77777777" w:rsidR="006F64D7" w:rsidRPr="00ED4D49" w:rsidRDefault="006F64D7" w:rsidP="00EB6464">
            <w:pPr>
              <w:rPr>
                <w:rFonts w:cs="Courier New"/>
                <w:b/>
                <w:bCs/>
                <w:sz w:val="18"/>
                <w:szCs w:val="18"/>
                <w:lang w:val="en-US"/>
              </w:rPr>
            </w:pPr>
          </w:p>
        </w:tc>
      </w:tr>
      <w:tr w:rsidR="006F64D7" w:rsidRPr="00ED4D49" w14:paraId="506C8E2D" w14:textId="77777777" w:rsidTr="00EB6464">
        <w:trPr>
          <w:trHeight w:val="530"/>
        </w:trPr>
        <w:tc>
          <w:tcPr>
            <w:tcW w:w="959" w:type="dxa"/>
          </w:tcPr>
          <w:p w14:paraId="221E9C9B" w14:textId="4E696306" w:rsidR="006F64D7" w:rsidRPr="00ED4D49" w:rsidRDefault="006F64D7" w:rsidP="00EB6464">
            <w:pPr>
              <w:spacing w:before="60" w:after="60"/>
              <w:rPr>
                <w:sz w:val="18"/>
                <w:szCs w:val="18"/>
                <w:lang w:val="en-US"/>
              </w:rPr>
            </w:pPr>
            <w:r w:rsidRPr="00ED4D49">
              <w:rPr>
                <w:sz w:val="18"/>
                <w:szCs w:val="18"/>
                <w:lang w:val="en-US"/>
              </w:rPr>
              <w:t>j)</w:t>
            </w:r>
          </w:p>
        </w:tc>
        <w:tc>
          <w:tcPr>
            <w:tcW w:w="2722" w:type="dxa"/>
          </w:tcPr>
          <w:p w14:paraId="0B6A9B49" w14:textId="4F447544" w:rsidR="006F64D7" w:rsidRPr="00ED4D49" w:rsidRDefault="006F64D7" w:rsidP="00EB6464">
            <w:pPr>
              <w:spacing w:before="60" w:after="60"/>
              <w:rPr>
                <w:rFonts w:asciiTheme="minorHAnsi" w:hAnsiTheme="minorHAnsi"/>
                <w:color w:val="0D0D0D" w:themeColor="text1" w:themeTint="F2"/>
                <w:sz w:val="18"/>
                <w:szCs w:val="18"/>
                <w:lang w:val="en-US"/>
              </w:rPr>
            </w:pPr>
            <w:r w:rsidRPr="00ED4D49">
              <w:rPr>
                <w:rFonts w:asciiTheme="minorHAnsi" w:hAnsiTheme="minorHAnsi"/>
                <w:color w:val="0D0D0D" w:themeColor="text1" w:themeTint="F2"/>
                <w:sz w:val="18"/>
                <w:szCs w:val="18"/>
                <w:lang w:val="en-US"/>
              </w:rPr>
              <w:t xml:space="preserve">Regulation of part of the </w:t>
            </w:r>
            <w:proofErr w:type="spellStart"/>
            <w:r w:rsidRPr="00ED4D49">
              <w:rPr>
                <w:rFonts w:asciiTheme="minorHAnsi" w:hAnsiTheme="minorHAnsi"/>
                <w:color w:val="0D0D0D" w:themeColor="text1" w:themeTint="F2"/>
                <w:sz w:val="18"/>
                <w:szCs w:val="18"/>
                <w:lang w:val="en-US"/>
              </w:rPr>
              <w:t>Waterstream</w:t>
            </w:r>
            <w:proofErr w:type="spellEnd"/>
            <w:r w:rsidRPr="00ED4D49">
              <w:rPr>
                <w:rFonts w:asciiTheme="minorHAnsi" w:hAnsiTheme="minorHAnsi"/>
                <w:color w:val="0D0D0D" w:themeColor="text1" w:themeTint="F2"/>
                <w:sz w:val="18"/>
                <w:szCs w:val="18"/>
                <w:lang w:val="en-US"/>
              </w:rPr>
              <w:t xml:space="preserve"> / creek “</w:t>
            </w:r>
            <w:proofErr w:type="spellStart"/>
            <w:r w:rsidRPr="00ED4D49">
              <w:rPr>
                <w:rFonts w:asciiTheme="minorHAnsi" w:hAnsiTheme="minorHAnsi"/>
                <w:color w:val="0D0D0D" w:themeColor="text1" w:themeTint="F2"/>
                <w:sz w:val="18"/>
                <w:szCs w:val="18"/>
                <w:lang w:val="en-US"/>
              </w:rPr>
              <w:t>Blizna</w:t>
            </w:r>
            <w:proofErr w:type="spellEnd"/>
            <w:r w:rsidRPr="00ED4D49">
              <w:rPr>
                <w:rFonts w:asciiTheme="minorHAnsi" w:hAnsiTheme="minorHAnsi"/>
                <w:color w:val="0D0D0D" w:themeColor="text1" w:themeTint="F2"/>
                <w:sz w:val="18"/>
                <w:szCs w:val="18"/>
                <w:lang w:val="en-US"/>
              </w:rPr>
              <w:t>” in Brčko District (part I and part II)</w:t>
            </w:r>
          </w:p>
        </w:tc>
        <w:tc>
          <w:tcPr>
            <w:tcW w:w="2835" w:type="dxa"/>
          </w:tcPr>
          <w:p w14:paraId="13D4031C" w14:textId="54EB58BD" w:rsidR="006F64D7" w:rsidRPr="00ED4D49" w:rsidRDefault="009B4D51" w:rsidP="00EB6464">
            <w:pPr>
              <w:spacing w:before="60" w:after="60"/>
              <w:rPr>
                <w:rFonts w:asciiTheme="minorHAnsi" w:hAnsiTheme="minorHAnsi"/>
                <w:color w:val="0D0D0D" w:themeColor="text1" w:themeTint="F2"/>
                <w:sz w:val="18"/>
                <w:szCs w:val="18"/>
                <w:lang w:val="en-US"/>
              </w:rPr>
            </w:pPr>
            <w:r w:rsidRPr="00ED4D49">
              <w:rPr>
                <w:rFonts w:asciiTheme="minorHAnsi" w:hAnsiTheme="minorHAnsi"/>
                <w:color w:val="0D0D0D" w:themeColor="text1" w:themeTint="F2"/>
                <w:sz w:val="18"/>
                <w:szCs w:val="18"/>
                <w:lang w:val="en-US"/>
              </w:rPr>
              <w:t>The subproject will re-connect Water stream/Creek “</w:t>
            </w:r>
            <w:proofErr w:type="spellStart"/>
            <w:r w:rsidRPr="00ED4D49">
              <w:rPr>
                <w:rFonts w:asciiTheme="minorHAnsi" w:hAnsiTheme="minorHAnsi"/>
                <w:color w:val="0D0D0D" w:themeColor="text1" w:themeTint="F2"/>
                <w:sz w:val="18"/>
                <w:szCs w:val="18"/>
                <w:lang w:val="en-US"/>
              </w:rPr>
              <w:t>Blizna</w:t>
            </w:r>
            <w:proofErr w:type="spellEnd"/>
            <w:r w:rsidRPr="00ED4D49">
              <w:rPr>
                <w:rFonts w:asciiTheme="minorHAnsi" w:hAnsiTheme="minorHAnsi"/>
                <w:color w:val="0D0D0D" w:themeColor="text1" w:themeTint="F2"/>
                <w:sz w:val="18"/>
                <w:szCs w:val="18"/>
                <w:lang w:val="en-US"/>
              </w:rPr>
              <w:t>” and River Sava which will enhance the quality and capacity of natural storage capacity and reduce flood risk. In this way, Water stream/Creek “</w:t>
            </w:r>
            <w:proofErr w:type="spellStart"/>
            <w:r w:rsidRPr="00ED4D49">
              <w:rPr>
                <w:rFonts w:asciiTheme="minorHAnsi" w:hAnsiTheme="minorHAnsi"/>
                <w:color w:val="0D0D0D" w:themeColor="text1" w:themeTint="F2"/>
                <w:sz w:val="18"/>
                <w:szCs w:val="18"/>
                <w:lang w:val="en-US"/>
              </w:rPr>
              <w:t>Blizna</w:t>
            </w:r>
            <w:proofErr w:type="spellEnd"/>
            <w:r w:rsidRPr="00ED4D49">
              <w:rPr>
                <w:rFonts w:asciiTheme="minorHAnsi" w:hAnsiTheme="minorHAnsi"/>
                <w:color w:val="0D0D0D" w:themeColor="text1" w:themeTint="F2"/>
                <w:sz w:val="18"/>
                <w:szCs w:val="18"/>
                <w:lang w:val="en-US"/>
              </w:rPr>
              <w:t>” restoration directly contribute to climate change strategies aimed at mitigating the effects of increased and erratic peak flows and droughts.</w:t>
            </w:r>
          </w:p>
        </w:tc>
        <w:tc>
          <w:tcPr>
            <w:tcW w:w="4678" w:type="dxa"/>
            <w:vMerge/>
          </w:tcPr>
          <w:p w14:paraId="4787F681" w14:textId="77777777" w:rsidR="006F64D7" w:rsidRPr="00ED4D49" w:rsidRDefault="006F64D7" w:rsidP="00EB6464">
            <w:pPr>
              <w:autoSpaceDE w:val="0"/>
              <w:autoSpaceDN w:val="0"/>
              <w:adjustRightInd w:val="0"/>
              <w:rPr>
                <w:rFonts w:cs="Courier New"/>
                <w:b/>
                <w:sz w:val="18"/>
                <w:szCs w:val="18"/>
                <w:lang w:val="en-US"/>
              </w:rPr>
            </w:pPr>
          </w:p>
        </w:tc>
        <w:tc>
          <w:tcPr>
            <w:tcW w:w="3260" w:type="dxa"/>
            <w:vMerge/>
          </w:tcPr>
          <w:p w14:paraId="46088895" w14:textId="77777777" w:rsidR="006F64D7" w:rsidRPr="00ED4D49" w:rsidRDefault="006F64D7" w:rsidP="00EB6464">
            <w:pPr>
              <w:rPr>
                <w:rFonts w:cs="Courier New"/>
                <w:b/>
                <w:bCs/>
                <w:sz w:val="18"/>
                <w:szCs w:val="18"/>
                <w:lang w:val="en-US"/>
              </w:rPr>
            </w:pPr>
          </w:p>
        </w:tc>
      </w:tr>
      <w:tr w:rsidR="006F64D7" w:rsidRPr="00ED4D49" w14:paraId="018A96AF" w14:textId="77777777" w:rsidTr="00EB6464">
        <w:trPr>
          <w:trHeight w:val="530"/>
        </w:trPr>
        <w:tc>
          <w:tcPr>
            <w:tcW w:w="959" w:type="dxa"/>
          </w:tcPr>
          <w:p w14:paraId="000199A7" w14:textId="74ECF150" w:rsidR="006F64D7" w:rsidRPr="00ED4D49" w:rsidRDefault="006F64D7" w:rsidP="00EB6464">
            <w:pPr>
              <w:spacing w:before="60" w:after="60"/>
              <w:rPr>
                <w:sz w:val="18"/>
                <w:szCs w:val="18"/>
                <w:lang w:val="en-US"/>
              </w:rPr>
            </w:pPr>
            <w:r w:rsidRPr="00ED4D49">
              <w:rPr>
                <w:sz w:val="18"/>
                <w:szCs w:val="18"/>
                <w:lang w:val="en-US"/>
              </w:rPr>
              <w:t>k)</w:t>
            </w:r>
          </w:p>
          <w:p w14:paraId="5FAD2C1F" w14:textId="7F2D1813" w:rsidR="006F64D7" w:rsidRPr="00ED4D49" w:rsidRDefault="006F64D7" w:rsidP="00EB6464">
            <w:pPr>
              <w:spacing w:before="60" w:after="60"/>
              <w:rPr>
                <w:sz w:val="18"/>
                <w:szCs w:val="18"/>
                <w:lang w:val="en-US"/>
              </w:rPr>
            </w:pPr>
          </w:p>
        </w:tc>
        <w:tc>
          <w:tcPr>
            <w:tcW w:w="2722" w:type="dxa"/>
          </w:tcPr>
          <w:p w14:paraId="11828465" w14:textId="10539297" w:rsidR="006F64D7" w:rsidRPr="00ED4D49" w:rsidRDefault="006F64D7" w:rsidP="00EB6464">
            <w:pPr>
              <w:spacing w:before="60" w:after="60"/>
              <w:rPr>
                <w:rFonts w:asciiTheme="minorHAnsi" w:hAnsiTheme="minorHAnsi"/>
                <w:color w:val="0D0D0D" w:themeColor="text1" w:themeTint="F2"/>
                <w:sz w:val="18"/>
                <w:szCs w:val="18"/>
                <w:lang w:val="en-US"/>
              </w:rPr>
            </w:pPr>
            <w:r w:rsidRPr="00ED4D49">
              <w:rPr>
                <w:rFonts w:asciiTheme="minorHAnsi" w:hAnsiTheme="minorHAnsi"/>
                <w:color w:val="0D0D0D" w:themeColor="text1" w:themeTint="F2"/>
                <w:sz w:val="18"/>
                <w:szCs w:val="18"/>
                <w:lang w:val="en-US"/>
              </w:rPr>
              <w:t>Regulation of the “</w:t>
            </w:r>
            <w:proofErr w:type="spellStart"/>
            <w:r w:rsidRPr="00ED4D49">
              <w:rPr>
                <w:rFonts w:asciiTheme="minorHAnsi" w:hAnsiTheme="minorHAnsi"/>
                <w:color w:val="0D0D0D" w:themeColor="text1" w:themeTint="F2"/>
                <w:sz w:val="18"/>
                <w:szCs w:val="18"/>
                <w:lang w:val="en-US"/>
              </w:rPr>
              <w:t>Brka</w:t>
            </w:r>
            <w:proofErr w:type="spellEnd"/>
            <w:r w:rsidRPr="00ED4D49">
              <w:rPr>
                <w:rFonts w:asciiTheme="minorHAnsi" w:hAnsiTheme="minorHAnsi"/>
                <w:color w:val="0D0D0D" w:themeColor="text1" w:themeTint="F2"/>
                <w:sz w:val="18"/>
                <w:szCs w:val="18"/>
                <w:lang w:val="en-US"/>
              </w:rPr>
              <w:t>” river upper watercourse from bridge on “</w:t>
            </w:r>
            <w:proofErr w:type="spellStart"/>
            <w:r w:rsidRPr="00ED4D49">
              <w:rPr>
                <w:rFonts w:asciiTheme="minorHAnsi" w:hAnsiTheme="minorHAnsi"/>
                <w:color w:val="0D0D0D" w:themeColor="text1" w:themeTint="F2"/>
                <w:sz w:val="18"/>
                <w:szCs w:val="18"/>
                <w:lang w:val="en-US"/>
              </w:rPr>
              <w:t>Kožara</w:t>
            </w:r>
            <w:proofErr w:type="spellEnd"/>
            <w:r w:rsidRPr="00ED4D49">
              <w:rPr>
                <w:rFonts w:asciiTheme="minorHAnsi" w:hAnsiTheme="minorHAnsi"/>
                <w:color w:val="0D0D0D" w:themeColor="text1" w:themeTint="F2"/>
                <w:sz w:val="18"/>
                <w:szCs w:val="18"/>
                <w:lang w:val="en-US"/>
              </w:rPr>
              <w:t>” toward railway bridge (</w:t>
            </w:r>
            <w:proofErr w:type="spellStart"/>
            <w:r w:rsidRPr="00ED4D49">
              <w:rPr>
                <w:rFonts w:asciiTheme="minorHAnsi" w:hAnsiTheme="minorHAnsi"/>
                <w:color w:val="0D0D0D" w:themeColor="text1" w:themeTint="F2"/>
                <w:sz w:val="18"/>
                <w:szCs w:val="18"/>
                <w:lang w:val="en-US"/>
              </w:rPr>
              <w:t>Lički</w:t>
            </w:r>
            <w:proofErr w:type="spellEnd"/>
            <w:r w:rsidRPr="00ED4D49">
              <w:rPr>
                <w:rFonts w:asciiTheme="minorHAnsi" w:hAnsiTheme="minorHAnsi"/>
                <w:color w:val="0D0D0D" w:themeColor="text1" w:themeTint="F2"/>
                <w:sz w:val="18"/>
                <w:szCs w:val="18"/>
                <w:lang w:val="en-US"/>
              </w:rPr>
              <w:t xml:space="preserve"> most)</w:t>
            </w:r>
          </w:p>
        </w:tc>
        <w:tc>
          <w:tcPr>
            <w:tcW w:w="2835" w:type="dxa"/>
          </w:tcPr>
          <w:p w14:paraId="571DD614" w14:textId="74AD8FAB" w:rsidR="006F64D7" w:rsidRPr="00ED4D49" w:rsidRDefault="009B4D51" w:rsidP="00EB6464">
            <w:pPr>
              <w:spacing w:before="60" w:after="60"/>
              <w:rPr>
                <w:rFonts w:asciiTheme="minorHAnsi" w:hAnsiTheme="minorHAnsi"/>
                <w:color w:val="0D0D0D" w:themeColor="text1" w:themeTint="F2"/>
                <w:sz w:val="18"/>
                <w:szCs w:val="18"/>
                <w:lang w:val="en-US"/>
              </w:rPr>
            </w:pPr>
            <w:r w:rsidRPr="00ED4D49">
              <w:rPr>
                <w:rFonts w:asciiTheme="minorHAnsi" w:hAnsiTheme="minorHAnsi"/>
                <w:color w:val="0D0D0D" w:themeColor="text1" w:themeTint="F2"/>
                <w:sz w:val="18"/>
                <w:szCs w:val="18"/>
                <w:lang w:val="en-US"/>
              </w:rPr>
              <w:t xml:space="preserve">The </w:t>
            </w:r>
            <w:r w:rsidR="0024607F" w:rsidRPr="00ED4D49">
              <w:rPr>
                <w:rFonts w:asciiTheme="minorHAnsi" w:hAnsiTheme="minorHAnsi"/>
                <w:color w:val="0D0D0D" w:themeColor="text1" w:themeTint="F2"/>
                <w:sz w:val="18"/>
                <w:szCs w:val="18"/>
                <w:lang w:val="en-US"/>
              </w:rPr>
              <w:t>subp</w:t>
            </w:r>
            <w:r w:rsidRPr="00ED4D49">
              <w:rPr>
                <w:rFonts w:asciiTheme="minorHAnsi" w:hAnsiTheme="minorHAnsi"/>
                <w:color w:val="0D0D0D" w:themeColor="text1" w:themeTint="F2"/>
                <w:sz w:val="18"/>
                <w:szCs w:val="18"/>
                <w:lang w:val="en-US"/>
              </w:rPr>
              <w:t>roject envisage</w:t>
            </w:r>
            <w:r w:rsidR="0024607F" w:rsidRPr="00ED4D49">
              <w:rPr>
                <w:rFonts w:asciiTheme="minorHAnsi" w:hAnsiTheme="minorHAnsi"/>
                <w:color w:val="0D0D0D" w:themeColor="text1" w:themeTint="F2"/>
                <w:sz w:val="18"/>
                <w:szCs w:val="18"/>
                <w:lang w:val="en-US"/>
              </w:rPr>
              <w:t>s</w:t>
            </w:r>
            <w:r w:rsidRPr="00ED4D49">
              <w:rPr>
                <w:rFonts w:asciiTheme="minorHAnsi" w:hAnsiTheme="minorHAnsi"/>
                <w:color w:val="0D0D0D" w:themeColor="text1" w:themeTint="F2"/>
                <w:sz w:val="18"/>
                <w:szCs w:val="18"/>
                <w:lang w:val="en-US"/>
              </w:rPr>
              <w:t xml:space="preserve"> regulation of the watercourse of the river </w:t>
            </w:r>
            <w:proofErr w:type="spellStart"/>
            <w:r w:rsidRPr="00ED4D49">
              <w:rPr>
                <w:rFonts w:asciiTheme="minorHAnsi" w:hAnsiTheme="minorHAnsi"/>
                <w:color w:val="0D0D0D" w:themeColor="text1" w:themeTint="F2"/>
                <w:sz w:val="18"/>
                <w:szCs w:val="18"/>
                <w:lang w:val="en-US"/>
              </w:rPr>
              <w:t>Brka</w:t>
            </w:r>
            <w:proofErr w:type="spellEnd"/>
            <w:r w:rsidRPr="00ED4D49">
              <w:rPr>
                <w:rFonts w:asciiTheme="minorHAnsi" w:hAnsiTheme="minorHAnsi"/>
                <w:color w:val="0D0D0D" w:themeColor="text1" w:themeTint="F2"/>
                <w:sz w:val="18"/>
                <w:szCs w:val="18"/>
                <w:lang w:val="en-US"/>
              </w:rPr>
              <w:t xml:space="preserve"> (780 meters) along the urban area in the Brčko District from the bridge on </w:t>
            </w:r>
            <w:proofErr w:type="spellStart"/>
            <w:r w:rsidRPr="00ED4D49">
              <w:rPr>
                <w:rFonts w:asciiTheme="minorHAnsi" w:hAnsiTheme="minorHAnsi"/>
                <w:color w:val="0D0D0D" w:themeColor="text1" w:themeTint="F2"/>
                <w:sz w:val="18"/>
                <w:szCs w:val="18"/>
                <w:lang w:val="en-US"/>
              </w:rPr>
              <w:t>Kožara</w:t>
            </w:r>
            <w:proofErr w:type="spellEnd"/>
            <w:r w:rsidRPr="00ED4D49">
              <w:rPr>
                <w:rFonts w:asciiTheme="minorHAnsi" w:hAnsiTheme="minorHAnsi"/>
                <w:color w:val="0D0D0D" w:themeColor="text1" w:themeTint="F2"/>
                <w:sz w:val="18"/>
                <w:szCs w:val="18"/>
                <w:lang w:val="en-US"/>
              </w:rPr>
              <w:t xml:space="preserve"> to the railway bridge (</w:t>
            </w:r>
            <w:proofErr w:type="spellStart"/>
            <w:r w:rsidRPr="00ED4D49">
              <w:rPr>
                <w:rFonts w:asciiTheme="minorHAnsi" w:hAnsiTheme="minorHAnsi"/>
                <w:color w:val="0D0D0D" w:themeColor="text1" w:themeTint="F2"/>
                <w:sz w:val="18"/>
                <w:szCs w:val="18"/>
                <w:lang w:val="en-US"/>
              </w:rPr>
              <w:t>Lički</w:t>
            </w:r>
            <w:proofErr w:type="spellEnd"/>
            <w:r w:rsidRPr="00ED4D49">
              <w:rPr>
                <w:rFonts w:asciiTheme="minorHAnsi" w:hAnsiTheme="minorHAnsi"/>
                <w:color w:val="0D0D0D" w:themeColor="text1" w:themeTint="F2"/>
                <w:sz w:val="18"/>
                <w:szCs w:val="18"/>
                <w:lang w:val="en-US"/>
              </w:rPr>
              <w:t xml:space="preserve"> most).</w:t>
            </w:r>
          </w:p>
        </w:tc>
        <w:tc>
          <w:tcPr>
            <w:tcW w:w="4678" w:type="dxa"/>
            <w:vMerge/>
          </w:tcPr>
          <w:p w14:paraId="2EAAB0BB" w14:textId="77777777" w:rsidR="006F64D7" w:rsidRPr="00ED4D49" w:rsidRDefault="006F64D7" w:rsidP="00EB6464">
            <w:pPr>
              <w:autoSpaceDE w:val="0"/>
              <w:autoSpaceDN w:val="0"/>
              <w:adjustRightInd w:val="0"/>
              <w:rPr>
                <w:rFonts w:cs="Courier New"/>
                <w:b/>
                <w:sz w:val="18"/>
                <w:szCs w:val="18"/>
                <w:lang w:val="en-US"/>
              </w:rPr>
            </w:pPr>
          </w:p>
        </w:tc>
        <w:tc>
          <w:tcPr>
            <w:tcW w:w="3260" w:type="dxa"/>
            <w:vMerge/>
          </w:tcPr>
          <w:p w14:paraId="654ACC40" w14:textId="77777777" w:rsidR="006F64D7" w:rsidRPr="00ED4D49" w:rsidRDefault="006F64D7" w:rsidP="00EB6464">
            <w:pPr>
              <w:rPr>
                <w:rFonts w:cs="Courier New"/>
                <w:b/>
                <w:bCs/>
                <w:sz w:val="18"/>
                <w:szCs w:val="18"/>
                <w:lang w:val="en-US"/>
              </w:rPr>
            </w:pPr>
          </w:p>
        </w:tc>
      </w:tr>
      <w:tr w:rsidR="006F64D7" w:rsidRPr="00ED4D49" w14:paraId="30491534" w14:textId="77777777" w:rsidTr="00EB6464">
        <w:trPr>
          <w:trHeight w:val="557"/>
        </w:trPr>
        <w:tc>
          <w:tcPr>
            <w:tcW w:w="959" w:type="dxa"/>
          </w:tcPr>
          <w:p w14:paraId="3A5A271D" w14:textId="50194DB4" w:rsidR="006F64D7" w:rsidRPr="00ED4D49" w:rsidRDefault="006F64D7" w:rsidP="00EB6464">
            <w:pPr>
              <w:spacing w:before="60" w:after="60"/>
              <w:rPr>
                <w:sz w:val="18"/>
                <w:szCs w:val="18"/>
                <w:lang w:val="en-US"/>
              </w:rPr>
            </w:pPr>
            <w:r w:rsidRPr="00ED4D49">
              <w:rPr>
                <w:sz w:val="18"/>
                <w:szCs w:val="18"/>
                <w:lang w:val="en-US"/>
              </w:rPr>
              <w:t>l)</w:t>
            </w:r>
          </w:p>
        </w:tc>
        <w:tc>
          <w:tcPr>
            <w:tcW w:w="2722" w:type="dxa"/>
          </w:tcPr>
          <w:p w14:paraId="2F9B4446" w14:textId="712B5902" w:rsidR="006F64D7" w:rsidRPr="00ED4D49" w:rsidRDefault="006F64D7" w:rsidP="00EB6464">
            <w:pPr>
              <w:spacing w:before="60" w:after="60"/>
              <w:rPr>
                <w:rFonts w:asciiTheme="minorHAnsi" w:hAnsiTheme="minorHAnsi"/>
                <w:color w:val="0D0D0D" w:themeColor="text1" w:themeTint="F2"/>
                <w:sz w:val="18"/>
                <w:szCs w:val="18"/>
                <w:lang w:val="en-US"/>
              </w:rPr>
            </w:pPr>
            <w:r w:rsidRPr="00ED4D49">
              <w:rPr>
                <w:rFonts w:asciiTheme="minorHAnsi" w:hAnsiTheme="minorHAnsi"/>
                <w:color w:val="0D0D0D" w:themeColor="text1" w:themeTint="F2"/>
                <w:sz w:val="18"/>
                <w:szCs w:val="18"/>
                <w:lang w:val="en-US"/>
              </w:rPr>
              <w:t>Construction of the sidewalk and bicycle route along the right bank/side of the “Sava” river</w:t>
            </w:r>
          </w:p>
        </w:tc>
        <w:tc>
          <w:tcPr>
            <w:tcW w:w="2835" w:type="dxa"/>
          </w:tcPr>
          <w:p w14:paraId="729708DE" w14:textId="228E59AF" w:rsidR="006F64D7" w:rsidRPr="00ED4D49" w:rsidRDefault="00E2097A" w:rsidP="00EB6464">
            <w:pPr>
              <w:spacing w:before="60" w:after="60"/>
              <w:rPr>
                <w:rFonts w:asciiTheme="minorHAnsi" w:hAnsiTheme="minorHAnsi"/>
                <w:color w:val="0D0D0D" w:themeColor="text1" w:themeTint="F2"/>
                <w:sz w:val="18"/>
                <w:szCs w:val="18"/>
                <w:lang w:val="en-US"/>
              </w:rPr>
            </w:pPr>
            <w:r w:rsidRPr="00ED4D49">
              <w:rPr>
                <w:rFonts w:asciiTheme="minorHAnsi" w:hAnsiTheme="minorHAnsi"/>
                <w:color w:val="0D0D0D" w:themeColor="text1" w:themeTint="F2"/>
                <w:sz w:val="18"/>
                <w:szCs w:val="18"/>
                <w:lang w:val="en-US"/>
              </w:rPr>
              <w:t xml:space="preserve">Construction of a sidewalk and bicycle route along the right bank/side of “Sava” river, as diverse tourist and recreational infrastructure, in line with the strategically profiled development of tourism, should lead in the medium and long term to a gradual increase in the number of tourist visits and overnight stays, as well as an increase in tourism revenues. At </w:t>
            </w:r>
            <w:r w:rsidRPr="00ED4D49">
              <w:rPr>
                <w:rFonts w:asciiTheme="minorHAnsi" w:hAnsiTheme="minorHAnsi"/>
                <w:color w:val="0D0D0D" w:themeColor="text1" w:themeTint="F2"/>
                <w:sz w:val="18"/>
                <w:szCs w:val="18"/>
                <w:lang w:val="en-US"/>
              </w:rPr>
              <w:lastRenderedPageBreak/>
              <w:t xml:space="preserve">the same time, the Project will contribute to a better quality of life for the population, encourage more people to recreation, and thus improve the health of the population. It will also contribute to the regulation of the </w:t>
            </w:r>
            <w:proofErr w:type="gramStart"/>
            <w:r w:rsidRPr="00ED4D49">
              <w:rPr>
                <w:rFonts w:asciiTheme="minorHAnsi" w:hAnsiTheme="minorHAnsi"/>
                <w:color w:val="0D0D0D" w:themeColor="text1" w:themeTint="F2"/>
                <w:sz w:val="18"/>
                <w:szCs w:val="18"/>
                <w:lang w:val="en-US"/>
              </w:rPr>
              <w:t>Sava river</w:t>
            </w:r>
            <w:proofErr w:type="gramEnd"/>
            <w:r w:rsidRPr="00ED4D49">
              <w:rPr>
                <w:rFonts w:asciiTheme="minorHAnsi" w:hAnsiTheme="minorHAnsi"/>
                <w:color w:val="0D0D0D" w:themeColor="text1" w:themeTint="F2"/>
                <w:sz w:val="18"/>
                <w:szCs w:val="18"/>
                <w:lang w:val="en-US"/>
              </w:rPr>
              <w:t xml:space="preserve"> bank and reduce the possibility of its pollution</w:t>
            </w:r>
          </w:p>
        </w:tc>
        <w:tc>
          <w:tcPr>
            <w:tcW w:w="4678" w:type="dxa"/>
            <w:vMerge/>
          </w:tcPr>
          <w:p w14:paraId="273C2BE1" w14:textId="77777777" w:rsidR="006F64D7" w:rsidRPr="00ED4D49" w:rsidRDefault="006F64D7" w:rsidP="00EB6464">
            <w:pPr>
              <w:autoSpaceDE w:val="0"/>
              <w:autoSpaceDN w:val="0"/>
              <w:adjustRightInd w:val="0"/>
              <w:rPr>
                <w:rFonts w:cs="Courier New"/>
                <w:b/>
                <w:sz w:val="18"/>
                <w:szCs w:val="18"/>
                <w:lang w:val="en-US"/>
              </w:rPr>
            </w:pPr>
          </w:p>
        </w:tc>
        <w:tc>
          <w:tcPr>
            <w:tcW w:w="3260" w:type="dxa"/>
            <w:vMerge/>
          </w:tcPr>
          <w:p w14:paraId="4A6C1AB3" w14:textId="77777777" w:rsidR="006F64D7" w:rsidRPr="00ED4D49" w:rsidRDefault="006F64D7" w:rsidP="00EB6464">
            <w:pPr>
              <w:rPr>
                <w:rFonts w:cs="Courier New"/>
                <w:b/>
                <w:bCs/>
                <w:sz w:val="18"/>
                <w:szCs w:val="18"/>
                <w:lang w:val="en-US"/>
              </w:rPr>
            </w:pPr>
          </w:p>
        </w:tc>
      </w:tr>
      <w:tr w:rsidR="0044369A" w:rsidRPr="00ED4D49" w14:paraId="565B5402" w14:textId="77777777" w:rsidTr="006916BF">
        <w:trPr>
          <w:trHeight w:val="521"/>
        </w:trPr>
        <w:tc>
          <w:tcPr>
            <w:tcW w:w="959" w:type="dxa"/>
          </w:tcPr>
          <w:p w14:paraId="1DFCB50D" w14:textId="77777777" w:rsidR="0044369A" w:rsidRPr="00ED4D49" w:rsidRDefault="0044369A" w:rsidP="006916BF">
            <w:pPr>
              <w:spacing w:before="60" w:after="60"/>
              <w:rPr>
                <w:sz w:val="18"/>
                <w:szCs w:val="18"/>
                <w:lang w:val="en-US"/>
              </w:rPr>
            </w:pPr>
            <w:r w:rsidRPr="00ED4D49">
              <w:rPr>
                <w:sz w:val="18"/>
                <w:szCs w:val="18"/>
                <w:lang w:val="en-US"/>
              </w:rPr>
              <w:t>i)</w:t>
            </w:r>
          </w:p>
        </w:tc>
        <w:tc>
          <w:tcPr>
            <w:tcW w:w="2722" w:type="dxa"/>
          </w:tcPr>
          <w:p w14:paraId="02BA6375" w14:textId="77777777" w:rsidR="0044369A" w:rsidRPr="00ED4D49" w:rsidRDefault="0044369A" w:rsidP="006916BF">
            <w:pPr>
              <w:spacing w:before="60" w:after="60"/>
              <w:rPr>
                <w:rFonts w:asciiTheme="minorHAnsi" w:hAnsiTheme="minorHAnsi"/>
                <w:color w:val="0D0D0D" w:themeColor="text1" w:themeTint="F2"/>
                <w:sz w:val="18"/>
                <w:szCs w:val="18"/>
                <w:lang w:val="en-US"/>
              </w:rPr>
            </w:pPr>
            <w:r w:rsidRPr="00ED4D49">
              <w:rPr>
                <w:rFonts w:asciiTheme="minorHAnsi" w:hAnsiTheme="minorHAnsi"/>
                <w:color w:val="0D0D0D" w:themeColor="text1" w:themeTint="F2"/>
                <w:sz w:val="18"/>
                <w:szCs w:val="18"/>
                <w:lang w:val="en-US"/>
              </w:rPr>
              <w:t>Construction of Center for Solid Waste Management (location “</w:t>
            </w:r>
            <w:proofErr w:type="spellStart"/>
            <w:r w:rsidRPr="00ED4D49">
              <w:rPr>
                <w:rFonts w:asciiTheme="minorHAnsi" w:hAnsiTheme="minorHAnsi"/>
                <w:color w:val="0D0D0D" w:themeColor="text1" w:themeTint="F2"/>
                <w:sz w:val="18"/>
                <w:szCs w:val="18"/>
                <w:lang w:val="en-US"/>
              </w:rPr>
              <w:t>Kladje</w:t>
            </w:r>
            <w:proofErr w:type="spellEnd"/>
            <w:r w:rsidRPr="00ED4D49">
              <w:rPr>
                <w:rFonts w:asciiTheme="minorHAnsi" w:hAnsiTheme="minorHAnsi"/>
                <w:color w:val="0D0D0D" w:themeColor="text1" w:themeTint="F2"/>
                <w:sz w:val="18"/>
                <w:szCs w:val="18"/>
                <w:lang w:val="en-US"/>
              </w:rPr>
              <w:t>”)</w:t>
            </w:r>
          </w:p>
        </w:tc>
        <w:tc>
          <w:tcPr>
            <w:tcW w:w="2835" w:type="dxa"/>
          </w:tcPr>
          <w:p w14:paraId="438627AA" w14:textId="77777777" w:rsidR="0044369A" w:rsidRPr="00ED4D49" w:rsidRDefault="0044369A" w:rsidP="006916BF">
            <w:pPr>
              <w:spacing w:before="60" w:after="60"/>
              <w:rPr>
                <w:rFonts w:asciiTheme="minorHAnsi" w:hAnsiTheme="minorHAnsi"/>
                <w:color w:val="0D0D0D" w:themeColor="text1" w:themeTint="F2"/>
                <w:sz w:val="18"/>
                <w:szCs w:val="18"/>
                <w:lang w:val="en-US"/>
              </w:rPr>
            </w:pPr>
            <w:r w:rsidRPr="00ED4D49">
              <w:rPr>
                <w:rFonts w:asciiTheme="minorHAnsi" w:hAnsiTheme="minorHAnsi"/>
                <w:color w:val="0D0D0D" w:themeColor="text1" w:themeTint="F2"/>
                <w:sz w:val="18"/>
                <w:szCs w:val="18"/>
                <w:lang w:val="en-US"/>
              </w:rPr>
              <w:t xml:space="preserve">The construction of the Waste Management Center (CUO) creates conditions for the selection of solid waste, which will reduce the amount of waste that needs to be disposed of in one of the regional sanitary landfills, further separate waste that can be recycled or further processed, which can provide additional economic benefits Brčko District of BiH through the reduction of costs of transport and disposal of existing waste and additional revenues from recycling, </w:t>
            </w:r>
            <w:proofErr w:type="spellStart"/>
            <w:r w:rsidRPr="00ED4D49">
              <w:rPr>
                <w:rFonts w:asciiTheme="minorHAnsi" w:hAnsiTheme="minorHAnsi"/>
                <w:color w:val="0D0D0D" w:themeColor="text1" w:themeTint="F2"/>
                <w:sz w:val="18"/>
                <w:szCs w:val="18"/>
                <w:lang w:val="en-US"/>
              </w:rPr>
              <w:t>ie</w:t>
            </w:r>
            <w:proofErr w:type="spellEnd"/>
            <w:r w:rsidRPr="00ED4D49">
              <w:rPr>
                <w:rFonts w:asciiTheme="minorHAnsi" w:hAnsiTheme="minorHAnsi"/>
                <w:color w:val="0D0D0D" w:themeColor="text1" w:themeTint="F2"/>
                <w:sz w:val="18"/>
                <w:szCs w:val="18"/>
                <w:lang w:val="en-US"/>
              </w:rPr>
              <w:t>. waste reuse. After mechanical and biological treatment of waste, the following goals would be achieved:</w:t>
            </w:r>
          </w:p>
          <w:p w14:paraId="0CAC8C64" w14:textId="77777777" w:rsidR="0044369A" w:rsidRPr="00ED4D49" w:rsidRDefault="0044369A" w:rsidP="006916BF">
            <w:pPr>
              <w:spacing w:before="60" w:after="60"/>
              <w:rPr>
                <w:rFonts w:asciiTheme="minorHAnsi" w:hAnsiTheme="minorHAnsi"/>
                <w:color w:val="0D0D0D" w:themeColor="text1" w:themeTint="F2"/>
                <w:sz w:val="18"/>
                <w:szCs w:val="18"/>
                <w:lang w:val="en-US"/>
              </w:rPr>
            </w:pPr>
            <w:r w:rsidRPr="00ED4D49">
              <w:rPr>
                <w:rFonts w:asciiTheme="minorHAnsi" w:hAnsiTheme="minorHAnsi"/>
                <w:color w:val="0D0D0D" w:themeColor="text1" w:themeTint="F2"/>
                <w:sz w:val="18"/>
                <w:szCs w:val="18"/>
                <w:lang w:val="en-US"/>
              </w:rPr>
              <w:t>a. up to 10% of biologically inactive waste is disposed of at the regional sanitary landfill;</w:t>
            </w:r>
          </w:p>
          <w:p w14:paraId="52928476" w14:textId="77777777" w:rsidR="0044369A" w:rsidRPr="00ED4D49" w:rsidRDefault="0044369A" w:rsidP="006916BF">
            <w:pPr>
              <w:spacing w:before="60" w:after="60"/>
              <w:rPr>
                <w:rFonts w:asciiTheme="minorHAnsi" w:hAnsiTheme="minorHAnsi"/>
                <w:color w:val="0D0D0D" w:themeColor="text1" w:themeTint="F2"/>
                <w:sz w:val="18"/>
                <w:szCs w:val="18"/>
                <w:lang w:val="en-US"/>
              </w:rPr>
            </w:pPr>
            <w:r w:rsidRPr="00ED4D49">
              <w:rPr>
                <w:rFonts w:asciiTheme="minorHAnsi" w:hAnsiTheme="minorHAnsi"/>
                <w:color w:val="0D0D0D" w:themeColor="text1" w:themeTint="F2"/>
                <w:sz w:val="18"/>
                <w:szCs w:val="18"/>
                <w:lang w:val="en-US"/>
              </w:rPr>
              <w:lastRenderedPageBreak/>
              <w:t xml:space="preserve">b. 20% to 30% of waste is composted and sold as a means of improving land </w:t>
            </w:r>
            <w:proofErr w:type="gramStart"/>
            <w:r w:rsidRPr="00ED4D49">
              <w:rPr>
                <w:rFonts w:asciiTheme="minorHAnsi" w:hAnsiTheme="minorHAnsi"/>
                <w:color w:val="0D0D0D" w:themeColor="text1" w:themeTint="F2"/>
                <w:sz w:val="18"/>
                <w:szCs w:val="18"/>
                <w:lang w:val="en-US"/>
              </w:rPr>
              <w:t>taxa ;</w:t>
            </w:r>
            <w:proofErr w:type="gramEnd"/>
          </w:p>
          <w:p w14:paraId="59F07C2E" w14:textId="77777777" w:rsidR="0044369A" w:rsidRPr="00ED4D49" w:rsidRDefault="0044369A" w:rsidP="006916BF">
            <w:pPr>
              <w:spacing w:before="60" w:after="60"/>
              <w:rPr>
                <w:rFonts w:asciiTheme="minorHAnsi" w:hAnsiTheme="minorHAnsi"/>
                <w:color w:val="0D0D0D" w:themeColor="text1" w:themeTint="F2"/>
                <w:sz w:val="18"/>
                <w:szCs w:val="18"/>
                <w:lang w:val="en-US"/>
              </w:rPr>
            </w:pPr>
            <w:r w:rsidRPr="00ED4D49">
              <w:rPr>
                <w:rFonts w:asciiTheme="minorHAnsi" w:hAnsiTheme="minorHAnsi"/>
                <w:color w:val="0D0D0D" w:themeColor="text1" w:themeTint="F2"/>
                <w:sz w:val="18"/>
                <w:szCs w:val="18"/>
                <w:lang w:val="en-US"/>
              </w:rPr>
              <w:t>c. up to 15% of waste would be sold as secondary raw materials (mainly metals, but also long recyclable materials);</w:t>
            </w:r>
          </w:p>
          <w:p w14:paraId="79D8DE54" w14:textId="77777777" w:rsidR="0044369A" w:rsidRPr="00ED4D49" w:rsidRDefault="0044369A" w:rsidP="006916BF">
            <w:pPr>
              <w:spacing w:before="60" w:after="60"/>
              <w:rPr>
                <w:rFonts w:asciiTheme="minorHAnsi" w:hAnsiTheme="minorHAnsi"/>
                <w:color w:val="0D0D0D" w:themeColor="text1" w:themeTint="F2"/>
                <w:sz w:val="18"/>
                <w:szCs w:val="18"/>
                <w:lang w:val="en-US"/>
              </w:rPr>
            </w:pPr>
            <w:r w:rsidRPr="00ED4D49">
              <w:rPr>
                <w:rFonts w:asciiTheme="minorHAnsi" w:hAnsiTheme="minorHAnsi"/>
                <w:color w:val="0D0D0D" w:themeColor="text1" w:themeTint="F2"/>
                <w:sz w:val="18"/>
                <w:szCs w:val="18"/>
                <w:lang w:val="en-US"/>
              </w:rPr>
              <w:t>d. up to 30% of waste would be used (sale or free delivery) as an alternative RDF fuel;</w:t>
            </w:r>
          </w:p>
          <w:p w14:paraId="0FD632C1" w14:textId="77777777" w:rsidR="0044369A" w:rsidRPr="00ED4D49" w:rsidRDefault="0044369A" w:rsidP="006916BF">
            <w:pPr>
              <w:spacing w:before="60" w:after="60"/>
              <w:rPr>
                <w:rFonts w:ascii="Arial" w:hAnsi="Arial" w:cs="Arial"/>
              </w:rPr>
            </w:pPr>
            <w:r w:rsidRPr="00ED4D49">
              <w:rPr>
                <w:rFonts w:asciiTheme="minorHAnsi" w:hAnsiTheme="minorHAnsi"/>
                <w:color w:val="0D0D0D" w:themeColor="text1" w:themeTint="F2"/>
                <w:sz w:val="18"/>
                <w:szCs w:val="18"/>
                <w:lang w:val="en-US"/>
              </w:rPr>
              <w:t>e. about 25% of the mass of waste is separated in the form of dehydration and decomposition in the process of aerobic digestion of organic matter (heat release).</w:t>
            </w:r>
          </w:p>
        </w:tc>
        <w:tc>
          <w:tcPr>
            <w:tcW w:w="4678" w:type="dxa"/>
          </w:tcPr>
          <w:p w14:paraId="6A312C3A" w14:textId="2C344523" w:rsidR="0044369A" w:rsidRPr="00ED4D49" w:rsidRDefault="0044369A" w:rsidP="00190B9D">
            <w:pPr>
              <w:pStyle w:val="CommentText"/>
              <w:rPr>
                <w:rFonts w:cs="Courier New"/>
                <w:sz w:val="18"/>
                <w:szCs w:val="18"/>
                <w:lang w:val="en-US"/>
              </w:rPr>
            </w:pPr>
            <w:r w:rsidRPr="00ED4D49">
              <w:rPr>
                <w:rFonts w:cs="Courier New"/>
                <w:i/>
                <w:iCs/>
                <w:sz w:val="18"/>
                <w:szCs w:val="18"/>
                <w:lang w:val="en-US"/>
              </w:rPr>
              <w:lastRenderedPageBreak/>
              <w:t>Impacts</w:t>
            </w:r>
            <w:r w:rsidRPr="00ED4D49">
              <w:rPr>
                <w:rFonts w:cs="Courier New"/>
                <w:sz w:val="18"/>
                <w:szCs w:val="18"/>
                <w:lang w:val="en-US"/>
              </w:rPr>
              <w:t>: In the pre-construction phase, the identified social impact are related to</w:t>
            </w:r>
            <w:r w:rsidR="003E1BF7" w:rsidRPr="00ED4D49">
              <w:rPr>
                <w:rFonts w:cs="Courier New"/>
                <w:sz w:val="18"/>
                <w:szCs w:val="18"/>
                <w:lang w:val="en-US"/>
              </w:rPr>
              <w:t xml:space="preserve"> the location of the center (community health and safety, community backlash etc.) and final approval of the residents of the surrounding communities to perform the project.</w:t>
            </w:r>
            <w:r w:rsidRPr="00ED4D49">
              <w:rPr>
                <w:rFonts w:cs="Courier New"/>
                <w:sz w:val="18"/>
                <w:szCs w:val="18"/>
                <w:lang w:val="en-US"/>
              </w:rPr>
              <w:t xml:space="preserve"> </w:t>
            </w:r>
          </w:p>
          <w:p w14:paraId="7B7A9DD6" w14:textId="77777777" w:rsidR="0044369A" w:rsidRPr="00ED4D49" w:rsidRDefault="0044369A" w:rsidP="0044369A">
            <w:pPr>
              <w:autoSpaceDE w:val="0"/>
              <w:autoSpaceDN w:val="0"/>
              <w:adjustRightInd w:val="0"/>
              <w:rPr>
                <w:rFonts w:cs="Tw Cen MT"/>
                <w:sz w:val="18"/>
                <w:szCs w:val="18"/>
                <w:lang w:val="en-US"/>
              </w:rPr>
            </w:pPr>
            <w:r w:rsidRPr="00ED4D49">
              <w:rPr>
                <w:i/>
                <w:iCs/>
                <w:sz w:val="18"/>
                <w:szCs w:val="18"/>
                <w:lang w:val="en-US"/>
              </w:rPr>
              <w:t xml:space="preserve">In the construction phase, </w:t>
            </w:r>
            <w:r w:rsidRPr="00ED4D49">
              <w:rPr>
                <w:sz w:val="18"/>
                <w:szCs w:val="18"/>
                <w:lang w:val="en-US"/>
              </w:rPr>
              <w:t xml:space="preserve">the social impacts are mainly related to community health and safety during construction; minor negative impacts could be expected through human presence and nature of construction works at site, which are limited to the location of works or its surrounding vicinity. Large influx of workers from outside communities is not expected. The </w:t>
            </w:r>
            <w:r w:rsidRPr="00ED4D49">
              <w:rPr>
                <w:rFonts w:cs="Courier New"/>
                <w:sz w:val="18"/>
                <w:szCs w:val="18"/>
                <w:lang w:val="en-US"/>
              </w:rPr>
              <w:t xml:space="preserve">regulation of riverbed and stabilization of active landslides envisioned within the project may have certain impacts on </w:t>
            </w:r>
            <w:r w:rsidRPr="00ED4D49">
              <w:rPr>
                <w:sz w:val="18"/>
                <w:szCs w:val="18"/>
                <w:lang w:val="en-US"/>
              </w:rPr>
              <w:t xml:space="preserve">the </w:t>
            </w:r>
            <w:r w:rsidRPr="00ED4D49">
              <w:rPr>
                <w:rFonts w:cs="Courier New"/>
                <w:sz w:val="18"/>
                <w:szCs w:val="18"/>
                <w:lang w:val="en-US"/>
              </w:rPr>
              <w:t>environment/water resource during construction/reconstruction and removal of materials. Analyses performed should provide best available materials for collection and separation of waste</w:t>
            </w:r>
            <w:r w:rsidRPr="00ED4D49">
              <w:rPr>
                <w:rFonts w:cs="ArialMT"/>
                <w:sz w:val="18"/>
                <w:szCs w:val="18"/>
                <w:lang w:val="en-US"/>
              </w:rPr>
              <w:t xml:space="preserve">; impact of </w:t>
            </w:r>
            <w:r w:rsidRPr="00ED4D49">
              <w:rPr>
                <w:rFonts w:cs="Arial"/>
                <w:sz w:val="18"/>
                <w:szCs w:val="18"/>
                <w:lang w:val="en-US"/>
              </w:rPr>
              <w:t xml:space="preserve">transporting the machinery to site; noise of construction; </w:t>
            </w:r>
            <w:r w:rsidRPr="00ED4D49">
              <w:rPr>
                <w:rFonts w:cs="Tw Cen MT"/>
                <w:sz w:val="18"/>
                <w:szCs w:val="18"/>
                <w:lang w:val="en-US"/>
              </w:rPr>
              <w:t xml:space="preserve">waste, noise, dirt and dust on the location and the access roads.  </w:t>
            </w:r>
          </w:p>
          <w:p w14:paraId="2A0602BF" w14:textId="0409223F" w:rsidR="0044369A" w:rsidRPr="00ED4D49" w:rsidRDefault="0044369A" w:rsidP="0044369A">
            <w:pPr>
              <w:autoSpaceDE w:val="0"/>
              <w:autoSpaceDN w:val="0"/>
              <w:adjustRightInd w:val="0"/>
              <w:rPr>
                <w:rFonts w:cs="Tw Cen MT"/>
                <w:sz w:val="18"/>
                <w:szCs w:val="18"/>
                <w:lang w:val="en-US"/>
              </w:rPr>
            </w:pPr>
            <w:r w:rsidRPr="00ED4D49">
              <w:rPr>
                <w:rFonts w:cs="Tw Cen MT"/>
                <w:i/>
                <w:iCs/>
                <w:sz w:val="18"/>
                <w:szCs w:val="18"/>
                <w:lang w:val="en-US"/>
              </w:rPr>
              <w:t>In the</w:t>
            </w:r>
            <w:r w:rsidRPr="00ED4D49">
              <w:rPr>
                <w:rFonts w:cs="Tw Cen MT"/>
                <w:sz w:val="18"/>
                <w:szCs w:val="18"/>
                <w:lang w:val="en-US"/>
              </w:rPr>
              <w:t xml:space="preserve"> </w:t>
            </w:r>
            <w:r w:rsidRPr="00ED4D49">
              <w:rPr>
                <w:rFonts w:cs="Tw Cen MT"/>
                <w:i/>
                <w:iCs/>
                <w:sz w:val="18"/>
                <w:szCs w:val="18"/>
                <w:lang w:val="en-US"/>
              </w:rPr>
              <w:t>operational phase,</w:t>
            </w:r>
            <w:r w:rsidRPr="00ED4D49">
              <w:rPr>
                <w:rFonts w:cs="Tw Cen MT"/>
                <w:sz w:val="18"/>
                <w:szCs w:val="18"/>
                <w:lang w:val="en-US"/>
              </w:rPr>
              <w:t xml:space="preserve"> </w:t>
            </w:r>
            <w:r w:rsidR="009758DD" w:rsidRPr="00ED4D49">
              <w:rPr>
                <w:rFonts w:cs="Tw Cen MT"/>
                <w:sz w:val="18"/>
                <w:szCs w:val="18"/>
                <w:lang w:val="en-US"/>
              </w:rPr>
              <w:t xml:space="preserve">the </w:t>
            </w:r>
            <w:r w:rsidR="00EA37E3" w:rsidRPr="00ED4D49">
              <w:rPr>
                <w:rFonts w:cs="Tw Cen MT"/>
                <w:sz w:val="18"/>
                <w:szCs w:val="18"/>
                <w:lang w:val="en-US"/>
              </w:rPr>
              <w:t xml:space="preserve">impacts can be associated with improper operation of the center and this would need to be </w:t>
            </w:r>
            <w:r w:rsidR="00EA37E3" w:rsidRPr="00ED4D49">
              <w:rPr>
                <w:rFonts w:cs="Tw Cen MT"/>
                <w:sz w:val="18"/>
                <w:szCs w:val="18"/>
                <w:lang w:val="en-US"/>
              </w:rPr>
              <w:lastRenderedPageBreak/>
              <w:t xml:space="preserve">established through a plan of operations including working hours, collection schedules of waste </w:t>
            </w:r>
            <w:proofErr w:type="spellStart"/>
            <w:r w:rsidR="00EA37E3" w:rsidRPr="00ED4D49">
              <w:rPr>
                <w:rFonts w:cs="Tw Cen MT"/>
                <w:sz w:val="18"/>
                <w:szCs w:val="18"/>
                <w:lang w:val="en-US"/>
              </w:rPr>
              <w:t>streams</w:t>
            </w:r>
            <w:r w:rsidR="00204053" w:rsidRPr="00ED4D49">
              <w:rPr>
                <w:rFonts w:cs="Tw Cen MT"/>
                <w:sz w:val="18"/>
                <w:szCs w:val="18"/>
                <w:lang w:val="en-US"/>
              </w:rPr>
              <w:t>workplace</w:t>
            </w:r>
            <w:proofErr w:type="spellEnd"/>
            <w:r w:rsidR="00204053" w:rsidRPr="00ED4D49">
              <w:rPr>
                <w:rFonts w:cs="Tw Cen MT"/>
                <w:sz w:val="18"/>
                <w:szCs w:val="18"/>
                <w:lang w:val="en-US"/>
              </w:rPr>
              <w:t xml:space="preserve"> health and </w:t>
            </w:r>
            <w:proofErr w:type="gramStart"/>
            <w:r w:rsidR="00204053" w:rsidRPr="00ED4D49">
              <w:rPr>
                <w:rFonts w:cs="Tw Cen MT"/>
                <w:sz w:val="18"/>
                <w:szCs w:val="18"/>
                <w:lang w:val="en-US"/>
              </w:rPr>
              <w:t xml:space="preserve">safety </w:t>
            </w:r>
            <w:r w:rsidR="00EA37E3" w:rsidRPr="00ED4D49">
              <w:rPr>
                <w:rFonts w:cs="Tw Cen MT"/>
                <w:sz w:val="18"/>
                <w:szCs w:val="18"/>
                <w:lang w:val="en-US"/>
              </w:rPr>
              <w:t xml:space="preserve"> adequate</w:t>
            </w:r>
            <w:proofErr w:type="gramEnd"/>
            <w:r w:rsidR="00EA37E3" w:rsidRPr="00ED4D49">
              <w:rPr>
                <w:rFonts w:cs="Tw Cen MT"/>
                <w:sz w:val="18"/>
                <w:szCs w:val="18"/>
                <w:lang w:val="en-US"/>
              </w:rPr>
              <w:t xml:space="preserve"> storage and handling of specific waste streams, etc. </w:t>
            </w:r>
            <w:r w:rsidR="00F46AF0" w:rsidRPr="00ED4D49">
              <w:rPr>
                <w:rFonts w:cs="Tw Cen MT"/>
                <w:sz w:val="18"/>
                <w:szCs w:val="18"/>
                <w:lang w:val="en-US"/>
              </w:rPr>
              <w:t>The operational plan will be developed prior to start of works of the Center</w:t>
            </w:r>
            <w:r w:rsidRPr="00ED4D49">
              <w:rPr>
                <w:rFonts w:cs="Tw Cen MT"/>
                <w:sz w:val="18"/>
                <w:szCs w:val="18"/>
                <w:lang w:val="en-US"/>
              </w:rPr>
              <w:t>.</w:t>
            </w:r>
          </w:p>
          <w:p w14:paraId="083AC434" w14:textId="383C8EF4" w:rsidR="0044369A" w:rsidRPr="00ED4D49" w:rsidRDefault="0044369A" w:rsidP="0044369A">
            <w:pPr>
              <w:spacing w:before="0" w:after="0"/>
              <w:ind w:right="144"/>
              <w:rPr>
                <w:sz w:val="18"/>
                <w:szCs w:val="18"/>
                <w:lang w:val="en-US"/>
              </w:rPr>
            </w:pPr>
            <w:r w:rsidRPr="00ED4D49">
              <w:rPr>
                <w:b/>
                <w:bCs/>
                <w:sz w:val="18"/>
                <w:szCs w:val="18"/>
                <w:lang w:val="en-US"/>
              </w:rPr>
              <w:t>Likelihood:</w:t>
            </w:r>
            <w:r w:rsidRPr="00ED4D49">
              <w:rPr>
                <w:sz w:val="18"/>
                <w:szCs w:val="18"/>
                <w:lang w:val="en-US"/>
              </w:rPr>
              <w:t xml:space="preserve"> Sub</w:t>
            </w:r>
            <w:r w:rsidR="003E1BF7" w:rsidRPr="00ED4D49">
              <w:rPr>
                <w:sz w:val="18"/>
                <w:szCs w:val="18"/>
                <w:lang w:val="en-US"/>
              </w:rPr>
              <w:t>stantial</w:t>
            </w:r>
            <w:r w:rsidRPr="00ED4D49">
              <w:rPr>
                <w:sz w:val="18"/>
                <w:szCs w:val="18"/>
                <w:lang w:val="en-US"/>
              </w:rPr>
              <w:t xml:space="preserve"> </w:t>
            </w:r>
          </w:p>
          <w:p w14:paraId="5185A0D5" w14:textId="1DD1C448" w:rsidR="0044369A" w:rsidRPr="00ED4D49" w:rsidRDefault="0044369A" w:rsidP="0044369A">
            <w:pPr>
              <w:spacing w:before="0" w:after="0"/>
              <w:ind w:right="144"/>
              <w:rPr>
                <w:sz w:val="18"/>
                <w:szCs w:val="18"/>
                <w:lang w:val="en-US"/>
              </w:rPr>
            </w:pPr>
            <w:r w:rsidRPr="00ED4D49">
              <w:rPr>
                <w:b/>
                <w:bCs/>
                <w:sz w:val="18"/>
                <w:szCs w:val="18"/>
                <w:lang w:val="en-US"/>
              </w:rPr>
              <w:t>Magnitude of consequence:</w:t>
            </w:r>
            <w:r w:rsidRPr="00ED4D49">
              <w:rPr>
                <w:sz w:val="18"/>
                <w:szCs w:val="18"/>
                <w:lang w:val="en-US"/>
              </w:rPr>
              <w:t xml:space="preserve"> </w:t>
            </w:r>
            <w:r w:rsidR="003E1BF7" w:rsidRPr="00ED4D49">
              <w:rPr>
                <w:sz w:val="18"/>
                <w:szCs w:val="18"/>
                <w:lang w:val="en-US"/>
              </w:rPr>
              <w:t>Substantial</w:t>
            </w:r>
          </w:p>
          <w:p w14:paraId="2765E1DE" w14:textId="6A7E87C1" w:rsidR="0044369A" w:rsidRPr="00ED4D49" w:rsidRDefault="0044369A" w:rsidP="0044369A">
            <w:pPr>
              <w:autoSpaceDE w:val="0"/>
              <w:autoSpaceDN w:val="0"/>
              <w:adjustRightInd w:val="0"/>
              <w:rPr>
                <w:rFonts w:cs="Courier New"/>
                <w:b/>
                <w:sz w:val="18"/>
                <w:szCs w:val="18"/>
                <w:lang w:val="en-US"/>
              </w:rPr>
            </w:pPr>
            <w:r w:rsidRPr="00ED4D49">
              <w:rPr>
                <w:b/>
                <w:bCs/>
                <w:sz w:val="18"/>
                <w:szCs w:val="18"/>
                <w:lang w:val="en-US"/>
              </w:rPr>
              <w:t xml:space="preserve">ASSESSMENT: </w:t>
            </w:r>
            <w:r w:rsidR="003E1BF7" w:rsidRPr="00ED4D49">
              <w:rPr>
                <w:b/>
                <w:bCs/>
                <w:sz w:val="18"/>
                <w:szCs w:val="18"/>
                <w:lang w:val="en-US"/>
              </w:rPr>
              <w:t>Substantial risk</w:t>
            </w:r>
          </w:p>
        </w:tc>
        <w:tc>
          <w:tcPr>
            <w:tcW w:w="3260" w:type="dxa"/>
          </w:tcPr>
          <w:p w14:paraId="054D9681" w14:textId="77192AC8" w:rsidR="002B4463" w:rsidRPr="00ED4D49" w:rsidRDefault="002B4463" w:rsidP="00AA3733">
            <w:pPr>
              <w:rPr>
                <w:rFonts w:cs="Courier New"/>
                <w:sz w:val="18"/>
                <w:szCs w:val="18"/>
                <w:lang w:val="en-US"/>
              </w:rPr>
            </w:pPr>
            <w:r w:rsidRPr="00ED4D49">
              <w:rPr>
                <w:rFonts w:cs="Courier New"/>
                <w:b/>
                <w:bCs/>
                <w:sz w:val="18"/>
                <w:szCs w:val="18"/>
                <w:lang w:val="en-US"/>
              </w:rPr>
              <w:lastRenderedPageBreak/>
              <w:t>Mitigation measures:</w:t>
            </w:r>
            <w:r w:rsidRPr="00ED4D49">
              <w:rPr>
                <w:rFonts w:cs="Courier New"/>
                <w:sz w:val="18"/>
                <w:szCs w:val="18"/>
                <w:lang w:val="en-US"/>
              </w:rPr>
              <w:t xml:space="preserve"> the prepared generic ESMP and specific </w:t>
            </w:r>
            <w:r w:rsidR="00AA3733" w:rsidRPr="00ED4D49">
              <w:rPr>
                <w:rFonts w:cs="Courier New"/>
                <w:sz w:val="18"/>
                <w:szCs w:val="18"/>
                <w:lang w:val="en-US"/>
              </w:rPr>
              <w:t xml:space="preserve">SEP </w:t>
            </w:r>
            <w:r w:rsidRPr="00ED4D49">
              <w:rPr>
                <w:rFonts w:cs="Courier New"/>
                <w:sz w:val="18"/>
                <w:szCs w:val="18"/>
                <w:lang w:val="en-US"/>
              </w:rPr>
              <w:t xml:space="preserve">provides </w:t>
            </w:r>
            <w:r w:rsidR="00AA3733" w:rsidRPr="00ED4D49">
              <w:rPr>
                <w:rFonts w:cs="Courier New"/>
                <w:sz w:val="18"/>
                <w:szCs w:val="18"/>
                <w:lang w:val="en-US"/>
              </w:rPr>
              <w:t xml:space="preserve">specific </w:t>
            </w:r>
            <w:r w:rsidRPr="00ED4D49">
              <w:rPr>
                <w:rFonts w:cs="Courier New"/>
                <w:sz w:val="18"/>
                <w:szCs w:val="18"/>
                <w:lang w:val="en-US"/>
              </w:rPr>
              <w:t xml:space="preserve">mitigation measures and monitoring structure for </w:t>
            </w:r>
            <w:r w:rsidR="00AA3733" w:rsidRPr="00ED4D49">
              <w:rPr>
                <w:rFonts w:cs="Courier New"/>
                <w:sz w:val="18"/>
                <w:szCs w:val="18"/>
                <w:lang w:val="en-US"/>
              </w:rPr>
              <w:t xml:space="preserve">social risks, which will include proactive communication and </w:t>
            </w:r>
            <w:proofErr w:type="spellStart"/>
            <w:r w:rsidR="00AA3733" w:rsidRPr="00ED4D49">
              <w:rPr>
                <w:rFonts w:cs="Courier New"/>
                <w:sz w:val="18"/>
                <w:szCs w:val="18"/>
                <w:lang w:val="en-US"/>
              </w:rPr>
              <w:t>greviance</w:t>
            </w:r>
            <w:proofErr w:type="spellEnd"/>
            <w:r w:rsidR="00AA3733" w:rsidRPr="00ED4D49">
              <w:rPr>
                <w:rFonts w:cs="Courier New"/>
                <w:sz w:val="18"/>
                <w:szCs w:val="18"/>
                <w:lang w:val="en-US"/>
              </w:rPr>
              <w:t xml:space="preserve"> mechanism </w:t>
            </w:r>
            <w:proofErr w:type="spellStart"/>
            <w:r w:rsidR="00AA3733" w:rsidRPr="00ED4D49">
              <w:rPr>
                <w:rFonts w:cs="Courier New"/>
                <w:sz w:val="18"/>
                <w:szCs w:val="18"/>
                <w:lang w:val="en-US"/>
              </w:rPr>
              <w:t>managementy</w:t>
            </w:r>
            <w:proofErr w:type="spellEnd"/>
            <w:r w:rsidR="00AA3733" w:rsidRPr="00ED4D49">
              <w:rPr>
                <w:rFonts w:cs="Courier New"/>
                <w:sz w:val="18"/>
                <w:szCs w:val="18"/>
                <w:lang w:val="en-US"/>
              </w:rPr>
              <w:t xml:space="preserve">. </w:t>
            </w:r>
          </w:p>
          <w:p w14:paraId="124EB6BC" w14:textId="77777777" w:rsidR="00AA3733" w:rsidRPr="00ED4D49" w:rsidRDefault="00AA3733" w:rsidP="00AA3733">
            <w:pPr>
              <w:autoSpaceDE w:val="0"/>
              <w:autoSpaceDN w:val="0"/>
              <w:adjustRightInd w:val="0"/>
              <w:rPr>
                <w:rFonts w:cs="Courier New"/>
                <w:sz w:val="18"/>
                <w:szCs w:val="18"/>
                <w:lang w:val="en-US"/>
              </w:rPr>
            </w:pPr>
            <w:r w:rsidRPr="00ED4D49">
              <w:rPr>
                <w:rFonts w:cs="Arial"/>
                <w:sz w:val="18"/>
                <w:szCs w:val="18"/>
                <w:lang w:val="en-US"/>
              </w:rPr>
              <w:t>In addition, s</w:t>
            </w:r>
            <w:r w:rsidR="002B4463" w:rsidRPr="00ED4D49">
              <w:rPr>
                <w:rFonts w:cs="Arial"/>
                <w:sz w:val="18"/>
                <w:szCs w:val="18"/>
                <w:lang w:val="en-US"/>
              </w:rPr>
              <w:t xml:space="preserve">afety procedures must be observed by contractors during the construction work </w:t>
            </w:r>
            <w:r w:rsidRPr="00ED4D49">
              <w:rPr>
                <w:rFonts w:cs="Arial"/>
                <w:sz w:val="18"/>
                <w:szCs w:val="18"/>
                <w:lang w:val="en-US"/>
              </w:rPr>
              <w:t xml:space="preserve">and </w:t>
            </w:r>
            <w:r w:rsidR="002B4463" w:rsidRPr="00ED4D49">
              <w:rPr>
                <w:rFonts w:cs="Courier New"/>
                <w:sz w:val="18"/>
                <w:szCs w:val="18"/>
                <w:lang w:val="en-US"/>
              </w:rPr>
              <w:t xml:space="preserve">best practices for waste management and disposal, equipment maintained during construction, materials used, attested transportation vehicles; </w:t>
            </w:r>
            <w:r w:rsidR="002B4463" w:rsidRPr="00ED4D49">
              <w:rPr>
                <w:rFonts w:cs="Arial"/>
                <w:sz w:val="18"/>
                <w:szCs w:val="18"/>
                <w:lang w:val="en-US"/>
              </w:rPr>
              <w:t xml:space="preserve">the noise level will be controlled at all times and the activities will be controlled to avoid excessive disturbance </w:t>
            </w:r>
            <w:r w:rsidR="002B4463" w:rsidRPr="00ED4D49">
              <w:rPr>
                <w:rFonts w:cs="Courier New"/>
                <w:sz w:val="18"/>
                <w:szCs w:val="18"/>
                <w:lang w:val="en-US"/>
              </w:rPr>
              <w:t>as set out in the generic ESMP.</w:t>
            </w:r>
          </w:p>
          <w:p w14:paraId="1375BF31" w14:textId="5F4918F1" w:rsidR="002B4463" w:rsidRPr="00ED4D49" w:rsidRDefault="002B4463" w:rsidP="00190B9D">
            <w:pPr>
              <w:autoSpaceDE w:val="0"/>
              <w:autoSpaceDN w:val="0"/>
              <w:adjustRightInd w:val="0"/>
              <w:rPr>
                <w:b/>
                <w:sz w:val="18"/>
                <w:szCs w:val="18"/>
                <w:lang w:val="en-US"/>
              </w:rPr>
            </w:pPr>
            <w:r w:rsidRPr="00ED4D49">
              <w:rPr>
                <w:sz w:val="18"/>
                <w:szCs w:val="18"/>
                <w:lang w:val="en-US"/>
              </w:rPr>
              <w:t xml:space="preserve"> </w:t>
            </w:r>
          </w:p>
          <w:p w14:paraId="273485A8" w14:textId="77777777" w:rsidR="002B4463" w:rsidRPr="00ED4D49" w:rsidRDefault="002B4463" w:rsidP="002B4463">
            <w:pPr>
              <w:spacing w:before="60" w:after="60"/>
              <w:rPr>
                <w:rFonts w:cs="Courier New"/>
                <w:sz w:val="18"/>
                <w:szCs w:val="18"/>
                <w:lang w:val="en-US"/>
              </w:rPr>
            </w:pPr>
            <w:r w:rsidRPr="00ED4D49">
              <w:rPr>
                <w:rFonts w:cs="Courier New"/>
                <w:b/>
                <w:sz w:val="18"/>
                <w:szCs w:val="18"/>
                <w:lang w:val="en-US"/>
              </w:rPr>
              <w:t xml:space="preserve">Monitoring: </w:t>
            </w:r>
            <w:r w:rsidRPr="00ED4D49">
              <w:rPr>
                <w:rFonts w:cs="Courier New"/>
                <w:sz w:val="18"/>
                <w:szCs w:val="18"/>
                <w:lang w:val="en-US"/>
              </w:rPr>
              <w:t xml:space="preserve">By the BD IPIU </w:t>
            </w:r>
          </w:p>
          <w:p w14:paraId="0A96CDA1" w14:textId="77777777" w:rsidR="0044369A" w:rsidRPr="00ED4D49" w:rsidRDefault="0044369A" w:rsidP="006916BF">
            <w:pPr>
              <w:rPr>
                <w:rFonts w:cs="Courier New"/>
                <w:b/>
                <w:bCs/>
                <w:sz w:val="18"/>
                <w:szCs w:val="18"/>
                <w:lang w:val="en-US"/>
              </w:rPr>
            </w:pPr>
          </w:p>
        </w:tc>
      </w:tr>
      <w:tr w:rsidR="0044369A" w:rsidRPr="00ED4D49" w14:paraId="6140A842" w14:textId="77777777" w:rsidTr="00EB6464">
        <w:trPr>
          <w:trHeight w:val="557"/>
        </w:trPr>
        <w:tc>
          <w:tcPr>
            <w:tcW w:w="959" w:type="dxa"/>
          </w:tcPr>
          <w:p w14:paraId="401A8D7E" w14:textId="77777777" w:rsidR="0044369A" w:rsidRPr="00ED4D49" w:rsidRDefault="0044369A" w:rsidP="00EB6464">
            <w:pPr>
              <w:spacing w:before="60" w:after="60"/>
              <w:rPr>
                <w:sz w:val="18"/>
                <w:szCs w:val="18"/>
                <w:lang w:val="en-US"/>
              </w:rPr>
            </w:pPr>
          </w:p>
        </w:tc>
        <w:tc>
          <w:tcPr>
            <w:tcW w:w="2722" w:type="dxa"/>
          </w:tcPr>
          <w:p w14:paraId="55B2FDD4" w14:textId="77777777" w:rsidR="0044369A" w:rsidRPr="00ED4D49" w:rsidRDefault="0044369A" w:rsidP="00EB6464">
            <w:pPr>
              <w:spacing w:before="60" w:after="60"/>
              <w:rPr>
                <w:rFonts w:asciiTheme="minorHAnsi" w:hAnsiTheme="minorHAnsi"/>
                <w:color w:val="0D0D0D" w:themeColor="text1" w:themeTint="F2"/>
                <w:sz w:val="18"/>
                <w:szCs w:val="18"/>
                <w:lang w:val="en-US"/>
              </w:rPr>
            </w:pPr>
          </w:p>
        </w:tc>
        <w:tc>
          <w:tcPr>
            <w:tcW w:w="2835" w:type="dxa"/>
          </w:tcPr>
          <w:p w14:paraId="4EC08CCD" w14:textId="77777777" w:rsidR="0044369A" w:rsidRPr="00ED4D49" w:rsidRDefault="0044369A" w:rsidP="00EB6464">
            <w:pPr>
              <w:spacing w:before="60" w:after="60"/>
              <w:rPr>
                <w:rFonts w:asciiTheme="minorHAnsi" w:hAnsiTheme="minorHAnsi"/>
                <w:color w:val="0D0D0D" w:themeColor="text1" w:themeTint="F2"/>
                <w:sz w:val="18"/>
                <w:szCs w:val="18"/>
                <w:lang w:val="en-US"/>
              </w:rPr>
            </w:pPr>
          </w:p>
        </w:tc>
        <w:tc>
          <w:tcPr>
            <w:tcW w:w="4678" w:type="dxa"/>
          </w:tcPr>
          <w:p w14:paraId="4BE665B2" w14:textId="77777777" w:rsidR="0044369A" w:rsidRPr="00ED4D49" w:rsidRDefault="0044369A" w:rsidP="00EB6464">
            <w:pPr>
              <w:autoSpaceDE w:val="0"/>
              <w:autoSpaceDN w:val="0"/>
              <w:adjustRightInd w:val="0"/>
              <w:rPr>
                <w:rFonts w:cs="Courier New"/>
                <w:b/>
                <w:sz w:val="18"/>
                <w:szCs w:val="18"/>
                <w:lang w:val="en-US"/>
              </w:rPr>
            </w:pPr>
          </w:p>
        </w:tc>
        <w:tc>
          <w:tcPr>
            <w:tcW w:w="3260" w:type="dxa"/>
          </w:tcPr>
          <w:p w14:paraId="60D8339B" w14:textId="77777777" w:rsidR="0044369A" w:rsidRPr="00ED4D49" w:rsidRDefault="0044369A" w:rsidP="00EB6464">
            <w:pPr>
              <w:rPr>
                <w:rFonts w:cs="Courier New"/>
                <w:b/>
                <w:bCs/>
                <w:sz w:val="18"/>
                <w:szCs w:val="18"/>
                <w:lang w:val="en-US"/>
              </w:rPr>
            </w:pPr>
          </w:p>
        </w:tc>
      </w:tr>
      <w:tr w:rsidR="00E07AC6" w:rsidRPr="00ED4D49" w14:paraId="14FEE240" w14:textId="77777777" w:rsidTr="00E07AC6">
        <w:tc>
          <w:tcPr>
            <w:tcW w:w="959" w:type="dxa"/>
          </w:tcPr>
          <w:p w14:paraId="1FA4ED07" w14:textId="6D737033" w:rsidR="00E07AC6" w:rsidRPr="00ED4D49" w:rsidRDefault="00EB6464" w:rsidP="00E07AC6">
            <w:pPr>
              <w:spacing w:before="60" w:after="60"/>
              <w:rPr>
                <w:sz w:val="18"/>
                <w:szCs w:val="18"/>
                <w:lang w:val="en-US"/>
              </w:rPr>
            </w:pPr>
            <w:r w:rsidRPr="00ED4D49">
              <w:rPr>
                <w:sz w:val="18"/>
                <w:szCs w:val="18"/>
                <w:lang w:val="en-US"/>
              </w:rPr>
              <w:t>m</w:t>
            </w:r>
            <w:r w:rsidR="00E07AC6" w:rsidRPr="00ED4D49">
              <w:rPr>
                <w:sz w:val="18"/>
                <w:szCs w:val="18"/>
                <w:lang w:val="en-US"/>
              </w:rPr>
              <w:t>)</w:t>
            </w:r>
          </w:p>
        </w:tc>
        <w:tc>
          <w:tcPr>
            <w:tcW w:w="2722" w:type="dxa"/>
          </w:tcPr>
          <w:p w14:paraId="1525F6FE" w14:textId="4798B644" w:rsidR="00E07AC6" w:rsidRPr="00ED4D49" w:rsidRDefault="00E07AC6" w:rsidP="00E07AC6">
            <w:pPr>
              <w:spacing w:before="60" w:after="60"/>
              <w:rPr>
                <w:rFonts w:asciiTheme="minorHAnsi" w:hAnsiTheme="minorHAnsi"/>
                <w:color w:val="0D0D0D" w:themeColor="text1" w:themeTint="F2"/>
                <w:sz w:val="18"/>
                <w:szCs w:val="18"/>
                <w:lang w:val="en-US"/>
              </w:rPr>
            </w:pPr>
            <w:r w:rsidRPr="00ED4D49">
              <w:rPr>
                <w:rFonts w:asciiTheme="minorHAnsi" w:eastAsia="Times New Roman" w:hAnsiTheme="minorHAnsi" w:cstheme="minorHAnsi"/>
                <w:sz w:val="18"/>
                <w:szCs w:val="18"/>
                <w:lang w:val="en-US" w:eastAsia="zh-CN"/>
              </w:rPr>
              <w:t xml:space="preserve">Reforestation in torrent creeks basins - the </w:t>
            </w:r>
            <w:proofErr w:type="spellStart"/>
            <w:r w:rsidRPr="00ED4D49">
              <w:rPr>
                <w:rFonts w:asciiTheme="minorHAnsi" w:eastAsia="Times New Roman" w:hAnsiTheme="minorHAnsi" w:cstheme="minorHAnsi"/>
                <w:sz w:val="18"/>
                <w:szCs w:val="18"/>
                <w:lang w:val="en-US" w:eastAsia="zh-CN"/>
              </w:rPr>
              <w:t>Vrbanja</w:t>
            </w:r>
            <w:proofErr w:type="spellEnd"/>
            <w:r w:rsidRPr="00ED4D49">
              <w:rPr>
                <w:rFonts w:asciiTheme="minorHAnsi" w:eastAsia="Times New Roman" w:hAnsiTheme="minorHAnsi" w:cstheme="minorHAnsi"/>
                <w:sz w:val="18"/>
                <w:szCs w:val="18"/>
                <w:lang w:val="en-US" w:eastAsia="zh-CN"/>
              </w:rPr>
              <w:t xml:space="preserve"> River tributaries</w:t>
            </w:r>
          </w:p>
        </w:tc>
        <w:tc>
          <w:tcPr>
            <w:tcW w:w="2835" w:type="dxa"/>
            <w:vMerge w:val="restart"/>
          </w:tcPr>
          <w:p w14:paraId="6C8132C1" w14:textId="2547DF19" w:rsidR="00E07AC6" w:rsidRPr="00ED4D49" w:rsidRDefault="00E07AC6" w:rsidP="00E07AC6">
            <w:pPr>
              <w:spacing w:before="60" w:after="60"/>
              <w:rPr>
                <w:sz w:val="18"/>
                <w:szCs w:val="18"/>
                <w:lang w:val="en-US"/>
              </w:rPr>
            </w:pPr>
            <w:r w:rsidRPr="00ED4D49">
              <w:rPr>
                <w:sz w:val="18"/>
                <w:szCs w:val="18"/>
                <w:lang w:val="en-US"/>
              </w:rPr>
              <w:t xml:space="preserve">Actions on tree planting that will enhance status of natural assets in the Sava River Basin. </w:t>
            </w:r>
          </w:p>
        </w:tc>
        <w:tc>
          <w:tcPr>
            <w:tcW w:w="4678" w:type="dxa"/>
            <w:vMerge w:val="restart"/>
          </w:tcPr>
          <w:p w14:paraId="51468704" w14:textId="03307501" w:rsidR="00E07AC6" w:rsidRPr="00ED4D49" w:rsidRDefault="00E07AC6" w:rsidP="00E07AC6">
            <w:pPr>
              <w:spacing w:before="60" w:after="60"/>
              <w:rPr>
                <w:sz w:val="18"/>
                <w:szCs w:val="18"/>
                <w:lang w:val="en-US"/>
              </w:rPr>
            </w:pPr>
            <w:r w:rsidRPr="00ED4D49">
              <w:rPr>
                <w:sz w:val="18"/>
                <w:szCs w:val="18"/>
                <w:lang w:val="en-US"/>
              </w:rPr>
              <w:t xml:space="preserve">The activities on reforestation, energy plantations, nursery production and establishment of arboretum are </w:t>
            </w:r>
            <w:r w:rsidRPr="00ED4D49">
              <w:rPr>
                <w:b/>
                <w:bCs/>
                <w:sz w:val="18"/>
                <w:szCs w:val="18"/>
                <w:lang w:val="en-US"/>
              </w:rPr>
              <w:t>not expected to generate negative impacts on the environment</w:t>
            </w:r>
            <w:r w:rsidRPr="00ED4D49">
              <w:rPr>
                <w:sz w:val="18"/>
                <w:szCs w:val="18"/>
                <w:lang w:val="en-US"/>
              </w:rPr>
              <w:t xml:space="preserve">. On the contrary, such activities have a significant positive impact including stabilization of the </w:t>
            </w:r>
            <w:r w:rsidR="004C3C6A" w:rsidRPr="00ED4D49">
              <w:rPr>
                <w:sz w:val="18"/>
                <w:szCs w:val="18"/>
                <w:lang w:val="en-US"/>
              </w:rPr>
              <w:t>riverbanks</w:t>
            </w:r>
            <w:r w:rsidRPr="00ED4D49">
              <w:rPr>
                <w:sz w:val="18"/>
                <w:szCs w:val="18"/>
                <w:lang w:val="en-US"/>
              </w:rPr>
              <w:t xml:space="preserve">, reduction of air pollution, CO2 sequestration and production of oxygen. Younger plants are able to extract carbon from the air and incorporate it into their biomass more quickly than mature trees. Therefore, these activities will significantly contribute to tackling the climate change problem. </w:t>
            </w:r>
          </w:p>
          <w:p w14:paraId="19B6827E" w14:textId="77777777" w:rsidR="00E07AC6" w:rsidRPr="00ED4D49" w:rsidRDefault="00E07AC6" w:rsidP="00E07AC6">
            <w:pPr>
              <w:spacing w:before="60" w:after="60"/>
              <w:rPr>
                <w:sz w:val="18"/>
                <w:szCs w:val="18"/>
                <w:lang w:val="en-US"/>
              </w:rPr>
            </w:pPr>
          </w:p>
          <w:p w14:paraId="33851711" w14:textId="09B8CDAE" w:rsidR="00E07AC6" w:rsidRPr="00ED4D49" w:rsidRDefault="00E07AC6" w:rsidP="00E07AC6">
            <w:pPr>
              <w:autoSpaceDE w:val="0"/>
              <w:autoSpaceDN w:val="0"/>
              <w:adjustRightInd w:val="0"/>
              <w:rPr>
                <w:rFonts w:cs="Courier New"/>
                <w:b/>
                <w:sz w:val="18"/>
                <w:szCs w:val="18"/>
                <w:lang w:val="en-US"/>
              </w:rPr>
            </w:pPr>
            <w:r w:rsidRPr="00ED4D49">
              <w:rPr>
                <w:b/>
                <w:bCs/>
                <w:sz w:val="18"/>
                <w:szCs w:val="18"/>
                <w:lang w:val="en-US"/>
              </w:rPr>
              <w:t>ASSESSMENT: LOW RISK</w:t>
            </w:r>
          </w:p>
        </w:tc>
        <w:tc>
          <w:tcPr>
            <w:tcW w:w="3260" w:type="dxa"/>
            <w:vMerge w:val="restart"/>
          </w:tcPr>
          <w:p w14:paraId="13D2B1E2" w14:textId="11B73EA4" w:rsidR="00E07AC6" w:rsidRPr="00ED4D49" w:rsidRDefault="00E07AC6" w:rsidP="00E07AC6">
            <w:pPr>
              <w:rPr>
                <w:rFonts w:cs="Courier New"/>
                <w:b/>
                <w:bCs/>
                <w:sz w:val="18"/>
                <w:szCs w:val="18"/>
                <w:lang w:val="en-US"/>
              </w:rPr>
            </w:pPr>
            <w:r w:rsidRPr="00ED4D49">
              <w:rPr>
                <w:rFonts w:cs="Courier New"/>
                <w:b/>
                <w:bCs/>
                <w:sz w:val="18"/>
                <w:szCs w:val="18"/>
                <w:lang w:val="en-US"/>
              </w:rPr>
              <w:t>-</w:t>
            </w:r>
          </w:p>
        </w:tc>
      </w:tr>
      <w:tr w:rsidR="00E07AC6" w:rsidRPr="00ED4D49" w14:paraId="0989DB7E" w14:textId="77777777" w:rsidTr="00E07AC6">
        <w:tc>
          <w:tcPr>
            <w:tcW w:w="959" w:type="dxa"/>
          </w:tcPr>
          <w:p w14:paraId="6F6BCC44" w14:textId="00A43FE7" w:rsidR="00E07AC6" w:rsidRPr="00ED4D49" w:rsidRDefault="00EB6464" w:rsidP="00E07AC6">
            <w:pPr>
              <w:spacing w:before="60" w:after="60"/>
              <w:rPr>
                <w:sz w:val="18"/>
                <w:szCs w:val="18"/>
                <w:lang w:val="en-US"/>
              </w:rPr>
            </w:pPr>
            <w:r w:rsidRPr="00ED4D49">
              <w:rPr>
                <w:sz w:val="18"/>
                <w:szCs w:val="18"/>
                <w:lang w:val="en-US"/>
              </w:rPr>
              <w:t>n</w:t>
            </w:r>
            <w:r w:rsidR="00E07AC6" w:rsidRPr="00ED4D49">
              <w:rPr>
                <w:sz w:val="18"/>
                <w:szCs w:val="18"/>
                <w:lang w:val="en-US"/>
              </w:rPr>
              <w:t>)</w:t>
            </w:r>
          </w:p>
        </w:tc>
        <w:tc>
          <w:tcPr>
            <w:tcW w:w="2722" w:type="dxa"/>
          </w:tcPr>
          <w:p w14:paraId="158834C8" w14:textId="78E99191" w:rsidR="00E07AC6" w:rsidRPr="00ED4D49" w:rsidRDefault="00E07AC6" w:rsidP="00E07AC6">
            <w:pPr>
              <w:spacing w:before="60" w:after="60"/>
              <w:rPr>
                <w:rFonts w:asciiTheme="minorHAnsi" w:hAnsiTheme="minorHAnsi"/>
                <w:color w:val="0D0D0D" w:themeColor="text1" w:themeTint="F2"/>
                <w:sz w:val="18"/>
                <w:szCs w:val="18"/>
                <w:lang w:val="en-US"/>
              </w:rPr>
            </w:pPr>
            <w:r w:rsidRPr="00ED4D49">
              <w:rPr>
                <w:sz w:val="18"/>
                <w:szCs w:val="18"/>
                <w:lang w:val="en-US"/>
              </w:rPr>
              <w:t>Establishment of energy plantations and poplar plantations in the Sava and Vrbas River valleys inundation area (RS)</w:t>
            </w:r>
          </w:p>
        </w:tc>
        <w:tc>
          <w:tcPr>
            <w:tcW w:w="2835" w:type="dxa"/>
            <w:vMerge/>
          </w:tcPr>
          <w:p w14:paraId="255D9BAC" w14:textId="77777777" w:rsidR="00E07AC6" w:rsidRPr="00ED4D49" w:rsidRDefault="00E07AC6" w:rsidP="00E07AC6">
            <w:pPr>
              <w:spacing w:before="60" w:after="60"/>
              <w:rPr>
                <w:sz w:val="18"/>
                <w:szCs w:val="18"/>
                <w:lang w:val="en-US"/>
              </w:rPr>
            </w:pPr>
          </w:p>
        </w:tc>
        <w:tc>
          <w:tcPr>
            <w:tcW w:w="4678" w:type="dxa"/>
            <w:vMerge/>
          </w:tcPr>
          <w:p w14:paraId="1329E61C" w14:textId="77777777" w:rsidR="00E07AC6" w:rsidRPr="00ED4D49" w:rsidRDefault="00E07AC6" w:rsidP="00E07AC6">
            <w:pPr>
              <w:autoSpaceDE w:val="0"/>
              <w:autoSpaceDN w:val="0"/>
              <w:adjustRightInd w:val="0"/>
              <w:rPr>
                <w:rFonts w:cs="Courier New"/>
                <w:b/>
                <w:sz w:val="18"/>
                <w:szCs w:val="18"/>
                <w:lang w:val="en-US"/>
              </w:rPr>
            </w:pPr>
          </w:p>
        </w:tc>
        <w:tc>
          <w:tcPr>
            <w:tcW w:w="3260" w:type="dxa"/>
            <w:vMerge/>
          </w:tcPr>
          <w:p w14:paraId="496D84BB" w14:textId="77777777" w:rsidR="00E07AC6" w:rsidRPr="00ED4D49" w:rsidRDefault="00E07AC6" w:rsidP="00E07AC6">
            <w:pPr>
              <w:rPr>
                <w:rFonts w:cs="Courier New"/>
                <w:b/>
                <w:bCs/>
                <w:sz w:val="18"/>
                <w:szCs w:val="18"/>
                <w:lang w:val="en-US"/>
              </w:rPr>
            </w:pPr>
          </w:p>
        </w:tc>
      </w:tr>
      <w:tr w:rsidR="00E07AC6" w:rsidRPr="00ED4D49" w14:paraId="355FE572" w14:textId="77777777" w:rsidTr="00E07AC6">
        <w:tc>
          <w:tcPr>
            <w:tcW w:w="959" w:type="dxa"/>
          </w:tcPr>
          <w:p w14:paraId="6990E690" w14:textId="38343FA2" w:rsidR="00E07AC6" w:rsidRPr="00ED4D49" w:rsidRDefault="00EB6464" w:rsidP="00E07AC6">
            <w:pPr>
              <w:spacing w:before="60" w:after="60"/>
              <w:rPr>
                <w:sz w:val="18"/>
                <w:szCs w:val="18"/>
                <w:lang w:val="en-US"/>
              </w:rPr>
            </w:pPr>
            <w:r w:rsidRPr="00ED4D49">
              <w:rPr>
                <w:sz w:val="18"/>
                <w:szCs w:val="18"/>
                <w:lang w:val="en-US"/>
              </w:rPr>
              <w:t>o</w:t>
            </w:r>
            <w:r w:rsidR="00E07AC6" w:rsidRPr="00ED4D49">
              <w:rPr>
                <w:sz w:val="18"/>
                <w:szCs w:val="18"/>
                <w:lang w:val="en-US"/>
              </w:rPr>
              <w:t>)</w:t>
            </w:r>
          </w:p>
        </w:tc>
        <w:tc>
          <w:tcPr>
            <w:tcW w:w="2722" w:type="dxa"/>
          </w:tcPr>
          <w:p w14:paraId="76EA1998" w14:textId="33825453" w:rsidR="00E07AC6" w:rsidRPr="00ED4D49" w:rsidRDefault="00E07AC6" w:rsidP="00E07AC6">
            <w:pPr>
              <w:spacing w:before="60" w:after="60"/>
              <w:rPr>
                <w:rFonts w:asciiTheme="minorHAnsi" w:hAnsiTheme="minorHAnsi"/>
                <w:color w:val="0D0D0D" w:themeColor="text1" w:themeTint="F2"/>
                <w:sz w:val="18"/>
                <w:szCs w:val="18"/>
                <w:lang w:val="en-US"/>
              </w:rPr>
            </w:pPr>
            <w:r w:rsidRPr="00ED4D49">
              <w:rPr>
                <w:sz w:val="18"/>
                <w:szCs w:val="18"/>
                <w:lang w:val="en-US"/>
              </w:rPr>
              <w:t>Completion of works in Seeds and Seedlings Center - nursery production - Production of adjustable seedlings for the needs of reforestation in the Black Sea Basin (RS)</w:t>
            </w:r>
          </w:p>
        </w:tc>
        <w:tc>
          <w:tcPr>
            <w:tcW w:w="2835" w:type="dxa"/>
            <w:vMerge/>
          </w:tcPr>
          <w:p w14:paraId="0DE4E305" w14:textId="77777777" w:rsidR="00E07AC6" w:rsidRPr="00ED4D49" w:rsidRDefault="00E07AC6" w:rsidP="00E07AC6">
            <w:pPr>
              <w:spacing w:before="60" w:after="60"/>
              <w:rPr>
                <w:sz w:val="18"/>
                <w:szCs w:val="18"/>
                <w:lang w:val="en-US"/>
              </w:rPr>
            </w:pPr>
          </w:p>
        </w:tc>
        <w:tc>
          <w:tcPr>
            <w:tcW w:w="4678" w:type="dxa"/>
            <w:vMerge/>
          </w:tcPr>
          <w:p w14:paraId="20E5E19A" w14:textId="77777777" w:rsidR="00E07AC6" w:rsidRPr="00ED4D49" w:rsidRDefault="00E07AC6" w:rsidP="00E07AC6">
            <w:pPr>
              <w:autoSpaceDE w:val="0"/>
              <w:autoSpaceDN w:val="0"/>
              <w:adjustRightInd w:val="0"/>
              <w:rPr>
                <w:rFonts w:cs="Courier New"/>
                <w:b/>
                <w:sz w:val="18"/>
                <w:szCs w:val="18"/>
                <w:lang w:val="en-US"/>
              </w:rPr>
            </w:pPr>
          </w:p>
        </w:tc>
        <w:tc>
          <w:tcPr>
            <w:tcW w:w="3260" w:type="dxa"/>
            <w:vMerge/>
          </w:tcPr>
          <w:p w14:paraId="2E0C9FEC" w14:textId="77777777" w:rsidR="00E07AC6" w:rsidRPr="00ED4D49" w:rsidRDefault="00E07AC6" w:rsidP="00E07AC6">
            <w:pPr>
              <w:rPr>
                <w:rFonts w:cs="Courier New"/>
                <w:b/>
                <w:bCs/>
                <w:sz w:val="18"/>
                <w:szCs w:val="18"/>
                <w:lang w:val="en-US"/>
              </w:rPr>
            </w:pPr>
          </w:p>
        </w:tc>
      </w:tr>
      <w:tr w:rsidR="00E07AC6" w:rsidRPr="00ED4D49" w14:paraId="6C8D09F9" w14:textId="77777777" w:rsidTr="00E07AC6">
        <w:tc>
          <w:tcPr>
            <w:tcW w:w="959" w:type="dxa"/>
          </w:tcPr>
          <w:p w14:paraId="77DA18D3" w14:textId="477A04F7" w:rsidR="00E07AC6" w:rsidRPr="00ED4D49" w:rsidRDefault="00EB6464" w:rsidP="00E07AC6">
            <w:pPr>
              <w:spacing w:before="60" w:after="60"/>
              <w:rPr>
                <w:sz w:val="18"/>
                <w:szCs w:val="18"/>
                <w:lang w:val="en-US"/>
              </w:rPr>
            </w:pPr>
            <w:r w:rsidRPr="00ED4D49">
              <w:rPr>
                <w:sz w:val="18"/>
                <w:szCs w:val="18"/>
                <w:lang w:val="en-US"/>
              </w:rPr>
              <w:lastRenderedPageBreak/>
              <w:t>o</w:t>
            </w:r>
            <w:r w:rsidR="00E07AC6" w:rsidRPr="00ED4D49">
              <w:rPr>
                <w:sz w:val="18"/>
                <w:szCs w:val="18"/>
                <w:lang w:val="en-US"/>
              </w:rPr>
              <w:t>)</w:t>
            </w:r>
          </w:p>
        </w:tc>
        <w:tc>
          <w:tcPr>
            <w:tcW w:w="2722" w:type="dxa"/>
          </w:tcPr>
          <w:p w14:paraId="04F73C8F" w14:textId="29E9B651" w:rsidR="00E07AC6" w:rsidRPr="00ED4D49" w:rsidRDefault="00E07AC6" w:rsidP="00E07AC6">
            <w:pPr>
              <w:spacing w:before="60" w:after="60"/>
              <w:rPr>
                <w:rFonts w:asciiTheme="minorHAnsi" w:hAnsiTheme="minorHAnsi"/>
                <w:color w:val="0D0D0D" w:themeColor="text1" w:themeTint="F2"/>
                <w:sz w:val="18"/>
                <w:szCs w:val="18"/>
                <w:lang w:val="en-US"/>
              </w:rPr>
            </w:pPr>
            <w:r w:rsidRPr="00ED4D49">
              <w:rPr>
                <w:sz w:val="18"/>
                <w:szCs w:val="18"/>
                <w:lang w:val="en-US"/>
              </w:rPr>
              <w:t xml:space="preserve">Establishment of arboretum in Banja Luka (Section 68, </w:t>
            </w:r>
            <w:proofErr w:type="spellStart"/>
            <w:r w:rsidRPr="00ED4D49">
              <w:rPr>
                <w:sz w:val="18"/>
                <w:szCs w:val="18"/>
                <w:lang w:val="en-US"/>
              </w:rPr>
              <w:t>Crni</w:t>
            </w:r>
            <w:proofErr w:type="spellEnd"/>
            <w:r w:rsidRPr="00ED4D49">
              <w:rPr>
                <w:sz w:val="18"/>
                <w:szCs w:val="18"/>
                <w:lang w:val="en-US"/>
              </w:rPr>
              <w:t xml:space="preserve"> </w:t>
            </w:r>
            <w:proofErr w:type="spellStart"/>
            <w:r w:rsidRPr="00ED4D49">
              <w:rPr>
                <w:sz w:val="18"/>
                <w:szCs w:val="18"/>
                <w:lang w:val="en-US"/>
              </w:rPr>
              <w:t>Vrh</w:t>
            </w:r>
            <w:proofErr w:type="spellEnd"/>
            <w:r w:rsidRPr="00ED4D49">
              <w:rPr>
                <w:sz w:val="18"/>
                <w:szCs w:val="18"/>
                <w:lang w:val="en-US"/>
              </w:rPr>
              <w:t xml:space="preserve"> Unit) (RS)</w:t>
            </w:r>
          </w:p>
        </w:tc>
        <w:tc>
          <w:tcPr>
            <w:tcW w:w="2835" w:type="dxa"/>
            <w:vMerge/>
          </w:tcPr>
          <w:p w14:paraId="1BDAEEA0" w14:textId="77777777" w:rsidR="00E07AC6" w:rsidRPr="00ED4D49" w:rsidRDefault="00E07AC6" w:rsidP="00E07AC6">
            <w:pPr>
              <w:spacing w:before="60" w:after="60"/>
              <w:rPr>
                <w:sz w:val="18"/>
                <w:szCs w:val="18"/>
                <w:lang w:val="en-US"/>
              </w:rPr>
            </w:pPr>
          </w:p>
        </w:tc>
        <w:tc>
          <w:tcPr>
            <w:tcW w:w="4678" w:type="dxa"/>
            <w:vMerge/>
          </w:tcPr>
          <w:p w14:paraId="39013E33" w14:textId="77777777" w:rsidR="00E07AC6" w:rsidRPr="00ED4D49" w:rsidRDefault="00E07AC6" w:rsidP="00E07AC6">
            <w:pPr>
              <w:autoSpaceDE w:val="0"/>
              <w:autoSpaceDN w:val="0"/>
              <w:adjustRightInd w:val="0"/>
              <w:rPr>
                <w:rFonts w:cs="Courier New"/>
                <w:b/>
                <w:sz w:val="18"/>
                <w:szCs w:val="18"/>
                <w:lang w:val="en-US"/>
              </w:rPr>
            </w:pPr>
          </w:p>
        </w:tc>
        <w:tc>
          <w:tcPr>
            <w:tcW w:w="3260" w:type="dxa"/>
            <w:vMerge/>
          </w:tcPr>
          <w:p w14:paraId="7FBC0EB4" w14:textId="77777777" w:rsidR="00E07AC6" w:rsidRPr="00ED4D49" w:rsidRDefault="00E07AC6" w:rsidP="00E07AC6">
            <w:pPr>
              <w:rPr>
                <w:rFonts w:cs="Courier New"/>
                <w:b/>
                <w:bCs/>
                <w:sz w:val="18"/>
                <w:szCs w:val="18"/>
                <w:lang w:val="en-US"/>
              </w:rPr>
            </w:pPr>
          </w:p>
        </w:tc>
      </w:tr>
      <w:tr w:rsidR="005D5F75" w:rsidRPr="00ED4D49" w14:paraId="774CEB67" w14:textId="77777777" w:rsidTr="00E07AC6">
        <w:tc>
          <w:tcPr>
            <w:tcW w:w="959" w:type="dxa"/>
          </w:tcPr>
          <w:p w14:paraId="6E425F9E" w14:textId="5F464B36" w:rsidR="005D5F75" w:rsidRPr="00ED4D49" w:rsidRDefault="005D5F75" w:rsidP="00E07AC6">
            <w:pPr>
              <w:spacing w:before="60" w:after="60"/>
              <w:rPr>
                <w:sz w:val="18"/>
                <w:szCs w:val="18"/>
                <w:lang w:val="en-US"/>
              </w:rPr>
            </w:pPr>
            <w:r w:rsidRPr="00ED4D49">
              <w:rPr>
                <w:sz w:val="18"/>
                <w:szCs w:val="18"/>
                <w:lang w:val="en-US"/>
              </w:rPr>
              <w:t>p)</w:t>
            </w:r>
          </w:p>
        </w:tc>
        <w:tc>
          <w:tcPr>
            <w:tcW w:w="2722" w:type="dxa"/>
          </w:tcPr>
          <w:p w14:paraId="035B1F72" w14:textId="3F4B72B0" w:rsidR="005D5F75" w:rsidRPr="00ED4D49" w:rsidRDefault="005D5F75" w:rsidP="00190B9D">
            <w:pPr>
              <w:contextualSpacing/>
              <w:rPr>
                <w:rFonts w:asciiTheme="minorHAnsi" w:hAnsiTheme="minorHAnsi" w:cstheme="minorHAnsi"/>
                <w:color w:val="000000"/>
                <w:sz w:val="18"/>
                <w:szCs w:val="18"/>
                <w:lang w:val="en-US" w:eastAsia="bs-Latn-BA"/>
              </w:rPr>
            </w:pPr>
            <w:r w:rsidRPr="00ED4D49">
              <w:rPr>
                <w:rFonts w:asciiTheme="minorHAnsi" w:hAnsiTheme="minorHAnsi" w:cstheme="minorHAnsi"/>
                <w:color w:val="000000"/>
                <w:sz w:val="18"/>
                <w:szCs w:val="18"/>
                <w:lang w:val="en-US" w:eastAsia="bs-Latn-BA"/>
              </w:rPr>
              <w:t xml:space="preserve">Protection of Sava dykes in flood area in Central </w:t>
            </w:r>
            <w:proofErr w:type="spellStart"/>
            <w:r w:rsidRPr="00ED4D49">
              <w:rPr>
                <w:rFonts w:asciiTheme="minorHAnsi" w:hAnsiTheme="minorHAnsi" w:cstheme="minorHAnsi"/>
                <w:color w:val="000000"/>
                <w:sz w:val="18"/>
                <w:szCs w:val="18"/>
                <w:lang w:val="en-US" w:eastAsia="bs-Latn-BA"/>
              </w:rPr>
              <w:t>Posavina</w:t>
            </w:r>
            <w:proofErr w:type="spellEnd"/>
            <w:r w:rsidRPr="00ED4D49">
              <w:rPr>
                <w:rFonts w:asciiTheme="minorHAnsi" w:hAnsiTheme="minorHAnsi" w:cstheme="minorHAnsi"/>
                <w:color w:val="000000"/>
                <w:sz w:val="18"/>
                <w:szCs w:val="18"/>
                <w:lang w:val="en-US" w:eastAsia="bs-Latn-BA"/>
              </w:rPr>
              <w:t xml:space="preserve"> (FBiH) – 6 locations</w:t>
            </w:r>
          </w:p>
        </w:tc>
        <w:tc>
          <w:tcPr>
            <w:tcW w:w="2835" w:type="dxa"/>
            <w:vMerge w:val="restart"/>
          </w:tcPr>
          <w:p w14:paraId="59D21362" w14:textId="0251BAB8" w:rsidR="005D5F75" w:rsidRPr="00ED4D49" w:rsidRDefault="005D5F75" w:rsidP="00A45BCA">
            <w:pPr>
              <w:spacing w:before="60" w:after="60"/>
              <w:rPr>
                <w:sz w:val="18"/>
                <w:szCs w:val="18"/>
                <w:lang w:val="en-US"/>
              </w:rPr>
            </w:pPr>
            <w:r w:rsidRPr="00ED4D49">
              <w:rPr>
                <w:sz w:val="18"/>
                <w:szCs w:val="18"/>
                <w:lang w:val="en-US"/>
              </w:rPr>
              <w:t>Actions needed for flood protection, bank stabilization, dr</w:t>
            </w:r>
            <w:r w:rsidR="002D1E12" w:rsidRPr="00ED4D49">
              <w:rPr>
                <w:sz w:val="18"/>
                <w:szCs w:val="18"/>
                <w:lang w:val="en-US"/>
              </w:rPr>
              <w:t>ainage and river training works.</w:t>
            </w:r>
            <w:r w:rsidRPr="00ED4D49">
              <w:rPr>
                <w:sz w:val="18"/>
                <w:szCs w:val="18"/>
                <w:lang w:val="en-US"/>
              </w:rPr>
              <w:t xml:space="preserve"> This sub-component will finance selected priority investments in line with the project development objective</w:t>
            </w:r>
          </w:p>
        </w:tc>
        <w:tc>
          <w:tcPr>
            <w:tcW w:w="4678" w:type="dxa"/>
            <w:vMerge w:val="restart"/>
          </w:tcPr>
          <w:p w14:paraId="6799EDDD" w14:textId="77777777" w:rsidR="005D5F75" w:rsidRPr="00ED4D49" w:rsidRDefault="005D5F75" w:rsidP="00291D01">
            <w:pPr>
              <w:autoSpaceDE w:val="0"/>
              <w:autoSpaceDN w:val="0"/>
              <w:adjustRightInd w:val="0"/>
              <w:rPr>
                <w:rFonts w:cs="Courier New"/>
                <w:sz w:val="18"/>
                <w:szCs w:val="18"/>
                <w:lang w:val="en-US"/>
              </w:rPr>
            </w:pPr>
            <w:r w:rsidRPr="00ED4D49">
              <w:rPr>
                <w:rFonts w:cs="Courier New"/>
                <w:sz w:val="18"/>
                <w:szCs w:val="18"/>
                <w:lang w:val="en-US"/>
              </w:rPr>
              <w:t xml:space="preserve">Impacts: </w:t>
            </w:r>
            <w:r w:rsidRPr="00ED4D49">
              <w:rPr>
                <w:rFonts w:cs="Courier New"/>
                <w:i/>
                <w:iCs/>
                <w:sz w:val="18"/>
                <w:szCs w:val="18"/>
                <w:lang w:val="en-US"/>
              </w:rPr>
              <w:t>In the pre-construction phase</w:t>
            </w:r>
            <w:r w:rsidRPr="00ED4D49">
              <w:rPr>
                <w:rFonts w:cs="Courier New"/>
                <w:sz w:val="18"/>
                <w:szCs w:val="18"/>
                <w:lang w:val="en-US"/>
              </w:rPr>
              <w:t xml:space="preserve">, the identified social impact are related to possible acquisition of land at the locations of the works. </w:t>
            </w:r>
          </w:p>
          <w:p w14:paraId="17471CF7" w14:textId="52565495" w:rsidR="005D5F75" w:rsidRPr="00ED4D49" w:rsidRDefault="005D5F75" w:rsidP="00291D01">
            <w:pPr>
              <w:autoSpaceDE w:val="0"/>
              <w:autoSpaceDN w:val="0"/>
              <w:adjustRightInd w:val="0"/>
              <w:rPr>
                <w:rFonts w:cs="Courier New"/>
                <w:sz w:val="18"/>
                <w:szCs w:val="18"/>
                <w:lang w:val="en-US"/>
              </w:rPr>
            </w:pPr>
            <w:r w:rsidRPr="00ED4D49">
              <w:rPr>
                <w:rFonts w:cs="Courier New"/>
                <w:i/>
                <w:iCs/>
                <w:sz w:val="18"/>
                <w:szCs w:val="18"/>
                <w:lang w:val="en-US"/>
              </w:rPr>
              <w:t xml:space="preserve">In the construction phase, </w:t>
            </w:r>
            <w:r w:rsidRPr="00ED4D49">
              <w:rPr>
                <w:rFonts w:cs="Courier New"/>
                <w:sz w:val="18"/>
                <w:szCs w:val="18"/>
                <w:lang w:val="en-US"/>
              </w:rPr>
              <w:t xml:space="preserve">the social impacts are mainly related to community health and safety during construction; minor negative impacts could be expected through human presence and nature of construction works at site, which are limited to the location of works or its surrounding vicinity. Large influx of workers from outside communities is not expected. The regulation of riverbed and stabilization of active landslides envisioned within the project may have certain impacts on the environment/water resource during construction/reconstruction and removal of materials. </w:t>
            </w:r>
            <w:r w:rsidR="0033097E" w:rsidRPr="00ED4D49">
              <w:rPr>
                <w:rFonts w:cs="Courier New"/>
                <w:sz w:val="18"/>
                <w:szCs w:val="18"/>
                <w:lang w:val="en-US"/>
              </w:rPr>
              <w:t xml:space="preserve">Following the works on given sites, there are no anticipated changes in the overall flow patterns of the rivers. </w:t>
            </w:r>
            <w:r w:rsidRPr="00ED4D49">
              <w:rPr>
                <w:rFonts w:cs="Courier New"/>
                <w:sz w:val="18"/>
                <w:szCs w:val="18"/>
                <w:lang w:val="en-US"/>
              </w:rPr>
              <w:t xml:space="preserve">Analyses performed should provide best available materials for collection and separation of waste; impact of transporting the machinery to site; noise of construction; waste, noise, dirt and dust on the location and the access roads.  </w:t>
            </w:r>
          </w:p>
          <w:p w14:paraId="6CFD4810" w14:textId="77777777" w:rsidR="005D5F75" w:rsidRPr="00ED4D49" w:rsidRDefault="005D5F75" w:rsidP="00291D01">
            <w:pPr>
              <w:autoSpaceDE w:val="0"/>
              <w:autoSpaceDN w:val="0"/>
              <w:adjustRightInd w:val="0"/>
              <w:rPr>
                <w:rFonts w:cs="Courier New"/>
                <w:sz w:val="18"/>
                <w:szCs w:val="18"/>
                <w:lang w:val="en-US"/>
              </w:rPr>
            </w:pPr>
            <w:r w:rsidRPr="00ED4D49">
              <w:rPr>
                <w:rFonts w:cs="Courier New"/>
                <w:i/>
                <w:iCs/>
                <w:sz w:val="18"/>
                <w:szCs w:val="18"/>
                <w:lang w:val="en-US"/>
              </w:rPr>
              <w:t>In the</w:t>
            </w:r>
            <w:r w:rsidRPr="00ED4D49">
              <w:rPr>
                <w:rFonts w:cs="Courier New"/>
                <w:sz w:val="18"/>
                <w:szCs w:val="18"/>
                <w:lang w:val="en-US"/>
              </w:rPr>
              <w:t xml:space="preserve"> </w:t>
            </w:r>
            <w:r w:rsidRPr="00ED4D49">
              <w:rPr>
                <w:rFonts w:cs="Courier New"/>
                <w:i/>
                <w:iCs/>
                <w:sz w:val="18"/>
                <w:szCs w:val="18"/>
                <w:lang w:val="en-US"/>
              </w:rPr>
              <w:t>operational phase,</w:t>
            </w:r>
            <w:r w:rsidRPr="00ED4D49">
              <w:rPr>
                <w:rFonts w:cs="Courier New"/>
                <w:sz w:val="18"/>
                <w:szCs w:val="18"/>
                <w:lang w:val="en-US"/>
              </w:rPr>
              <w:t xml:space="preserve"> the expected impacts are mainly related to maintenance of these structures and have a similar effect on the environment as the construction works involve the presence of workers and machinery on the site</w:t>
            </w:r>
          </w:p>
          <w:p w14:paraId="4BC275BD" w14:textId="77777777" w:rsidR="007B1711" w:rsidRPr="00ED4D49" w:rsidRDefault="007B1711" w:rsidP="007B1711">
            <w:pPr>
              <w:autoSpaceDE w:val="0"/>
              <w:autoSpaceDN w:val="0"/>
              <w:adjustRightInd w:val="0"/>
              <w:rPr>
                <w:rFonts w:cs="Courier New"/>
                <w:sz w:val="18"/>
                <w:szCs w:val="18"/>
                <w:lang w:val="en-US"/>
              </w:rPr>
            </w:pPr>
            <w:r w:rsidRPr="00ED4D49">
              <w:rPr>
                <w:rFonts w:cs="Courier New"/>
                <w:b/>
                <w:bCs/>
                <w:sz w:val="18"/>
                <w:szCs w:val="18"/>
                <w:lang w:val="en-US"/>
              </w:rPr>
              <w:t>Likelihood:</w:t>
            </w:r>
            <w:r w:rsidRPr="00ED4D49">
              <w:rPr>
                <w:rFonts w:cs="Courier New"/>
                <w:sz w:val="18"/>
                <w:szCs w:val="18"/>
                <w:lang w:val="en-US"/>
              </w:rPr>
              <w:t xml:space="preserve"> Moderate </w:t>
            </w:r>
          </w:p>
          <w:p w14:paraId="7E2BAB19" w14:textId="77777777" w:rsidR="007B1711" w:rsidRPr="00ED4D49" w:rsidRDefault="007B1711" w:rsidP="007B1711">
            <w:pPr>
              <w:autoSpaceDE w:val="0"/>
              <w:autoSpaceDN w:val="0"/>
              <w:adjustRightInd w:val="0"/>
              <w:rPr>
                <w:rFonts w:cs="Courier New"/>
                <w:sz w:val="18"/>
                <w:szCs w:val="18"/>
                <w:lang w:val="en-US"/>
              </w:rPr>
            </w:pPr>
            <w:r w:rsidRPr="00ED4D49">
              <w:rPr>
                <w:rFonts w:cs="Courier New"/>
                <w:b/>
                <w:bCs/>
                <w:sz w:val="18"/>
                <w:szCs w:val="18"/>
                <w:lang w:val="en-US"/>
              </w:rPr>
              <w:t>Magnitude of consequence:</w:t>
            </w:r>
            <w:r w:rsidRPr="00ED4D49">
              <w:rPr>
                <w:rFonts w:cs="Courier New"/>
                <w:sz w:val="18"/>
                <w:szCs w:val="18"/>
                <w:lang w:val="en-US"/>
              </w:rPr>
              <w:t xml:space="preserve"> Moderate</w:t>
            </w:r>
          </w:p>
          <w:p w14:paraId="6B3E6E91" w14:textId="6C4FDD4F" w:rsidR="007B1711" w:rsidRPr="00ED4D49" w:rsidRDefault="007B1711" w:rsidP="007B1711">
            <w:pPr>
              <w:autoSpaceDE w:val="0"/>
              <w:autoSpaceDN w:val="0"/>
              <w:adjustRightInd w:val="0"/>
              <w:rPr>
                <w:rFonts w:cs="Courier New"/>
                <w:b/>
                <w:sz w:val="18"/>
                <w:szCs w:val="18"/>
                <w:lang w:val="en-US"/>
              </w:rPr>
            </w:pPr>
            <w:r w:rsidRPr="00ED4D49">
              <w:rPr>
                <w:rFonts w:cs="Courier New"/>
                <w:b/>
                <w:bCs/>
                <w:sz w:val="18"/>
                <w:szCs w:val="18"/>
                <w:lang w:val="en-US"/>
              </w:rPr>
              <w:lastRenderedPageBreak/>
              <w:t>ASSESSMENT: MODERATE RISK</w:t>
            </w:r>
          </w:p>
        </w:tc>
        <w:tc>
          <w:tcPr>
            <w:tcW w:w="3260" w:type="dxa"/>
            <w:vMerge w:val="restart"/>
          </w:tcPr>
          <w:p w14:paraId="474BFC74" w14:textId="77777777" w:rsidR="005D5F75" w:rsidRPr="00ED4D49" w:rsidRDefault="005D5F75" w:rsidP="005D5F75">
            <w:pPr>
              <w:rPr>
                <w:rFonts w:cs="Courier New"/>
                <w:b/>
                <w:bCs/>
                <w:sz w:val="18"/>
                <w:szCs w:val="18"/>
                <w:lang w:val="en-US"/>
              </w:rPr>
            </w:pPr>
            <w:r w:rsidRPr="00ED4D49">
              <w:rPr>
                <w:rFonts w:cs="Courier New"/>
                <w:b/>
                <w:bCs/>
                <w:sz w:val="18"/>
                <w:szCs w:val="18"/>
                <w:lang w:val="en-US"/>
              </w:rPr>
              <w:lastRenderedPageBreak/>
              <w:t xml:space="preserve">Mitigation measures: the prepared generic ESMP provides general mitigation measures and monitoring structure for construction works, and/or analyses that might take place within the projects’ implementation. </w:t>
            </w:r>
          </w:p>
          <w:p w14:paraId="4920D9D0" w14:textId="77777777" w:rsidR="005D5F75" w:rsidRPr="00ED4D49" w:rsidRDefault="005D5F75" w:rsidP="005D5F75">
            <w:pPr>
              <w:rPr>
                <w:rFonts w:cs="Courier New"/>
                <w:b/>
                <w:bCs/>
                <w:sz w:val="18"/>
                <w:szCs w:val="18"/>
                <w:lang w:val="en-US"/>
              </w:rPr>
            </w:pPr>
            <w:r w:rsidRPr="00ED4D49">
              <w:rPr>
                <w:rFonts w:cs="Courier New"/>
                <w:b/>
                <w:bCs/>
                <w:sz w:val="18"/>
                <w:szCs w:val="18"/>
                <w:lang w:val="en-US"/>
              </w:rPr>
              <w:t>Safety procedures must be observed by contractors during the construction work and removal of structures; construction best practices for waste management and disposal, equipment maintained during construction, materials used, attested transportation vehicles; the noise level will be controlled at all times and the activities will be controlled to avoid excessive disturbance as set out in the generic ESMP.</w:t>
            </w:r>
          </w:p>
          <w:p w14:paraId="0C50DB14" w14:textId="77777777" w:rsidR="005D5F75" w:rsidRPr="00ED4D49" w:rsidRDefault="005D5F75" w:rsidP="005D5F75">
            <w:pPr>
              <w:rPr>
                <w:rFonts w:cs="Courier New"/>
                <w:b/>
                <w:bCs/>
                <w:sz w:val="18"/>
                <w:szCs w:val="18"/>
                <w:lang w:val="en-US"/>
              </w:rPr>
            </w:pPr>
            <w:r w:rsidRPr="00ED4D49">
              <w:rPr>
                <w:rFonts w:cs="Courier New"/>
                <w:b/>
                <w:bCs/>
                <w:sz w:val="18"/>
                <w:szCs w:val="18"/>
                <w:lang w:val="en-US"/>
              </w:rPr>
              <w:t xml:space="preserve">As part of the due diligence of applying the ESMP, land ownership titles will be verified. In the event that any private land rights are identified, they will be compensated as appropriate under the RPF, with due consideration to the legacy of use. A project-specific action plan for resettlement will be prepared to mitigate this impact. </w:t>
            </w:r>
          </w:p>
          <w:p w14:paraId="552493F4" w14:textId="244204EF" w:rsidR="005D5F75" w:rsidRPr="00ED4D49" w:rsidRDefault="001C0200" w:rsidP="00E07AC6">
            <w:pPr>
              <w:rPr>
                <w:rFonts w:cs="Courier New"/>
                <w:b/>
                <w:bCs/>
                <w:sz w:val="18"/>
                <w:szCs w:val="18"/>
                <w:lang w:val="en-US"/>
              </w:rPr>
            </w:pPr>
            <w:r w:rsidRPr="00ED4D49">
              <w:rPr>
                <w:rFonts w:cs="Courier New"/>
                <w:b/>
                <w:bCs/>
                <w:sz w:val="18"/>
                <w:szCs w:val="18"/>
                <w:lang w:val="en-US"/>
              </w:rPr>
              <w:lastRenderedPageBreak/>
              <w:t>Monitoring: by the implementing agency</w:t>
            </w:r>
          </w:p>
        </w:tc>
      </w:tr>
      <w:tr w:rsidR="005D5F75" w:rsidRPr="00ED4D49" w14:paraId="3ADAC518" w14:textId="77777777" w:rsidTr="00E07AC6">
        <w:tc>
          <w:tcPr>
            <w:tcW w:w="959" w:type="dxa"/>
          </w:tcPr>
          <w:p w14:paraId="48DCA02B" w14:textId="35AA999E" w:rsidR="005D5F75" w:rsidRPr="00ED4D49" w:rsidRDefault="005D5F75" w:rsidP="00E07AC6">
            <w:pPr>
              <w:spacing w:before="60" w:after="60"/>
              <w:rPr>
                <w:sz w:val="18"/>
                <w:szCs w:val="18"/>
                <w:lang w:val="en-US"/>
              </w:rPr>
            </w:pPr>
            <w:r w:rsidRPr="00ED4D49">
              <w:rPr>
                <w:sz w:val="18"/>
                <w:szCs w:val="18"/>
                <w:lang w:val="en-US"/>
              </w:rPr>
              <w:t>r)</w:t>
            </w:r>
          </w:p>
        </w:tc>
        <w:tc>
          <w:tcPr>
            <w:tcW w:w="2722" w:type="dxa"/>
          </w:tcPr>
          <w:p w14:paraId="52F96C49" w14:textId="0DF9B2C2" w:rsidR="005D5F75" w:rsidRPr="00ED4D49" w:rsidRDefault="005D5F75" w:rsidP="00E07AC6">
            <w:pPr>
              <w:spacing w:before="60" w:after="60"/>
              <w:rPr>
                <w:sz w:val="18"/>
                <w:szCs w:val="18"/>
                <w:lang w:val="en-US"/>
              </w:rPr>
            </w:pPr>
            <w:r w:rsidRPr="00ED4D49">
              <w:rPr>
                <w:sz w:val="18"/>
                <w:szCs w:val="18"/>
                <w:lang w:val="en-US"/>
              </w:rPr>
              <w:t xml:space="preserve">Regulation of Bosna riverbed in </w:t>
            </w:r>
            <w:proofErr w:type="spellStart"/>
            <w:r w:rsidRPr="00ED4D49">
              <w:rPr>
                <w:sz w:val="18"/>
                <w:szCs w:val="18"/>
                <w:lang w:val="en-US"/>
              </w:rPr>
              <w:t>Sarajevsko</w:t>
            </w:r>
            <w:proofErr w:type="spellEnd"/>
            <w:r w:rsidRPr="00ED4D49">
              <w:rPr>
                <w:sz w:val="18"/>
                <w:szCs w:val="18"/>
                <w:lang w:val="en-US"/>
              </w:rPr>
              <w:t xml:space="preserve"> polje in the area of Municipality Novi Grad</w:t>
            </w:r>
          </w:p>
        </w:tc>
        <w:tc>
          <w:tcPr>
            <w:tcW w:w="2835" w:type="dxa"/>
            <w:vMerge/>
          </w:tcPr>
          <w:p w14:paraId="45BBFE1E" w14:textId="77777777" w:rsidR="005D5F75" w:rsidRPr="00ED4D49" w:rsidRDefault="005D5F75" w:rsidP="00E07AC6">
            <w:pPr>
              <w:spacing w:before="60" w:after="60"/>
              <w:rPr>
                <w:sz w:val="18"/>
                <w:szCs w:val="18"/>
                <w:lang w:val="en-US"/>
              </w:rPr>
            </w:pPr>
          </w:p>
        </w:tc>
        <w:tc>
          <w:tcPr>
            <w:tcW w:w="4678" w:type="dxa"/>
            <w:vMerge/>
          </w:tcPr>
          <w:p w14:paraId="58109752" w14:textId="77777777" w:rsidR="005D5F75" w:rsidRPr="00ED4D49" w:rsidRDefault="005D5F75" w:rsidP="00E07AC6">
            <w:pPr>
              <w:autoSpaceDE w:val="0"/>
              <w:autoSpaceDN w:val="0"/>
              <w:adjustRightInd w:val="0"/>
              <w:rPr>
                <w:rFonts w:cs="Courier New"/>
                <w:b/>
                <w:sz w:val="18"/>
                <w:szCs w:val="18"/>
                <w:lang w:val="en-US"/>
              </w:rPr>
            </w:pPr>
          </w:p>
        </w:tc>
        <w:tc>
          <w:tcPr>
            <w:tcW w:w="3260" w:type="dxa"/>
            <w:vMerge/>
          </w:tcPr>
          <w:p w14:paraId="0F89F723" w14:textId="77777777" w:rsidR="005D5F75" w:rsidRPr="00ED4D49" w:rsidRDefault="005D5F75" w:rsidP="00E07AC6">
            <w:pPr>
              <w:rPr>
                <w:rFonts w:cs="Courier New"/>
                <w:b/>
                <w:bCs/>
                <w:sz w:val="18"/>
                <w:szCs w:val="18"/>
                <w:lang w:val="en-US"/>
              </w:rPr>
            </w:pPr>
          </w:p>
        </w:tc>
      </w:tr>
      <w:tr w:rsidR="005D5F75" w:rsidRPr="00ED4D49" w14:paraId="5E154FD9" w14:textId="77777777" w:rsidTr="00E07AC6">
        <w:tc>
          <w:tcPr>
            <w:tcW w:w="959" w:type="dxa"/>
          </w:tcPr>
          <w:p w14:paraId="7B17023A" w14:textId="6CD424A1" w:rsidR="005D5F75" w:rsidRPr="00ED4D49" w:rsidRDefault="005D5F75" w:rsidP="00E07AC6">
            <w:pPr>
              <w:spacing w:before="60" w:after="60"/>
              <w:rPr>
                <w:sz w:val="18"/>
                <w:szCs w:val="18"/>
                <w:lang w:val="en-US"/>
              </w:rPr>
            </w:pPr>
            <w:r w:rsidRPr="00ED4D49">
              <w:rPr>
                <w:sz w:val="18"/>
                <w:szCs w:val="18"/>
                <w:lang w:val="en-US"/>
              </w:rPr>
              <w:t>s)</w:t>
            </w:r>
          </w:p>
        </w:tc>
        <w:tc>
          <w:tcPr>
            <w:tcW w:w="2722" w:type="dxa"/>
          </w:tcPr>
          <w:p w14:paraId="3CBD57F1" w14:textId="2887CAD1" w:rsidR="005D5F75" w:rsidRPr="00ED4D49" w:rsidRDefault="005D5F75" w:rsidP="00E07AC6">
            <w:pPr>
              <w:spacing w:before="60" w:after="60"/>
              <w:rPr>
                <w:sz w:val="18"/>
                <w:szCs w:val="18"/>
                <w:lang w:val="en-US"/>
              </w:rPr>
            </w:pPr>
            <w:r w:rsidRPr="00ED4D49">
              <w:rPr>
                <w:sz w:val="18"/>
                <w:szCs w:val="18"/>
                <w:lang w:val="en-US"/>
              </w:rPr>
              <w:t xml:space="preserve">Regulation of Bosna riverbed from bridge in </w:t>
            </w:r>
            <w:proofErr w:type="spellStart"/>
            <w:r w:rsidRPr="00ED4D49">
              <w:rPr>
                <w:sz w:val="18"/>
                <w:szCs w:val="18"/>
                <w:lang w:val="en-US"/>
              </w:rPr>
              <w:t>Svrake</w:t>
            </w:r>
            <w:proofErr w:type="spellEnd"/>
            <w:r w:rsidRPr="00ED4D49">
              <w:rPr>
                <w:sz w:val="18"/>
                <w:szCs w:val="18"/>
                <w:lang w:val="en-US"/>
              </w:rPr>
              <w:t>, upstream</w:t>
            </w:r>
          </w:p>
        </w:tc>
        <w:tc>
          <w:tcPr>
            <w:tcW w:w="2835" w:type="dxa"/>
            <w:vMerge/>
          </w:tcPr>
          <w:p w14:paraId="46E38F8B" w14:textId="77777777" w:rsidR="005D5F75" w:rsidRPr="00ED4D49" w:rsidRDefault="005D5F75" w:rsidP="00E07AC6">
            <w:pPr>
              <w:spacing w:before="60" w:after="60"/>
              <w:rPr>
                <w:sz w:val="18"/>
                <w:szCs w:val="18"/>
                <w:lang w:val="en-US"/>
              </w:rPr>
            </w:pPr>
          </w:p>
        </w:tc>
        <w:tc>
          <w:tcPr>
            <w:tcW w:w="4678" w:type="dxa"/>
            <w:vMerge/>
          </w:tcPr>
          <w:p w14:paraId="23069CEB" w14:textId="77777777" w:rsidR="005D5F75" w:rsidRPr="00ED4D49" w:rsidRDefault="005D5F75" w:rsidP="00E07AC6">
            <w:pPr>
              <w:autoSpaceDE w:val="0"/>
              <w:autoSpaceDN w:val="0"/>
              <w:adjustRightInd w:val="0"/>
              <w:rPr>
                <w:rFonts w:cs="Courier New"/>
                <w:b/>
                <w:sz w:val="18"/>
                <w:szCs w:val="18"/>
                <w:lang w:val="en-US"/>
              </w:rPr>
            </w:pPr>
          </w:p>
        </w:tc>
        <w:tc>
          <w:tcPr>
            <w:tcW w:w="3260" w:type="dxa"/>
            <w:vMerge/>
          </w:tcPr>
          <w:p w14:paraId="4FBE998B" w14:textId="77777777" w:rsidR="005D5F75" w:rsidRPr="00ED4D49" w:rsidRDefault="005D5F75" w:rsidP="00E07AC6">
            <w:pPr>
              <w:rPr>
                <w:rFonts w:cs="Courier New"/>
                <w:b/>
                <w:bCs/>
                <w:sz w:val="18"/>
                <w:szCs w:val="18"/>
                <w:lang w:val="en-US"/>
              </w:rPr>
            </w:pPr>
          </w:p>
        </w:tc>
      </w:tr>
      <w:tr w:rsidR="005D5F75" w:rsidRPr="00ED4D49" w14:paraId="70D99541" w14:textId="77777777" w:rsidTr="00E07AC6">
        <w:tc>
          <w:tcPr>
            <w:tcW w:w="959" w:type="dxa"/>
          </w:tcPr>
          <w:p w14:paraId="72A51650" w14:textId="218E135A" w:rsidR="005D5F75" w:rsidRPr="00ED4D49" w:rsidRDefault="005D5F75" w:rsidP="00E07AC6">
            <w:pPr>
              <w:spacing w:before="60" w:after="60"/>
              <w:rPr>
                <w:sz w:val="18"/>
                <w:szCs w:val="18"/>
                <w:lang w:val="en-US"/>
              </w:rPr>
            </w:pPr>
            <w:r w:rsidRPr="00ED4D49">
              <w:rPr>
                <w:sz w:val="18"/>
                <w:szCs w:val="18"/>
                <w:lang w:val="en-US"/>
              </w:rPr>
              <w:t>t)</w:t>
            </w:r>
          </w:p>
        </w:tc>
        <w:tc>
          <w:tcPr>
            <w:tcW w:w="2722" w:type="dxa"/>
          </w:tcPr>
          <w:p w14:paraId="4255FD23" w14:textId="1194F052" w:rsidR="005D5F75" w:rsidRPr="00ED4D49" w:rsidRDefault="005D5F75" w:rsidP="00E07AC6">
            <w:pPr>
              <w:spacing w:before="60" w:after="60"/>
              <w:rPr>
                <w:sz w:val="18"/>
                <w:szCs w:val="18"/>
                <w:lang w:val="en-US"/>
              </w:rPr>
            </w:pPr>
            <w:r w:rsidRPr="00ED4D49">
              <w:rPr>
                <w:sz w:val="18"/>
                <w:szCs w:val="18"/>
                <w:lang w:val="en-US"/>
              </w:rPr>
              <w:t xml:space="preserve">Regulation of river </w:t>
            </w:r>
            <w:proofErr w:type="spellStart"/>
            <w:r w:rsidRPr="00ED4D49">
              <w:rPr>
                <w:sz w:val="18"/>
                <w:szCs w:val="18"/>
                <w:lang w:val="en-US"/>
              </w:rPr>
              <w:t>Zeljeznica</w:t>
            </w:r>
            <w:proofErr w:type="spellEnd"/>
            <w:r w:rsidRPr="00ED4D49">
              <w:rPr>
                <w:sz w:val="18"/>
                <w:szCs w:val="18"/>
                <w:lang w:val="en-US"/>
              </w:rPr>
              <w:t xml:space="preserve"> from the bridge in </w:t>
            </w:r>
            <w:proofErr w:type="spellStart"/>
            <w:r w:rsidRPr="00ED4D49">
              <w:rPr>
                <w:sz w:val="18"/>
                <w:szCs w:val="18"/>
                <w:lang w:val="en-US"/>
              </w:rPr>
              <w:t>Butmir</w:t>
            </w:r>
            <w:proofErr w:type="spellEnd"/>
            <w:r w:rsidRPr="00ED4D49">
              <w:rPr>
                <w:sz w:val="18"/>
                <w:szCs w:val="18"/>
                <w:lang w:val="en-US"/>
              </w:rPr>
              <w:t xml:space="preserve"> to entity border in </w:t>
            </w:r>
            <w:proofErr w:type="spellStart"/>
            <w:r w:rsidRPr="00ED4D49">
              <w:rPr>
                <w:sz w:val="18"/>
                <w:szCs w:val="18"/>
                <w:lang w:val="en-US"/>
              </w:rPr>
              <w:t>Vojkovici</w:t>
            </w:r>
            <w:proofErr w:type="spellEnd"/>
            <w:r w:rsidRPr="00ED4D49">
              <w:rPr>
                <w:sz w:val="18"/>
                <w:szCs w:val="18"/>
                <w:lang w:val="en-US"/>
              </w:rPr>
              <w:t>.</w:t>
            </w:r>
          </w:p>
        </w:tc>
        <w:tc>
          <w:tcPr>
            <w:tcW w:w="2835" w:type="dxa"/>
            <w:vMerge/>
          </w:tcPr>
          <w:p w14:paraId="77DD0E24" w14:textId="77777777" w:rsidR="005D5F75" w:rsidRPr="00ED4D49" w:rsidRDefault="005D5F75" w:rsidP="00E07AC6">
            <w:pPr>
              <w:spacing w:before="60" w:after="60"/>
              <w:rPr>
                <w:sz w:val="18"/>
                <w:szCs w:val="18"/>
                <w:lang w:val="en-US"/>
              </w:rPr>
            </w:pPr>
          </w:p>
        </w:tc>
        <w:tc>
          <w:tcPr>
            <w:tcW w:w="4678" w:type="dxa"/>
            <w:vMerge/>
          </w:tcPr>
          <w:p w14:paraId="76746087" w14:textId="77777777" w:rsidR="005D5F75" w:rsidRPr="00ED4D49" w:rsidRDefault="005D5F75" w:rsidP="00E07AC6">
            <w:pPr>
              <w:autoSpaceDE w:val="0"/>
              <w:autoSpaceDN w:val="0"/>
              <w:adjustRightInd w:val="0"/>
              <w:rPr>
                <w:rFonts w:cs="Courier New"/>
                <w:b/>
                <w:sz w:val="18"/>
                <w:szCs w:val="18"/>
                <w:lang w:val="en-US"/>
              </w:rPr>
            </w:pPr>
          </w:p>
        </w:tc>
        <w:tc>
          <w:tcPr>
            <w:tcW w:w="3260" w:type="dxa"/>
            <w:vMerge/>
          </w:tcPr>
          <w:p w14:paraId="69A81925" w14:textId="77777777" w:rsidR="005D5F75" w:rsidRPr="00ED4D49" w:rsidRDefault="005D5F75" w:rsidP="00E07AC6">
            <w:pPr>
              <w:rPr>
                <w:rFonts w:cs="Courier New"/>
                <w:b/>
                <w:bCs/>
                <w:sz w:val="18"/>
                <w:szCs w:val="18"/>
                <w:lang w:val="en-US"/>
              </w:rPr>
            </w:pPr>
          </w:p>
        </w:tc>
      </w:tr>
      <w:tr w:rsidR="005D5F75" w:rsidRPr="00ED4D49" w14:paraId="672B0C7D" w14:textId="77777777" w:rsidTr="00E07AC6">
        <w:tc>
          <w:tcPr>
            <w:tcW w:w="959" w:type="dxa"/>
          </w:tcPr>
          <w:p w14:paraId="4C06F67B" w14:textId="628915AC" w:rsidR="005D5F75" w:rsidRPr="00ED4D49" w:rsidRDefault="005D5F75" w:rsidP="00E07AC6">
            <w:pPr>
              <w:spacing w:before="60" w:after="60"/>
              <w:rPr>
                <w:sz w:val="18"/>
                <w:szCs w:val="18"/>
                <w:lang w:val="en-US"/>
              </w:rPr>
            </w:pPr>
            <w:r w:rsidRPr="00ED4D49">
              <w:rPr>
                <w:sz w:val="18"/>
                <w:szCs w:val="18"/>
                <w:lang w:val="en-US"/>
              </w:rPr>
              <w:t>u)</w:t>
            </w:r>
          </w:p>
        </w:tc>
        <w:tc>
          <w:tcPr>
            <w:tcW w:w="2722" w:type="dxa"/>
          </w:tcPr>
          <w:p w14:paraId="422AA94C" w14:textId="2AD906ED" w:rsidR="005D5F75" w:rsidRPr="00ED4D49" w:rsidRDefault="005D5F75" w:rsidP="00E07AC6">
            <w:pPr>
              <w:spacing w:before="60" w:after="60"/>
              <w:rPr>
                <w:sz w:val="18"/>
                <w:szCs w:val="18"/>
                <w:lang w:val="en-US"/>
              </w:rPr>
            </w:pPr>
            <w:r w:rsidRPr="00ED4D49">
              <w:rPr>
                <w:sz w:val="18"/>
                <w:szCs w:val="18"/>
                <w:lang w:val="en-US"/>
              </w:rPr>
              <w:t xml:space="preserve">Regulation of river </w:t>
            </w:r>
            <w:proofErr w:type="spellStart"/>
            <w:r w:rsidRPr="00ED4D49">
              <w:rPr>
                <w:sz w:val="18"/>
                <w:szCs w:val="18"/>
                <w:lang w:val="en-US"/>
              </w:rPr>
              <w:t>Zeljeznica</w:t>
            </w:r>
            <w:proofErr w:type="spellEnd"/>
            <w:r w:rsidRPr="00ED4D49">
              <w:rPr>
                <w:sz w:val="18"/>
                <w:szCs w:val="18"/>
                <w:lang w:val="en-US"/>
              </w:rPr>
              <w:t xml:space="preserve"> from the bridge on the western entrance to the town in </w:t>
            </w:r>
            <w:proofErr w:type="spellStart"/>
            <w:r w:rsidRPr="00ED4D49">
              <w:rPr>
                <w:sz w:val="18"/>
                <w:szCs w:val="18"/>
                <w:lang w:val="en-US"/>
              </w:rPr>
              <w:t>Otes</w:t>
            </w:r>
            <w:proofErr w:type="spellEnd"/>
            <w:r w:rsidRPr="00ED4D49">
              <w:rPr>
                <w:sz w:val="18"/>
                <w:szCs w:val="18"/>
                <w:lang w:val="en-US"/>
              </w:rPr>
              <w:t xml:space="preserve"> to the estuary into river Bosna</w:t>
            </w:r>
          </w:p>
        </w:tc>
        <w:tc>
          <w:tcPr>
            <w:tcW w:w="2835" w:type="dxa"/>
            <w:vMerge/>
          </w:tcPr>
          <w:p w14:paraId="79AD8F90" w14:textId="77777777" w:rsidR="005D5F75" w:rsidRPr="00ED4D49" w:rsidRDefault="005D5F75" w:rsidP="00E07AC6">
            <w:pPr>
              <w:spacing w:before="60" w:after="60"/>
              <w:rPr>
                <w:sz w:val="18"/>
                <w:szCs w:val="18"/>
                <w:lang w:val="en-US"/>
              </w:rPr>
            </w:pPr>
          </w:p>
        </w:tc>
        <w:tc>
          <w:tcPr>
            <w:tcW w:w="4678" w:type="dxa"/>
            <w:vMerge/>
          </w:tcPr>
          <w:p w14:paraId="1269880B" w14:textId="77777777" w:rsidR="005D5F75" w:rsidRPr="00ED4D49" w:rsidRDefault="005D5F75" w:rsidP="00E07AC6">
            <w:pPr>
              <w:autoSpaceDE w:val="0"/>
              <w:autoSpaceDN w:val="0"/>
              <w:adjustRightInd w:val="0"/>
              <w:rPr>
                <w:rFonts w:cs="Courier New"/>
                <w:b/>
                <w:sz w:val="18"/>
                <w:szCs w:val="18"/>
                <w:lang w:val="en-US"/>
              </w:rPr>
            </w:pPr>
          </w:p>
        </w:tc>
        <w:tc>
          <w:tcPr>
            <w:tcW w:w="3260" w:type="dxa"/>
            <w:vMerge/>
          </w:tcPr>
          <w:p w14:paraId="7594C3DE" w14:textId="77777777" w:rsidR="005D5F75" w:rsidRPr="00ED4D49" w:rsidRDefault="005D5F75" w:rsidP="00E07AC6">
            <w:pPr>
              <w:rPr>
                <w:rFonts w:cs="Courier New"/>
                <w:b/>
                <w:bCs/>
                <w:sz w:val="18"/>
                <w:szCs w:val="18"/>
                <w:lang w:val="en-US"/>
              </w:rPr>
            </w:pPr>
          </w:p>
        </w:tc>
      </w:tr>
      <w:tr w:rsidR="005D5F75" w:rsidRPr="00ED4D49" w14:paraId="7DB8E6D4" w14:textId="77777777" w:rsidTr="00E07AC6">
        <w:tc>
          <w:tcPr>
            <w:tcW w:w="959" w:type="dxa"/>
          </w:tcPr>
          <w:p w14:paraId="798B0687" w14:textId="4011473E" w:rsidR="005D5F75" w:rsidRPr="00ED4D49" w:rsidRDefault="005D5F75" w:rsidP="00E07AC6">
            <w:pPr>
              <w:spacing w:before="60" w:after="60"/>
              <w:rPr>
                <w:sz w:val="18"/>
                <w:szCs w:val="18"/>
                <w:lang w:val="en-US"/>
              </w:rPr>
            </w:pPr>
            <w:r w:rsidRPr="00ED4D49">
              <w:rPr>
                <w:sz w:val="18"/>
                <w:szCs w:val="18"/>
                <w:lang w:val="en-US"/>
              </w:rPr>
              <w:t>v)</w:t>
            </w:r>
          </w:p>
        </w:tc>
        <w:tc>
          <w:tcPr>
            <w:tcW w:w="2722" w:type="dxa"/>
          </w:tcPr>
          <w:p w14:paraId="65865131" w14:textId="65A26FF8" w:rsidR="005D5F75" w:rsidRPr="00ED4D49" w:rsidRDefault="005D5F75" w:rsidP="00E07AC6">
            <w:pPr>
              <w:spacing w:before="60" w:after="60"/>
              <w:rPr>
                <w:sz w:val="18"/>
                <w:szCs w:val="18"/>
                <w:lang w:val="en-US"/>
              </w:rPr>
            </w:pPr>
            <w:r w:rsidRPr="00ED4D49">
              <w:rPr>
                <w:sz w:val="18"/>
                <w:szCs w:val="18"/>
                <w:lang w:val="en-US"/>
              </w:rPr>
              <w:t xml:space="preserve">Rehabilitation of </w:t>
            </w:r>
            <w:proofErr w:type="spellStart"/>
            <w:r w:rsidRPr="00ED4D49">
              <w:rPr>
                <w:sz w:val="18"/>
                <w:szCs w:val="18"/>
                <w:lang w:val="en-US"/>
              </w:rPr>
              <w:t>Modrac</w:t>
            </w:r>
            <w:proofErr w:type="spellEnd"/>
            <w:r w:rsidRPr="00ED4D49">
              <w:rPr>
                <w:sz w:val="18"/>
                <w:szCs w:val="18"/>
                <w:lang w:val="en-US"/>
              </w:rPr>
              <w:t xml:space="preserve"> lake dam – IV phase</w:t>
            </w:r>
          </w:p>
        </w:tc>
        <w:tc>
          <w:tcPr>
            <w:tcW w:w="2835" w:type="dxa"/>
          </w:tcPr>
          <w:p w14:paraId="6CE5B138" w14:textId="0D7BCB48" w:rsidR="005D5F75" w:rsidRPr="00ED4D49" w:rsidRDefault="005D5F75" w:rsidP="00E07AC6">
            <w:pPr>
              <w:spacing w:before="60" w:after="60"/>
              <w:rPr>
                <w:sz w:val="18"/>
                <w:szCs w:val="18"/>
                <w:lang w:val="bs-Latn-BA"/>
              </w:rPr>
            </w:pPr>
            <w:r w:rsidRPr="00ED4D49">
              <w:rPr>
                <w:sz w:val="18"/>
                <w:szCs w:val="18"/>
                <w:lang w:val="en"/>
              </w:rPr>
              <w:t>Works will be performed only on part of the dam as part of the already existing reconstruction process</w:t>
            </w:r>
            <w:r w:rsidR="0033097E" w:rsidRPr="00ED4D49">
              <w:rPr>
                <w:sz w:val="18"/>
                <w:szCs w:val="18"/>
                <w:lang w:val="en"/>
              </w:rPr>
              <w:t xml:space="preserve">, nonetheless the works will be carried out in line with ESS4 and the provisions on dam safety </w:t>
            </w:r>
            <w:proofErr w:type="gramStart"/>
            <w:r w:rsidR="0033097E" w:rsidRPr="00ED4D49">
              <w:rPr>
                <w:sz w:val="18"/>
                <w:szCs w:val="18"/>
                <w:lang w:val="en"/>
              </w:rPr>
              <w:t>there</w:t>
            </w:r>
            <w:proofErr w:type="gramEnd"/>
            <w:r w:rsidR="0033097E" w:rsidRPr="00ED4D49">
              <w:rPr>
                <w:sz w:val="18"/>
                <w:szCs w:val="18"/>
                <w:lang w:val="en"/>
              </w:rPr>
              <w:t xml:space="preserve"> in. </w:t>
            </w:r>
          </w:p>
        </w:tc>
        <w:tc>
          <w:tcPr>
            <w:tcW w:w="4678" w:type="dxa"/>
            <w:vMerge/>
          </w:tcPr>
          <w:p w14:paraId="42CCAB2D" w14:textId="77777777" w:rsidR="005D5F75" w:rsidRPr="00ED4D49" w:rsidRDefault="005D5F75" w:rsidP="00E07AC6">
            <w:pPr>
              <w:autoSpaceDE w:val="0"/>
              <w:autoSpaceDN w:val="0"/>
              <w:adjustRightInd w:val="0"/>
              <w:rPr>
                <w:rFonts w:cs="Courier New"/>
                <w:b/>
                <w:sz w:val="18"/>
                <w:szCs w:val="18"/>
                <w:lang w:val="en-US"/>
              </w:rPr>
            </w:pPr>
          </w:p>
        </w:tc>
        <w:tc>
          <w:tcPr>
            <w:tcW w:w="3260" w:type="dxa"/>
            <w:vMerge/>
          </w:tcPr>
          <w:p w14:paraId="40CFC4AD" w14:textId="77777777" w:rsidR="005D5F75" w:rsidRPr="00ED4D49" w:rsidRDefault="005D5F75" w:rsidP="00E07AC6">
            <w:pPr>
              <w:rPr>
                <w:rFonts w:cs="Courier New"/>
                <w:b/>
                <w:bCs/>
                <w:sz w:val="18"/>
                <w:szCs w:val="18"/>
                <w:lang w:val="en-US"/>
              </w:rPr>
            </w:pPr>
          </w:p>
        </w:tc>
      </w:tr>
      <w:tr w:rsidR="005D5F75" w:rsidRPr="00ED4D49" w14:paraId="5A287205" w14:textId="77777777" w:rsidTr="00E07AC6">
        <w:tc>
          <w:tcPr>
            <w:tcW w:w="959" w:type="dxa"/>
          </w:tcPr>
          <w:p w14:paraId="397C45E2" w14:textId="23AE6BEA" w:rsidR="005D5F75" w:rsidRPr="00ED4D49" w:rsidRDefault="005D5F75" w:rsidP="00E07AC6">
            <w:pPr>
              <w:spacing w:before="60" w:after="60"/>
              <w:rPr>
                <w:sz w:val="18"/>
                <w:szCs w:val="18"/>
                <w:lang w:val="en-US"/>
              </w:rPr>
            </w:pPr>
            <w:r w:rsidRPr="00ED4D49">
              <w:rPr>
                <w:sz w:val="18"/>
                <w:szCs w:val="18"/>
                <w:lang w:val="en-US"/>
              </w:rPr>
              <w:t>z</w:t>
            </w:r>
          </w:p>
        </w:tc>
        <w:tc>
          <w:tcPr>
            <w:tcW w:w="2722" w:type="dxa"/>
          </w:tcPr>
          <w:p w14:paraId="6F91B41C" w14:textId="343A12EA" w:rsidR="005D5F75" w:rsidRPr="00ED4D49" w:rsidRDefault="005D5F75" w:rsidP="00E07AC6">
            <w:pPr>
              <w:spacing w:before="60" w:after="60"/>
              <w:rPr>
                <w:sz w:val="18"/>
                <w:szCs w:val="18"/>
                <w:lang w:val="en-US"/>
              </w:rPr>
            </w:pPr>
            <w:r w:rsidRPr="00ED4D49">
              <w:rPr>
                <w:sz w:val="18"/>
                <w:szCs w:val="18"/>
              </w:rPr>
              <w:t>Regulation of the portion of Jala riverbed downstream from regulated portion to the border with Municipality Lukavac</w:t>
            </w:r>
          </w:p>
        </w:tc>
        <w:tc>
          <w:tcPr>
            <w:tcW w:w="2835" w:type="dxa"/>
          </w:tcPr>
          <w:p w14:paraId="43B77B2D" w14:textId="3C5CFFA3" w:rsidR="005D5F75" w:rsidRPr="00ED4D49" w:rsidRDefault="005D5F75" w:rsidP="00E07AC6">
            <w:pPr>
              <w:spacing w:before="60" w:after="60"/>
              <w:rPr>
                <w:sz w:val="18"/>
                <w:szCs w:val="18"/>
                <w:lang w:val="en-US"/>
              </w:rPr>
            </w:pPr>
            <w:r w:rsidRPr="00ED4D49">
              <w:rPr>
                <w:sz w:val="18"/>
                <w:szCs w:val="18"/>
                <w:lang w:val="en-US"/>
              </w:rPr>
              <w:t xml:space="preserve">Actions needed for flood protection, bank stabilization, drainage and river training works, </w:t>
            </w:r>
            <w:r w:rsidRPr="00ED4D49">
              <w:rPr>
                <w:sz w:val="18"/>
                <w:szCs w:val="18"/>
                <w:lang w:val="en-US"/>
              </w:rPr>
              <w:lastRenderedPageBreak/>
              <w:t>and reservoir management in the Drina Corridor</w:t>
            </w:r>
          </w:p>
        </w:tc>
        <w:tc>
          <w:tcPr>
            <w:tcW w:w="4678" w:type="dxa"/>
            <w:vMerge/>
          </w:tcPr>
          <w:p w14:paraId="70FD417D" w14:textId="77777777" w:rsidR="005D5F75" w:rsidRPr="00ED4D49" w:rsidRDefault="005D5F75" w:rsidP="00E07AC6">
            <w:pPr>
              <w:autoSpaceDE w:val="0"/>
              <w:autoSpaceDN w:val="0"/>
              <w:adjustRightInd w:val="0"/>
              <w:rPr>
                <w:rFonts w:cs="Courier New"/>
                <w:b/>
                <w:sz w:val="18"/>
                <w:szCs w:val="18"/>
                <w:lang w:val="en-US"/>
              </w:rPr>
            </w:pPr>
          </w:p>
        </w:tc>
        <w:tc>
          <w:tcPr>
            <w:tcW w:w="3260" w:type="dxa"/>
            <w:vMerge/>
          </w:tcPr>
          <w:p w14:paraId="3EC657F0" w14:textId="77777777" w:rsidR="005D5F75" w:rsidRPr="00ED4D49" w:rsidRDefault="005D5F75" w:rsidP="00E07AC6">
            <w:pPr>
              <w:rPr>
                <w:rFonts w:cs="Courier New"/>
                <w:b/>
                <w:bCs/>
                <w:sz w:val="18"/>
                <w:szCs w:val="18"/>
                <w:lang w:val="en-US"/>
              </w:rPr>
            </w:pPr>
          </w:p>
        </w:tc>
      </w:tr>
      <w:tr w:rsidR="005D5F75" w:rsidRPr="00ED4D49" w14:paraId="7BAA5148" w14:textId="77777777" w:rsidTr="00E07AC6">
        <w:tc>
          <w:tcPr>
            <w:tcW w:w="959" w:type="dxa"/>
          </w:tcPr>
          <w:p w14:paraId="5CAB0FDE" w14:textId="77777777" w:rsidR="005D5F75" w:rsidRPr="00ED4D49" w:rsidRDefault="005D5F75" w:rsidP="00E07AC6">
            <w:pPr>
              <w:spacing w:before="60" w:after="60"/>
              <w:rPr>
                <w:sz w:val="18"/>
                <w:szCs w:val="18"/>
                <w:lang w:val="en-US"/>
              </w:rPr>
            </w:pPr>
          </w:p>
        </w:tc>
        <w:tc>
          <w:tcPr>
            <w:tcW w:w="2722" w:type="dxa"/>
          </w:tcPr>
          <w:p w14:paraId="298CA0A0" w14:textId="77777777" w:rsidR="005D5F75" w:rsidRPr="00ED4D49" w:rsidRDefault="005D5F75" w:rsidP="00E07AC6">
            <w:pPr>
              <w:spacing w:before="60" w:after="60"/>
              <w:rPr>
                <w:sz w:val="18"/>
                <w:szCs w:val="18"/>
                <w:lang w:val="en-US"/>
              </w:rPr>
            </w:pPr>
          </w:p>
        </w:tc>
        <w:tc>
          <w:tcPr>
            <w:tcW w:w="2835" w:type="dxa"/>
          </w:tcPr>
          <w:p w14:paraId="12FADFF6" w14:textId="77777777" w:rsidR="005D5F75" w:rsidRPr="00ED4D49" w:rsidRDefault="005D5F75" w:rsidP="00E07AC6">
            <w:pPr>
              <w:spacing w:before="60" w:after="60"/>
              <w:rPr>
                <w:sz w:val="18"/>
                <w:szCs w:val="18"/>
                <w:lang w:val="en-US"/>
              </w:rPr>
            </w:pPr>
          </w:p>
        </w:tc>
        <w:tc>
          <w:tcPr>
            <w:tcW w:w="4678" w:type="dxa"/>
            <w:vMerge/>
          </w:tcPr>
          <w:p w14:paraId="3D6E9EEF" w14:textId="77777777" w:rsidR="005D5F75" w:rsidRPr="00ED4D49" w:rsidRDefault="005D5F75" w:rsidP="00E07AC6">
            <w:pPr>
              <w:autoSpaceDE w:val="0"/>
              <w:autoSpaceDN w:val="0"/>
              <w:adjustRightInd w:val="0"/>
              <w:rPr>
                <w:rFonts w:cs="Courier New"/>
                <w:b/>
                <w:sz w:val="18"/>
                <w:szCs w:val="18"/>
                <w:lang w:val="en-US"/>
              </w:rPr>
            </w:pPr>
          </w:p>
        </w:tc>
        <w:tc>
          <w:tcPr>
            <w:tcW w:w="3260" w:type="dxa"/>
            <w:vMerge/>
          </w:tcPr>
          <w:p w14:paraId="57D40400" w14:textId="77777777" w:rsidR="005D5F75" w:rsidRPr="00ED4D49" w:rsidRDefault="005D5F75" w:rsidP="00E07AC6">
            <w:pPr>
              <w:rPr>
                <w:rFonts w:cs="Courier New"/>
                <w:b/>
                <w:bCs/>
                <w:sz w:val="18"/>
                <w:szCs w:val="18"/>
                <w:lang w:val="en-US"/>
              </w:rPr>
            </w:pPr>
          </w:p>
        </w:tc>
      </w:tr>
      <w:tr w:rsidR="002F3A28" w:rsidRPr="00ED4D49" w14:paraId="0120D95A" w14:textId="77777777" w:rsidTr="00E07AC6">
        <w:tc>
          <w:tcPr>
            <w:tcW w:w="959" w:type="dxa"/>
          </w:tcPr>
          <w:p w14:paraId="4FFD3CD4" w14:textId="77777777" w:rsidR="002F3A28" w:rsidRPr="00ED4D49" w:rsidRDefault="002F3A28" w:rsidP="00E07AC6">
            <w:pPr>
              <w:spacing w:before="60" w:after="60"/>
              <w:rPr>
                <w:sz w:val="18"/>
                <w:szCs w:val="18"/>
                <w:lang w:val="en-US"/>
              </w:rPr>
            </w:pPr>
          </w:p>
        </w:tc>
        <w:tc>
          <w:tcPr>
            <w:tcW w:w="2722" w:type="dxa"/>
          </w:tcPr>
          <w:p w14:paraId="41136CA7" w14:textId="77777777" w:rsidR="002F3A28" w:rsidRPr="00ED4D49" w:rsidRDefault="002F3A28" w:rsidP="00E07AC6">
            <w:pPr>
              <w:spacing w:before="60" w:after="60"/>
              <w:rPr>
                <w:sz w:val="18"/>
                <w:szCs w:val="18"/>
                <w:lang w:val="en-US"/>
              </w:rPr>
            </w:pPr>
          </w:p>
        </w:tc>
        <w:tc>
          <w:tcPr>
            <w:tcW w:w="2835" w:type="dxa"/>
          </w:tcPr>
          <w:p w14:paraId="213C2221" w14:textId="77777777" w:rsidR="002F3A28" w:rsidRPr="00ED4D49" w:rsidRDefault="002F3A28" w:rsidP="00E07AC6">
            <w:pPr>
              <w:spacing w:before="60" w:after="60"/>
              <w:rPr>
                <w:sz w:val="18"/>
                <w:szCs w:val="18"/>
                <w:lang w:val="en-US"/>
              </w:rPr>
            </w:pPr>
          </w:p>
        </w:tc>
        <w:tc>
          <w:tcPr>
            <w:tcW w:w="4678" w:type="dxa"/>
          </w:tcPr>
          <w:p w14:paraId="1AF60F34" w14:textId="77777777" w:rsidR="002F3A28" w:rsidRPr="00ED4D49" w:rsidRDefault="002F3A28" w:rsidP="00E07AC6">
            <w:pPr>
              <w:autoSpaceDE w:val="0"/>
              <w:autoSpaceDN w:val="0"/>
              <w:adjustRightInd w:val="0"/>
              <w:rPr>
                <w:rFonts w:cs="Courier New"/>
                <w:b/>
                <w:sz w:val="18"/>
                <w:szCs w:val="18"/>
                <w:lang w:val="en-US"/>
              </w:rPr>
            </w:pPr>
          </w:p>
        </w:tc>
        <w:tc>
          <w:tcPr>
            <w:tcW w:w="3260" w:type="dxa"/>
          </w:tcPr>
          <w:p w14:paraId="6CB1EEBE" w14:textId="77777777" w:rsidR="002F3A28" w:rsidRPr="00ED4D49" w:rsidRDefault="002F3A28" w:rsidP="00E07AC6">
            <w:pPr>
              <w:rPr>
                <w:rFonts w:cs="Courier New"/>
                <w:b/>
                <w:bCs/>
                <w:sz w:val="18"/>
                <w:szCs w:val="18"/>
                <w:lang w:val="en-US"/>
              </w:rPr>
            </w:pPr>
          </w:p>
        </w:tc>
      </w:tr>
      <w:tr w:rsidR="00E07AC6" w:rsidRPr="00ED4D49" w14:paraId="55488B55" w14:textId="4D421DA0" w:rsidTr="00E07AC6">
        <w:tc>
          <w:tcPr>
            <w:tcW w:w="14454" w:type="dxa"/>
            <w:gridSpan w:val="5"/>
          </w:tcPr>
          <w:p w14:paraId="26ACFBE7" w14:textId="3ADE4ACC" w:rsidR="00E07AC6" w:rsidRPr="00ED4D49" w:rsidRDefault="00E07AC6" w:rsidP="00E07AC6">
            <w:pPr>
              <w:spacing w:before="60" w:after="60"/>
              <w:rPr>
                <w:b/>
                <w:bCs/>
                <w:sz w:val="18"/>
                <w:szCs w:val="18"/>
                <w:lang w:val="en-US"/>
              </w:rPr>
            </w:pPr>
            <w:r w:rsidRPr="00ED4D49">
              <w:rPr>
                <w:b/>
                <w:bCs/>
                <w:sz w:val="18"/>
                <w:szCs w:val="18"/>
                <w:lang w:val="en-US"/>
              </w:rPr>
              <w:t>Sub-component 1.2: Waterway Improvements</w:t>
            </w:r>
          </w:p>
        </w:tc>
      </w:tr>
      <w:tr w:rsidR="00E07AC6" w:rsidRPr="00ED4D49" w14:paraId="0A5E3272" w14:textId="77777777" w:rsidTr="00E07AC6">
        <w:tc>
          <w:tcPr>
            <w:tcW w:w="959" w:type="dxa"/>
          </w:tcPr>
          <w:p w14:paraId="20C6386E" w14:textId="59DA208B" w:rsidR="00E07AC6" w:rsidRPr="00ED4D49" w:rsidRDefault="00E07AC6" w:rsidP="00E07AC6">
            <w:pPr>
              <w:spacing w:before="60" w:after="60"/>
              <w:rPr>
                <w:sz w:val="18"/>
                <w:szCs w:val="18"/>
                <w:lang w:val="en-US"/>
              </w:rPr>
            </w:pPr>
            <w:r w:rsidRPr="00ED4D49">
              <w:rPr>
                <w:sz w:val="18"/>
                <w:szCs w:val="18"/>
                <w:lang w:val="en-US"/>
              </w:rPr>
              <w:t>a)</w:t>
            </w:r>
          </w:p>
        </w:tc>
        <w:tc>
          <w:tcPr>
            <w:tcW w:w="2722" w:type="dxa"/>
          </w:tcPr>
          <w:p w14:paraId="6F6F8CFB" w14:textId="04104F21" w:rsidR="00E07AC6" w:rsidRPr="00ED4D49" w:rsidRDefault="00E07AC6" w:rsidP="00E07AC6">
            <w:pPr>
              <w:spacing w:before="60" w:after="60"/>
              <w:rPr>
                <w:sz w:val="18"/>
                <w:szCs w:val="18"/>
                <w:lang w:val="en-US"/>
              </w:rPr>
            </w:pPr>
            <w:r w:rsidRPr="00ED4D49">
              <w:rPr>
                <w:sz w:val="18"/>
                <w:szCs w:val="18"/>
                <w:lang w:val="en-US"/>
              </w:rPr>
              <w:t xml:space="preserve">Demining activities </w:t>
            </w:r>
          </w:p>
        </w:tc>
        <w:tc>
          <w:tcPr>
            <w:tcW w:w="2835" w:type="dxa"/>
          </w:tcPr>
          <w:p w14:paraId="25805BCB" w14:textId="505CE613" w:rsidR="00E07AC6" w:rsidRPr="00ED4D49" w:rsidRDefault="00E07AC6" w:rsidP="00E07AC6">
            <w:pPr>
              <w:spacing w:before="60" w:after="60"/>
              <w:rPr>
                <w:sz w:val="18"/>
                <w:szCs w:val="18"/>
                <w:lang w:val="en-US"/>
              </w:rPr>
            </w:pPr>
            <w:r w:rsidRPr="00ED4D49">
              <w:rPr>
                <w:sz w:val="18"/>
                <w:szCs w:val="18"/>
                <w:lang w:val="en-US"/>
              </w:rPr>
              <w:t>Grant financing will be mobilized to finance demining activities along the Sava Right bank within BiH</w:t>
            </w:r>
          </w:p>
        </w:tc>
        <w:tc>
          <w:tcPr>
            <w:tcW w:w="4678" w:type="dxa"/>
          </w:tcPr>
          <w:p w14:paraId="39CE6AFD" w14:textId="58A7C9EA" w:rsidR="00E07AC6" w:rsidRPr="00ED4D49" w:rsidRDefault="00E07AC6" w:rsidP="00E07AC6">
            <w:pPr>
              <w:spacing w:before="60" w:after="60"/>
              <w:rPr>
                <w:sz w:val="18"/>
                <w:szCs w:val="18"/>
                <w:lang w:val="en-US"/>
              </w:rPr>
            </w:pPr>
            <w:r w:rsidRPr="00ED4D49">
              <w:rPr>
                <w:b/>
                <w:bCs/>
                <w:sz w:val="18"/>
                <w:szCs w:val="18"/>
                <w:lang w:val="en-US"/>
              </w:rPr>
              <w:t>Impacts:</w:t>
            </w:r>
            <w:r w:rsidRPr="00ED4D49">
              <w:rPr>
                <w:sz w:val="18"/>
                <w:szCs w:val="18"/>
                <w:lang w:val="en-US"/>
              </w:rPr>
              <w:t xml:space="preserve"> Demining operations and any supporting activities have the potential to damage the environment, not only because of the short-term effects caused by destruction of explosive items, but long-term effects that may be caused by contamination of soil and water systems, removal of vegetation, disruption to watercourses or changes to soil structure as a result of the applied demining technique. Demining operations may also damage the natural habitats and disrupt the ecosystems in the Sava River. </w:t>
            </w:r>
          </w:p>
          <w:p w14:paraId="3EEB33FE" w14:textId="444200BD" w:rsidR="00E07AC6" w:rsidRPr="00ED4D49" w:rsidRDefault="00E07AC6" w:rsidP="00E07AC6">
            <w:pPr>
              <w:spacing w:before="0" w:after="0"/>
              <w:ind w:right="144"/>
              <w:rPr>
                <w:sz w:val="18"/>
                <w:szCs w:val="18"/>
                <w:lang w:val="en-US"/>
              </w:rPr>
            </w:pPr>
            <w:r w:rsidRPr="00ED4D49">
              <w:rPr>
                <w:b/>
                <w:bCs/>
                <w:sz w:val="18"/>
                <w:szCs w:val="18"/>
                <w:lang w:val="en-US"/>
              </w:rPr>
              <w:t>Likelihood:</w:t>
            </w:r>
            <w:r w:rsidRPr="00ED4D49">
              <w:rPr>
                <w:sz w:val="18"/>
                <w:szCs w:val="18"/>
                <w:lang w:val="en-US"/>
              </w:rPr>
              <w:t xml:space="preserve"> High </w:t>
            </w:r>
          </w:p>
          <w:p w14:paraId="60366712" w14:textId="1F5EF3B5" w:rsidR="00E07AC6" w:rsidRPr="00ED4D49" w:rsidRDefault="00E07AC6" w:rsidP="00E07AC6">
            <w:pPr>
              <w:spacing w:before="0" w:after="0"/>
              <w:ind w:right="144"/>
              <w:rPr>
                <w:sz w:val="18"/>
                <w:szCs w:val="18"/>
                <w:lang w:val="en-US"/>
              </w:rPr>
            </w:pPr>
            <w:r w:rsidRPr="00ED4D49">
              <w:rPr>
                <w:b/>
                <w:bCs/>
                <w:sz w:val="18"/>
                <w:szCs w:val="18"/>
                <w:lang w:val="en-US"/>
              </w:rPr>
              <w:t>Magnitude of consequence:</w:t>
            </w:r>
            <w:r w:rsidRPr="00ED4D49">
              <w:rPr>
                <w:sz w:val="18"/>
                <w:szCs w:val="18"/>
                <w:lang w:val="en-US"/>
              </w:rPr>
              <w:t xml:space="preserve"> Moderate</w:t>
            </w:r>
          </w:p>
          <w:p w14:paraId="484E2FB8" w14:textId="10DAA2BA" w:rsidR="00E07AC6" w:rsidRPr="00ED4D49" w:rsidRDefault="00E07AC6" w:rsidP="00E07AC6">
            <w:pPr>
              <w:spacing w:before="60" w:after="60"/>
              <w:rPr>
                <w:sz w:val="18"/>
                <w:szCs w:val="18"/>
                <w:lang w:val="en-US"/>
              </w:rPr>
            </w:pPr>
            <w:r w:rsidRPr="00ED4D49">
              <w:rPr>
                <w:b/>
                <w:bCs/>
                <w:sz w:val="18"/>
                <w:szCs w:val="18"/>
                <w:lang w:val="en-US"/>
              </w:rPr>
              <w:t>ASSESSMENT: HIGH RISK</w:t>
            </w:r>
          </w:p>
        </w:tc>
        <w:tc>
          <w:tcPr>
            <w:tcW w:w="3260" w:type="dxa"/>
          </w:tcPr>
          <w:p w14:paraId="3482AB3B" w14:textId="21A10B5B" w:rsidR="00E07AC6" w:rsidRPr="00ED4D49" w:rsidRDefault="00E07AC6" w:rsidP="00E07AC6">
            <w:pPr>
              <w:spacing w:before="60" w:after="60"/>
              <w:rPr>
                <w:sz w:val="18"/>
                <w:szCs w:val="18"/>
                <w:lang w:val="en-US"/>
              </w:rPr>
            </w:pPr>
            <w:r w:rsidRPr="00ED4D49">
              <w:rPr>
                <w:b/>
                <w:bCs/>
                <w:sz w:val="18"/>
                <w:szCs w:val="18"/>
                <w:lang w:val="en-US"/>
              </w:rPr>
              <w:t>Mitigation measures:</w:t>
            </w:r>
            <w:r w:rsidRPr="00ED4D49">
              <w:rPr>
                <w:sz w:val="18"/>
                <w:szCs w:val="18"/>
                <w:lang w:val="en-US"/>
              </w:rPr>
              <w:t xml:space="preserve"> the development and implementation of the site-specific ESMP will minimize and prevent the identified negative impacts. The ESMP should reflect national Standard Operating Procedures (SOPs) that are built on internationally recognized standards for demining operations, such as the International Mine Action Standard (IMAS) that also addresses environmental concerns in demining operations.</w:t>
            </w:r>
          </w:p>
          <w:p w14:paraId="7A898FCA" w14:textId="13EFD765" w:rsidR="00E07AC6" w:rsidRPr="00ED4D49" w:rsidRDefault="00E07AC6" w:rsidP="00E07AC6">
            <w:pPr>
              <w:spacing w:before="60" w:after="60"/>
              <w:rPr>
                <w:sz w:val="18"/>
                <w:szCs w:val="18"/>
                <w:lang w:val="en-US"/>
              </w:rPr>
            </w:pPr>
            <w:r w:rsidRPr="00ED4D49">
              <w:rPr>
                <w:b/>
                <w:sz w:val="18"/>
                <w:szCs w:val="18"/>
                <w:lang w:val="en-US"/>
              </w:rPr>
              <w:t xml:space="preserve">Monitoring: </w:t>
            </w:r>
            <w:r w:rsidRPr="00ED4D49">
              <w:rPr>
                <w:sz w:val="18"/>
                <w:szCs w:val="18"/>
                <w:lang w:val="en-US"/>
              </w:rPr>
              <w:t>by the implementing agency</w:t>
            </w:r>
          </w:p>
        </w:tc>
      </w:tr>
      <w:tr w:rsidR="00AC6FFB" w:rsidRPr="00ED4D49" w14:paraId="605AAAD5" w14:textId="77777777" w:rsidTr="00E07AC6">
        <w:tc>
          <w:tcPr>
            <w:tcW w:w="959" w:type="dxa"/>
          </w:tcPr>
          <w:p w14:paraId="7E02139D" w14:textId="0B44CDBD" w:rsidR="00AC6FFB" w:rsidRPr="00ED4D49" w:rsidRDefault="00AC6FFB" w:rsidP="00E07AC6">
            <w:pPr>
              <w:spacing w:before="60" w:after="60"/>
              <w:rPr>
                <w:sz w:val="18"/>
                <w:szCs w:val="18"/>
                <w:lang w:val="en-US"/>
              </w:rPr>
            </w:pPr>
            <w:r w:rsidRPr="00ED4D49">
              <w:rPr>
                <w:sz w:val="18"/>
                <w:szCs w:val="18"/>
                <w:lang w:val="en-US"/>
              </w:rPr>
              <w:t>b)</w:t>
            </w:r>
          </w:p>
        </w:tc>
        <w:tc>
          <w:tcPr>
            <w:tcW w:w="2722" w:type="dxa"/>
          </w:tcPr>
          <w:p w14:paraId="30B75D01" w14:textId="5AA2B2EF" w:rsidR="00AC6FFB" w:rsidRPr="00ED4D49" w:rsidRDefault="00AC6FFB" w:rsidP="00E07AC6">
            <w:pPr>
              <w:spacing w:before="60" w:after="60"/>
              <w:rPr>
                <w:sz w:val="18"/>
                <w:szCs w:val="18"/>
                <w:lang w:val="en-US"/>
              </w:rPr>
            </w:pPr>
            <w:r w:rsidRPr="00ED4D49">
              <w:rPr>
                <w:sz w:val="18"/>
                <w:szCs w:val="18"/>
                <w:lang w:val="en-US"/>
              </w:rPr>
              <w:t>Construction of the quay on river Sava in Novi Grad (dock for small boats)</w:t>
            </w:r>
          </w:p>
        </w:tc>
        <w:tc>
          <w:tcPr>
            <w:tcW w:w="2835" w:type="dxa"/>
            <w:vMerge w:val="restart"/>
          </w:tcPr>
          <w:p w14:paraId="1CCEF9E2" w14:textId="77777777" w:rsidR="00AC6FFB" w:rsidRPr="00ED4D49" w:rsidRDefault="00AC6FFB" w:rsidP="00AC6FFB">
            <w:pPr>
              <w:spacing w:before="60" w:after="60"/>
              <w:rPr>
                <w:sz w:val="18"/>
                <w:szCs w:val="18"/>
                <w:lang w:val="bs-Latn-BA"/>
              </w:rPr>
            </w:pPr>
            <w:r w:rsidRPr="00ED4D49">
              <w:rPr>
                <w:sz w:val="18"/>
                <w:szCs w:val="18"/>
                <w:lang w:val="en"/>
              </w:rPr>
              <w:t>The aim of the activity is to establish communication by waterway with the port of Brčko, which also enables the development of nautical tourism</w:t>
            </w:r>
          </w:p>
          <w:p w14:paraId="0577C9A8" w14:textId="15CE0CD5" w:rsidR="00AC6FFB" w:rsidRPr="00ED4D49" w:rsidRDefault="00AC6FFB" w:rsidP="008D4280">
            <w:pPr>
              <w:spacing w:before="60" w:after="60"/>
              <w:rPr>
                <w:sz w:val="18"/>
                <w:szCs w:val="18"/>
                <w:lang w:val="en-US"/>
              </w:rPr>
            </w:pPr>
          </w:p>
        </w:tc>
        <w:tc>
          <w:tcPr>
            <w:tcW w:w="4678" w:type="dxa"/>
            <w:vMerge w:val="restart"/>
          </w:tcPr>
          <w:p w14:paraId="285A2191" w14:textId="77777777" w:rsidR="00AC6FFB" w:rsidRPr="00ED4D49" w:rsidRDefault="00AC6FFB" w:rsidP="00AC6FFB">
            <w:pPr>
              <w:spacing w:before="60" w:after="60"/>
              <w:rPr>
                <w:b/>
                <w:bCs/>
                <w:sz w:val="18"/>
                <w:szCs w:val="18"/>
                <w:lang w:val="en-US"/>
              </w:rPr>
            </w:pPr>
            <w:r w:rsidRPr="00ED4D49">
              <w:rPr>
                <w:b/>
                <w:bCs/>
                <w:sz w:val="18"/>
                <w:szCs w:val="18"/>
                <w:lang w:val="en-US"/>
              </w:rPr>
              <w:t>Impacts</w:t>
            </w:r>
            <w:r w:rsidRPr="00ED4D49">
              <w:rPr>
                <w:sz w:val="18"/>
                <w:szCs w:val="18"/>
                <w:lang w:val="en-US"/>
              </w:rPr>
              <w:t xml:space="preserve">: </w:t>
            </w:r>
            <w:r w:rsidRPr="00ED4D49">
              <w:rPr>
                <w:i/>
                <w:iCs/>
                <w:sz w:val="18"/>
                <w:szCs w:val="18"/>
                <w:lang w:val="en-US"/>
              </w:rPr>
              <w:t>In the pre-construction phase</w:t>
            </w:r>
            <w:r w:rsidRPr="00ED4D49">
              <w:rPr>
                <w:sz w:val="18"/>
                <w:szCs w:val="18"/>
                <w:lang w:val="en-US"/>
              </w:rPr>
              <w:t>, the identified social impact are related to possible acquisition of land at the locations of the works.</w:t>
            </w:r>
            <w:r w:rsidRPr="00ED4D49">
              <w:rPr>
                <w:b/>
                <w:bCs/>
                <w:sz w:val="18"/>
                <w:szCs w:val="18"/>
                <w:lang w:val="en-US"/>
              </w:rPr>
              <w:t xml:space="preserve"> </w:t>
            </w:r>
          </w:p>
          <w:p w14:paraId="24C682AE" w14:textId="77777777" w:rsidR="00AC6FFB" w:rsidRPr="00ED4D49" w:rsidRDefault="00AC6FFB" w:rsidP="00AC6FFB">
            <w:pPr>
              <w:spacing w:before="60" w:after="60"/>
              <w:rPr>
                <w:sz w:val="18"/>
                <w:szCs w:val="18"/>
                <w:lang w:val="en-US"/>
              </w:rPr>
            </w:pPr>
            <w:r w:rsidRPr="00ED4D49">
              <w:rPr>
                <w:b/>
                <w:bCs/>
                <w:i/>
                <w:iCs/>
                <w:sz w:val="18"/>
                <w:szCs w:val="18"/>
                <w:lang w:val="en-US"/>
              </w:rPr>
              <w:t xml:space="preserve">In the construction phase, </w:t>
            </w:r>
            <w:r w:rsidRPr="00ED4D49">
              <w:rPr>
                <w:sz w:val="18"/>
                <w:szCs w:val="18"/>
                <w:lang w:val="en-US"/>
              </w:rPr>
              <w:t>the social impacts are mainly related to community health and safety during construction; minor negative impacts could be expected</w:t>
            </w:r>
            <w:r w:rsidRPr="00ED4D49">
              <w:rPr>
                <w:b/>
                <w:bCs/>
                <w:sz w:val="18"/>
                <w:szCs w:val="18"/>
                <w:lang w:val="en-US"/>
              </w:rPr>
              <w:t xml:space="preserve"> </w:t>
            </w:r>
            <w:r w:rsidRPr="00ED4D49">
              <w:rPr>
                <w:sz w:val="18"/>
                <w:szCs w:val="18"/>
                <w:lang w:val="en-US"/>
              </w:rPr>
              <w:t>through</w:t>
            </w:r>
            <w:r w:rsidRPr="00ED4D49">
              <w:rPr>
                <w:b/>
                <w:bCs/>
                <w:sz w:val="18"/>
                <w:szCs w:val="18"/>
                <w:lang w:val="en-US"/>
              </w:rPr>
              <w:t xml:space="preserve"> </w:t>
            </w:r>
            <w:r w:rsidRPr="00ED4D49">
              <w:rPr>
                <w:sz w:val="18"/>
                <w:szCs w:val="18"/>
                <w:lang w:val="en-US"/>
              </w:rPr>
              <w:t xml:space="preserve">human presence and nature of construction works at site, which are limited to the location of works or its surrounding vicinity. Large influx of workers from outside communities is not expected. The regulation of riverbed and stabilization of active landslides envisioned within the project may have </w:t>
            </w:r>
            <w:r w:rsidRPr="00ED4D49">
              <w:rPr>
                <w:sz w:val="18"/>
                <w:szCs w:val="18"/>
                <w:lang w:val="en-US"/>
              </w:rPr>
              <w:lastRenderedPageBreak/>
              <w:t xml:space="preserve">certain impacts on the environment/water resource during construction/reconstruction and removal of materials. Analyses performed should provide best available materials for collection and separation of waste; impact of transporting the machinery to site; noise of construction; waste, noise, dirt and dust on the location and the access roads.  </w:t>
            </w:r>
          </w:p>
          <w:p w14:paraId="6E90203B" w14:textId="77777777" w:rsidR="00AC6FFB" w:rsidRPr="00ED4D49" w:rsidRDefault="00AC6FFB" w:rsidP="00AC6FFB">
            <w:pPr>
              <w:spacing w:before="60" w:after="60"/>
              <w:rPr>
                <w:sz w:val="18"/>
                <w:szCs w:val="18"/>
                <w:lang w:val="en-US"/>
              </w:rPr>
            </w:pPr>
            <w:r w:rsidRPr="00ED4D49">
              <w:rPr>
                <w:i/>
                <w:iCs/>
                <w:sz w:val="18"/>
                <w:szCs w:val="18"/>
                <w:lang w:val="en-US"/>
              </w:rPr>
              <w:t>In the</w:t>
            </w:r>
            <w:r w:rsidRPr="00ED4D49">
              <w:rPr>
                <w:sz w:val="18"/>
                <w:szCs w:val="18"/>
                <w:lang w:val="en-US"/>
              </w:rPr>
              <w:t xml:space="preserve"> </w:t>
            </w:r>
            <w:r w:rsidRPr="00ED4D49">
              <w:rPr>
                <w:i/>
                <w:iCs/>
                <w:sz w:val="18"/>
                <w:szCs w:val="18"/>
                <w:lang w:val="en-US"/>
              </w:rPr>
              <w:t>operational phase,</w:t>
            </w:r>
            <w:r w:rsidRPr="00ED4D49">
              <w:rPr>
                <w:sz w:val="18"/>
                <w:szCs w:val="18"/>
                <w:lang w:val="en-US"/>
              </w:rPr>
              <w:t xml:space="preserve"> the expected impacts are mainly related to maintenance of these structures and have a similar effect on the environment as the construction works involve the presence of workers and machinery on the site</w:t>
            </w:r>
          </w:p>
          <w:p w14:paraId="2A315B2A" w14:textId="77777777" w:rsidR="00AC6FFB" w:rsidRPr="00ED4D49" w:rsidRDefault="00AC6FFB" w:rsidP="00AC6FFB">
            <w:pPr>
              <w:spacing w:before="60" w:after="60"/>
              <w:rPr>
                <w:b/>
                <w:bCs/>
                <w:sz w:val="18"/>
                <w:szCs w:val="18"/>
                <w:lang w:val="en-US"/>
              </w:rPr>
            </w:pPr>
            <w:r w:rsidRPr="00ED4D49">
              <w:rPr>
                <w:b/>
                <w:bCs/>
                <w:sz w:val="18"/>
                <w:szCs w:val="18"/>
                <w:lang w:val="en-US"/>
              </w:rPr>
              <w:t xml:space="preserve">Likelihood: Moderate </w:t>
            </w:r>
          </w:p>
          <w:p w14:paraId="42832B1B" w14:textId="77777777" w:rsidR="00AC6FFB" w:rsidRPr="00ED4D49" w:rsidRDefault="00AC6FFB" w:rsidP="00AC6FFB">
            <w:pPr>
              <w:spacing w:before="60" w:after="60"/>
              <w:rPr>
                <w:b/>
                <w:bCs/>
                <w:sz w:val="18"/>
                <w:szCs w:val="18"/>
                <w:lang w:val="en-US"/>
              </w:rPr>
            </w:pPr>
            <w:r w:rsidRPr="00ED4D49">
              <w:rPr>
                <w:b/>
                <w:bCs/>
                <w:sz w:val="18"/>
                <w:szCs w:val="18"/>
                <w:lang w:val="en-US"/>
              </w:rPr>
              <w:t>Magnitude of consequence: Moderate</w:t>
            </w:r>
          </w:p>
          <w:p w14:paraId="5F7FE0C9" w14:textId="3D198446" w:rsidR="00AC6FFB" w:rsidRPr="00ED4D49" w:rsidRDefault="00AC6FFB" w:rsidP="00AC6FFB">
            <w:pPr>
              <w:spacing w:before="60" w:after="60"/>
              <w:rPr>
                <w:b/>
                <w:bCs/>
                <w:sz w:val="18"/>
                <w:szCs w:val="18"/>
                <w:lang w:val="en-US"/>
              </w:rPr>
            </w:pPr>
            <w:r w:rsidRPr="00ED4D49">
              <w:rPr>
                <w:b/>
                <w:bCs/>
                <w:sz w:val="18"/>
                <w:szCs w:val="18"/>
                <w:lang w:val="en-US"/>
              </w:rPr>
              <w:t>ASSESSMENT: MODERATE RISK</w:t>
            </w:r>
          </w:p>
        </w:tc>
        <w:tc>
          <w:tcPr>
            <w:tcW w:w="3260" w:type="dxa"/>
            <w:vMerge w:val="restart"/>
          </w:tcPr>
          <w:p w14:paraId="47410F2D" w14:textId="77777777" w:rsidR="00AC6FFB" w:rsidRPr="00ED4D49" w:rsidRDefault="00AC6FFB" w:rsidP="00AC6FFB">
            <w:pPr>
              <w:spacing w:before="60" w:after="60"/>
              <w:rPr>
                <w:b/>
                <w:bCs/>
                <w:sz w:val="18"/>
                <w:szCs w:val="18"/>
                <w:lang w:val="en-US"/>
              </w:rPr>
            </w:pPr>
            <w:r w:rsidRPr="00ED4D49">
              <w:rPr>
                <w:b/>
                <w:bCs/>
                <w:sz w:val="18"/>
                <w:szCs w:val="18"/>
                <w:lang w:val="en-US"/>
              </w:rPr>
              <w:lastRenderedPageBreak/>
              <w:t xml:space="preserve">Mitigation measures: </w:t>
            </w:r>
            <w:r w:rsidRPr="00ED4D49">
              <w:rPr>
                <w:sz w:val="18"/>
                <w:szCs w:val="18"/>
                <w:lang w:val="en-US"/>
              </w:rPr>
              <w:t>the prepared generic ESMP provides general mitigation measures and monitoring structure for construction works, and/or analyses that might take place within the projects’ implementation</w:t>
            </w:r>
            <w:r w:rsidRPr="00ED4D49">
              <w:rPr>
                <w:b/>
                <w:bCs/>
                <w:sz w:val="18"/>
                <w:szCs w:val="18"/>
                <w:lang w:val="en-US"/>
              </w:rPr>
              <w:t xml:space="preserve">. </w:t>
            </w:r>
          </w:p>
          <w:p w14:paraId="47DF660C" w14:textId="595A5004" w:rsidR="00AC6FFB" w:rsidRPr="00ED4D49" w:rsidRDefault="00AC6FFB" w:rsidP="00E07AC6">
            <w:pPr>
              <w:spacing w:before="60" w:after="60"/>
              <w:rPr>
                <w:b/>
                <w:bCs/>
                <w:sz w:val="18"/>
                <w:szCs w:val="18"/>
                <w:lang w:val="en-US"/>
              </w:rPr>
            </w:pPr>
            <w:r w:rsidRPr="00ED4D49">
              <w:rPr>
                <w:b/>
                <w:bCs/>
                <w:sz w:val="18"/>
                <w:szCs w:val="18"/>
                <w:lang w:val="en-US"/>
              </w:rPr>
              <w:t xml:space="preserve">Monitoring: </w:t>
            </w:r>
            <w:r w:rsidRPr="00ED4D49">
              <w:rPr>
                <w:sz w:val="18"/>
                <w:szCs w:val="18"/>
                <w:lang w:val="en-US"/>
              </w:rPr>
              <w:t>by the implementing agency</w:t>
            </w:r>
          </w:p>
        </w:tc>
      </w:tr>
      <w:tr w:rsidR="00AC6FFB" w:rsidRPr="00ED4D49" w14:paraId="2F1FA274" w14:textId="77777777" w:rsidTr="00E07AC6">
        <w:tc>
          <w:tcPr>
            <w:tcW w:w="959" w:type="dxa"/>
          </w:tcPr>
          <w:p w14:paraId="68934892" w14:textId="4A1B10B9" w:rsidR="00AC6FFB" w:rsidRPr="00ED4D49" w:rsidRDefault="00AC6FFB" w:rsidP="00E07AC6">
            <w:pPr>
              <w:spacing w:before="60" w:after="60"/>
              <w:rPr>
                <w:sz w:val="18"/>
                <w:szCs w:val="18"/>
                <w:lang w:val="en-US"/>
              </w:rPr>
            </w:pPr>
            <w:r w:rsidRPr="00ED4D49">
              <w:rPr>
                <w:sz w:val="18"/>
                <w:szCs w:val="18"/>
                <w:lang w:val="en-US"/>
              </w:rPr>
              <w:t>c)</w:t>
            </w:r>
          </w:p>
        </w:tc>
        <w:tc>
          <w:tcPr>
            <w:tcW w:w="2722" w:type="dxa"/>
          </w:tcPr>
          <w:p w14:paraId="7553F1B6" w14:textId="20CF9153" w:rsidR="00AC6FFB" w:rsidRPr="00ED4D49" w:rsidRDefault="00AC6FFB" w:rsidP="00E07AC6">
            <w:pPr>
              <w:spacing w:before="60" w:after="60"/>
              <w:rPr>
                <w:sz w:val="18"/>
                <w:szCs w:val="18"/>
                <w:lang w:val="en-US"/>
              </w:rPr>
            </w:pPr>
            <w:r w:rsidRPr="00ED4D49">
              <w:rPr>
                <w:sz w:val="18"/>
                <w:szCs w:val="18"/>
                <w:lang w:val="en-US"/>
              </w:rPr>
              <w:t xml:space="preserve">Construction of the small port on river Sava in </w:t>
            </w:r>
            <w:proofErr w:type="spellStart"/>
            <w:r w:rsidRPr="00ED4D49">
              <w:rPr>
                <w:sz w:val="18"/>
                <w:szCs w:val="18"/>
                <w:lang w:val="en-US"/>
              </w:rPr>
              <w:t>Orasje</w:t>
            </w:r>
            <w:proofErr w:type="spellEnd"/>
            <w:r w:rsidRPr="00ED4D49">
              <w:rPr>
                <w:sz w:val="18"/>
                <w:szCs w:val="18"/>
                <w:lang w:val="en-US"/>
              </w:rPr>
              <w:t xml:space="preserve"> (port for small boats)</w:t>
            </w:r>
          </w:p>
        </w:tc>
        <w:tc>
          <w:tcPr>
            <w:tcW w:w="2835" w:type="dxa"/>
            <w:vMerge/>
          </w:tcPr>
          <w:p w14:paraId="306CC9CE" w14:textId="77777777" w:rsidR="00AC6FFB" w:rsidRPr="00ED4D49" w:rsidRDefault="00AC6FFB" w:rsidP="00E07AC6">
            <w:pPr>
              <w:spacing w:before="60" w:after="60"/>
              <w:rPr>
                <w:sz w:val="18"/>
                <w:szCs w:val="18"/>
                <w:lang w:val="en-US"/>
              </w:rPr>
            </w:pPr>
          </w:p>
        </w:tc>
        <w:tc>
          <w:tcPr>
            <w:tcW w:w="4678" w:type="dxa"/>
            <w:vMerge/>
          </w:tcPr>
          <w:p w14:paraId="5886B2E2" w14:textId="77777777" w:rsidR="00AC6FFB" w:rsidRPr="00ED4D49" w:rsidRDefault="00AC6FFB" w:rsidP="00E07AC6">
            <w:pPr>
              <w:spacing w:before="60" w:after="60"/>
              <w:rPr>
                <w:b/>
                <w:bCs/>
                <w:sz w:val="18"/>
                <w:szCs w:val="18"/>
                <w:lang w:val="en-US"/>
              </w:rPr>
            </w:pPr>
          </w:p>
        </w:tc>
        <w:tc>
          <w:tcPr>
            <w:tcW w:w="3260" w:type="dxa"/>
            <w:vMerge/>
          </w:tcPr>
          <w:p w14:paraId="42897A25" w14:textId="77777777" w:rsidR="00AC6FFB" w:rsidRPr="00ED4D49" w:rsidRDefault="00AC6FFB" w:rsidP="00E07AC6">
            <w:pPr>
              <w:spacing w:before="60" w:after="60"/>
              <w:rPr>
                <w:b/>
                <w:bCs/>
                <w:sz w:val="18"/>
                <w:szCs w:val="18"/>
                <w:lang w:val="en-US"/>
              </w:rPr>
            </w:pPr>
          </w:p>
        </w:tc>
      </w:tr>
      <w:tr w:rsidR="00AC6FFB" w:rsidRPr="00ED4D49" w14:paraId="0A6585B7" w14:textId="77777777" w:rsidTr="00E07AC6">
        <w:tc>
          <w:tcPr>
            <w:tcW w:w="959" w:type="dxa"/>
          </w:tcPr>
          <w:p w14:paraId="70753DFE" w14:textId="627DD41E" w:rsidR="00AC6FFB" w:rsidRPr="00ED4D49" w:rsidRDefault="00AC6FFB" w:rsidP="00E07AC6">
            <w:pPr>
              <w:spacing w:before="60" w:after="60"/>
              <w:rPr>
                <w:sz w:val="18"/>
                <w:szCs w:val="18"/>
                <w:lang w:val="en-US"/>
              </w:rPr>
            </w:pPr>
            <w:r w:rsidRPr="00ED4D49">
              <w:rPr>
                <w:sz w:val="18"/>
                <w:szCs w:val="18"/>
                <w:lang w:val="en-US"/>
              </w:rPr>
              <w:t>d)</w:t>
            </w:r>
          </w:p>
        </w:tc>
        <w:tc>
          <w:tcPr>
            <w:tcW w:w="2722" w:type="dxa"/>
          </w:tcPr>
          <w:p w14:paraId="5F8460D2" w14:textId="77777777" w:rsidR="00AC6FFB" w:rsidRPr="00ED4D49" w:rsidRDefault="00AC6FFB" w:rsidP="001C0200">
            <w:pPr>
              <w:spacing w:before="60" w:after="60"/>
              <w:rPr>
                <w:sz w:val="18"/>
                <w:szCs w:val="18"/>
                <w:lang w:val="en-US"/>
              </w:rPr>
            </w:pPr>
            <w:r w:rsidRPr="00ED4D49">
              <w:rPr>
                <w:sz w:val="18"/>
                <w:szCs w:val="18"/>
                <w:lang w:val="en-US"/>
              </w:rPr>
              <w:t>Dredging and training work of river Sava in Novi Grad/</w:t>
            </w:r>
            <w:proofErr w:type="spellStart"/>
            <w:r w:rsidRPr="00ED4D49">
              <w:rPr>
                <w:sz w:val="18"/>
                <w:szCs w:val="18"/>
                <w:lang w:val="en-US"/>
              </w:rPr>
              <w:t>Odžak</w:t>
            </w:r>
            <w:proofErr w:type="spellEnd"/>
            <w:r w:rsidRPr="00ED4D49">
              <w:rPr>
                <w:sz w:val="18"/>
                <w:szCs w:val="18"/>
                <w:lang w:val="en-US"/>
              </w:rPr>
              <w:t xml:space="preserve"> on the stretch: </w:t>
            </w:r>
            <w:proofErr w:type="spellStart"/>
            <w:r w:rsidRPr="00ED4D49">
              <w:rPr>
                <w:sz w:val="18"/>
                <w:szCs w:val="18"/>
                <w:lang w:val="en-US"/>
              </w:rPr>
              <w:t>Jaruge</w:t>
            </w:r>
            <w:proofErr w:type="spellEnd"/>
            <w:r w:rsidRPr="00ED4D49">
              <w:rPr>
                <w:sz w:val="18"/>
                <w:szCs w:val="18"/>
                <w:lang w:val="en-US"/>
              </w:rPr>
              <w:t xml:space="preserve"> (RH) - Novi </w:t>
            </w:r>
            <w:r w:rsidRPr="00ED4D49">
              <w:rPr>
                <w:sz w:val="18"/>
                <w:szCs w:val="18"/>
                <w:lang w:val="en-US"/>
              </w:rPr>
              <w:lastRenderedPageBreak/>
              <w:t>Grad/</w:t>
            </w:r>
            <w:proofErr w:type="spellStart"/>
            <w:r w:rsidRPr="00ED4D49">
              <w:rPr>
                <w:sz w:val="18"/>
                <w:szCs w:val="18"/>
                <w:lang w:val="en-US"/>
              </w:rPr>
              <w:t>Odžak</w:t>
            </w:r>
            <w:proofErr w:type="spellEnd"/>
            <w:r w:rsidRPr="00ED4D49">
              <w:rPr>
                <w:sz w:val="18"/>
                <w:szCs w:val="18"/>
                <w:lang w:val="en-US"/>
              </w:rPr>
              <w:t xml:space="preserve"> (FBIH) – preparation for phase II</w:t>
            </w:r>
          </w:p>
          <w:p w14:paraId="5CD82312" w14:textId="77777777" w:rsidR="00AC6FFB" w:rsidRPr="00ED4D49" w:rsidRDefault="00AC6FFB" w:rsidP="00E07AC6">
            <w:pPr>
              <w:spacing w:before="60" w:after="60"/>
              <w:rPr>
                <w:sz w:val="18"/>
                <w:szCs w:val="18"/>
                <w:lang w:val="en-US"/>
              </w:rPr>
            </w:pPr>
          </w:p>
        </w:tc>
        <w:tc>
          <w:tcPr>
            <w:tcW w:w="2835" w:type="dxa"/>
          </w:tcPr>
          <w:p w14:paraId="6AC655A9" w14:textId="77777777" w:rsidR="00AC6FFB" w:rsidRPr="00ED4D49" w:rsidRDefault="00AC6FFB" w:rsidP="00E07AC6">
            <w:pPr>
              <w:spacing w:before="60" w:after="60"/>
              <w:rPr>
                <w:sz w:val="18"/>
                <w:szCs w:val="18"/>
                <w:lang w:val="en-US"/>
              </w:rPr>
            </w:pPr>
          </w:p>
        </w:tc>
        <w:tc>
          <w:tcPr>
            <w:tcW w:w="4678" w:type="dxa"/>
            <w:vMerge/>
          </w:tcPr>
          <w:p w14:paraId="55D1125B" w14:textId="77777777" w:rsidR="00AC6FFB" w:rsidRPr="00ED4D49" w:rsidRDefault="00AC6FFB" w:rsidP="00E07AC6">
            <w:pPr>
              <w:spacing w:before="60" w:after="60"/>
              <w:rPr>
                <w:b/>
                <w:bCs/>
                <w:sz w:val="18"/>
                <w:szCs w:val="18"/>
                <w:lang w:val="en-US"/>
              </w:rPr>
            </w:pPr>
          </w:p>
        </w:tc>
        <w:tc>
          <w:tcPr>
            <w:tcW w:w="3260" w:type="dxa"/>
            <w:vMerge/>
          </w:tcPr>
          <w:p w14:paraId="50B9FE81" w14:textId="77777777" w:rsidR="00AC6FFB" w:rsidRPr="00ED4D49" w:rsidRDefault="00AC6FFB" w:rsidP="00E07AC6">
            <w:pPr>
              <w:spacing w:before="60" w:after="60"/>
              <w:rPr>
                <w:b/>
                <w:bCs/>
                <w:sz w:val="18"/>
                <w:szCs w:val="18"/>
                <w:lang w:val="en-US"/>
              </w:rPr>
            </w:pPr>
          </w:p>
        </w:tc>
      </w:tr>
    </w:tbl>
    <w:p w14:paraId="37D237CC" w14:textId="5F6E51AC" w:rsidR="008E272E" w:rsidRPr="00ED4D49" w:rsidRDefault="008E272E"/>
    <w:tbl>
      <w:tblPr>
        <w:tblStyle w:val="TableGridLight1"/>
        <w:tblW w:w="14454" w:type="dxa"/>
        <w:tblLayout w:type="fixed"/>
        <w:tblLook w:val="04A0" w:firstRow="1" w:lastRow="0" w:firstColumn="1" w:lastColumn="0" w:noHBand="0" w:noVBand="1"/>
      </w:tblPr>
      <w:tblGrid>
        <w:gridCol w:w="959"/>
        <w:gridCol w:w="2722"/>
        <w:gridCol w:w="2835"/>
        <w:gridCol w:w="4678"/>
        <w:gridCol w:w="3260"/>
      </w:tblGrid>
      <w:tr w:rsidR="00E07AC6" w:rsidRPr="00ED4D49" w14:paraId="5F74F531" w14:textId="37DB0AB7" w:rsidTr="00E07AC6">
        <w:tc>
          <w:tcPr>
            <w:tcW w:w="14454" w:type="dxa"/>
            <w:gridSpan w:val="5"/>
          </w:tcPr>
          <w:p w14:paraId="5C2DADE4" w14:textId="0FDD4CA6" w:rsidR="00E07AC6" w:rsidRPr="00ED4D49" w:rsidRDefault="00E07AC6" w:rsidP="00E07AC6">
            <w:pPr>
              <w:spacing w:before="60" w:after="60"/>
              <w:rPr>
                <w:b/>
                <w:sz w:val="18"/>
                <w:szCs w:val="18"/>
                <w:lang w:val="en-US"/>
              </w:rPr>
            </w:pPr>
            <w:r w:rsidRPr="00ED4D49">
              <w:rPr>
                <w:b/>
                <w:sz w:val="18"/>
                <w:szCs w:val="18"/>
                <w:lang w:val="en-US"/>
              </w:rPr>
              <w:t xml:space="preserve">COMPONENT 2: INTEGRATED MANAGEMENT AND DEVELOPMENT OF THE DRINA RIVER CORRIDOR </w:t>
            </w:r>
          </w:p>
        </w:tc>
      </w:tr>
      <w:tr w:rsidR="00E07AC6" w:rsidRPr="00ED4D49" w14:paraId="5B42F30E" w14:textId="336CA2F2" w:rsidTr="00E07AC6">
        <w:tc>
          <w:tcPr>
            <w:tcW w:w="14454" w:type="dxa"/>
            <w:gridSpan w:val="5"/>
          </w:tcPr>
          <w:p w14:paraId="64CB031A" w14:textId="26EE41FE" w:rsidR="00E07AC6" w:rsidRPr="00ED4D49" w:rsidRDefault="00E07AC6" w:rsidP="00E07AC6">
            <w:pPr>
              <w:spacing w:before="60" w:after="60"/>
              <w:rPr>
                <w:sz w:val="18"/>
                <w:szCs w:val="18"/>
                <w:lang w:val="en-US"/>
              </w:rPr>
            </w:pPr>
            <w:r w:rsidRPr="00ED4D49">
              <w:rPr>
                <w:sz w:val="18"/>
                <w:szCs w:val="18"/>
                <w:lang w:val="en-US"/>
              </w:rPr>
              <w:t>Sub-component 2.1: Flood protection and environmental management</w:t>
            </w:r>
          </w:p>
        </w:tc>
      </w:tr>
      <w:tr w:rsidR="00567DBF" w:rsidRPr="00ED4D49" w14:paraId="0D0C6A92" w14:textId="77777777" w:rsidTr="00E07AC6">
        <w:tc>
          <w:tcPr>
            <w:tcW w:w="959" w:type="dxa"/>
          </w:tcPr>
          <w:p w14:paraId="362EDE26" w14:textId="782AF7D8" w:rsidR="00567DBF" w:rsidRPr="00ED4D49" w:rsidRDefault="00567DBF" w:rsidP="00E07AC6">
            <w:pPr>
              <w:spacing w:before="60" w:after="60"/>
              <w:rPr>
                <w:sz w:val="18"/>
                <w:szCs w:val="18"/>
                <w:lang w:val="en-US"/>
              </w:rPr>
            </w:pPr>
            <w:r w:rsidRPr="00ED4D49">
              <w:rPr>
                <w:sz w:val="18"/>
                <w:szCs w:val="18"/>
                <w:lang w:val="en-US"/>
              </w:rPr>
              <w:t>a)</w:t>
            </w:r>
          </w:p>
        </w:tc>
        <w:tc>
          <w:tcPr>
            <w:tcW w:w="2722" w:type="dxa"/>
            <w:vMerge w:val="restart"/>
          </w:tcPr>
          <w:p w14:paraId="44262534" w14:textId="77777777" w:rsidR="00567DBF" w:rsidRPr="00ED4D49" w:rsidRDefault="00567DBF" w:rsidP="00E07AC6">
            <w:pPr>
              <w:spacing w:before="60" w:after="60"/>
              <w:rPr>
                <w:sz w:val="18"/>
                <w:szCs w:val="18"/>
                <w:lang w:val="en-US"/>
              </w:rPr>
            </w:pPr>
            <w:r w:rsidRPr="00ED4D49">
              <w:rPr>
                <w:sz w:val="18"/>
                <w:szCs w:val="18"/>
                <w:lang w:val="en-US"/>
              </w:rPr>
              <w:t xml:space="preserve">River training in </w:t>
            </w:r>
            <w:proofErr w:type="spellStart"/>
            <w:r w:rsidRPr="00ED4D49">
              <w:rPr>
                <w:sz w:val="18"/>
                <w:szCs w:val="18"/>
                <w:lang w:val="en-US"/>
              </w:rPr>
              <w:t>Goražde</w:t>
            </w:r>
            <w:proofErr w:type="spellEnd"/>
            <w:r w:rsidRPr="00ED4D49">
              <w:rPr>
                <w:sz w:val="18"/>
                <w:szCs w:val="18"/>
                <w:lang w:val="en-US"/>
              </w:rPr>
              <w:t xml:space="preserve"> city within the Federation of Bosnia and Herzegovina</w:t>
            </w:r>
          </w:p>
          <w:p w14:paraId="066E03D3" w14:textId="77777777" w:rsidR="00852F20" w:rsidRPr="00ED4D49" w:rsidRDefault="00852F20" w:rsidP="00E07AC6">
            <w:pPr>
              <w:spacing w:before="60" w:after="60"/>
              <w:rPr>
                <w:sz w:val="18"/>
                <w:szCs w:val="18"/>
                <w:lang w:val="en-US"/>
              </w:rPr>
            </w:pPr>
          </w:p>
          <w:p w14:paraId="45957784" w14:textId="77777777" w:rsidR="00852F20" w:rsidRPr="00ED4D49" w:rsidRDefault="00852F20" w:rsidP="00E07AC6">
            <w:pPr>
              <w:spacing w:before="60" w:after="60"/>
              <w:rPr>
                <w:sz w:val="18"/>
                <w:szCs w:val="18"/>
                <w:lang w:val="en-US"/>
              </w:rPr>
            </w:pPr>
          </w:p>
          <w:p w14:paraId="17A9382E" w14:textId="77777777" w:rsidR="00852F20" w:rsidRPr="00ED4D49" w:rsidRDefault="00852F20" w:rsidP="00852F20">
            <w:pPr>
              <w:spacing w:before="60" w:after="60"/>
              <w:rPr>
                <w:sz w:val="18"/>
                <w:szCs w:val="18"/>
                <w:lang w:val="en-US"/>
              </w:rPr>
            </w:pPr>
            <w:r w:rsidRPr="00ED4D49">
              <w:rPr>
                <w:sz w:val="18"/>
                <w:szCs w:val="18"/>
                <w:lang w:val="en-US"/>
              </w:rPr>
              <w:t xml:space="preserve">Urgent rehabilitation works in </w:t>
            </w:r>
            <w:proofErr w:type="spellStart"/>
            <w:r w:rsidRPr="00ED4D49">
              <w:rPr>
                <w:sz w:val="18"/>
                <w:szCs w:val="18"/>
                <w:lang w:val="en-US"/>
              </w:rPr>
              <w:t>Goražde</w:t>
            </w:r>
            <w:proofErr w:type="spellEnd"/>
            <w:r w:rsidRPr="00ED4D49">
              <w:rPr>
                <w:sz w:val="18"/>
                <w:szCs w:val="18"/>
                <w:lang w:val="en-US"/>
              </w:rPr>
              <w:t xml:space="preserve"> </w:t>
            </w:r>
          </w:p>
          <w:p w14:paraId="51DCF07C" w14:textId="77777777" w:rsidR="00852F20" w:rsidRPr="00ED4D49" w:rsidRDefault="00852F20" w:rsidP="00852F20">
            <w:pPr>
              <w:spacing w:before="60" w:after="60"/>
              <w:rPr>
                <w:sz w:val="18"/>
                <w:szCs w:val="18"/>
                <w:lang w:val="en-US"/>
              </w:rPr>
            </w:pPr>
            <w:r w:rsidRPr="00ED4D49">
              <w:rPr>
                <w:sz w:val="18"/>
                <w:szCs w:val="18"/>
                <w:lang w:val="en-US"/>
              </w:rPr>
              <w:t>Regulation of Kosovska river</w:t>
            </w:r>
          </w:p>
          <w:p w14:paraId="3F0D2AD3" w14:textId="14321C98" w:rsidR="00852F20" w:rsidRPr="00ED4D49" w:rsidRDefault="00852F20" w:rsidP="00E07AC6">
            <w:pPr>
              <w:spacing w:before="60" w:after="60"/>
              <w:rPr>
                <w:sz w:val="18"/>
                <w:szCs w:val="18"/>
                <w:lang w:val="en-US"/>
              </w:rPr>
            </w:pPr>
          </w:p>
        </w:tc>
        <w:tc>
          <w:tcPr>
            <w:tcW w:w="2835" w:type="dxa"/>
            <w:vMerge w:val="restart"/>
          </w:tcPr>
          <w:p w14:paraId="7730C461" w14:textId="587C411D" w:rsidR="00567DBF" w:rsidRPr="00ED4D49" w:rsidRDefault="00567DBF" w:rsidP="00E07AC6">
            <w:pPr>
              <w:spacing w:before="60" w:after="60"/>
              <w:rPr>
                <w:sz w:val="18"/>
                <w:szCs w:val="18"/>
                <w:lang w:val="en-US"/>
              </w:rPr>
            </w:pPr>
            <w:r w:rsidRPr="00ED4D49">
              <w:rPr>
                <w:sz w:val="18"/>
                <w:szCs w:val="18"/>
                <w:lang w:val="en-US"/>
              </w:rPr>
              <w:t>Actions needed for river training works</w:t>
            </w:r>
          </w:p>
        </w:tc>
        <w:tc>
          <w:tcPr>
            <w:tcW w:w="4678" w:type="dxa"/>
            <w:vMerge w:val="restart"/>
          </w:tcPr>
          <w:p w14:paraId="43213AB7" w14:textId="77777777" w:rsidR="00567DBF" w:rsidRPr="00ED4D49" w:rsidRDefault="00567DBF" w:rsidP="00E07AC6">
            <w:pPr>
              <w:autoSpaceDE w:val="0"/>
              <w:autoSpaceDN w:val="0"/>
              <w:adjustRightInd w:val="0"/>
              <w:rPr>
                <w:sz w:val="18"/>
                <w:szCs w:val="18"/>
                <w:lang w:val="en-US"/>
              </w:rPr>
            </w:pPr>
            <w:r w:rsidRPr="00ED4D49">
              <w:rPr>
                <w:rFonts w:cs="Courier New"/>
                <w:b/>
                <w:sz w:val="18"/>
                <w:szCs w:val="18"/>
                <w:lang w:val="en-US"/>
              </w:rPr>
              <w:t>Impacts:</w:t>
            </w:r>
            <w:r w:rsidRPr="00ED4D49">
              <w:rPr>
                <w:rFonts w:cs="Courier New"/>
                <w:sz w:val="18"/>
                <w:szCs w:val="18"/>
                <w:lang w:val="en-US"/>
              </w:rPr>
              <w:t xml:space="preserve"> </w:t>
            </w:r>
            <w:r w:rsidRPr="00ED4D49">
              <w:rPr>
                <w:i/>
                <w:iCs/>
                <w:sz w:val="18"/>
                <w:szCs w:val="18"/>
                <w:lang w:val="en-US"/>
              </w:rPr>
              <w:t>In the pre-construction phase</w:t>
            </w:r>
            <w:r w:rsidRPr="00ED4D49">
              <w:rPr>
                <w:sz w:val="18"/>
                <w:szCs w:val="18"/>
                <w:lang w:val="en-US"/>
              </w:rPr>
              <w:t xml:space="preserve">, the identified social impact are related to possible acquisition of land at the locations of the works. </w:t>
            </w:r>
          </w:p>
          <w:p w14:paraId="6CD66641" w14:textId="77777777" w:rsidR="00567DBF" w:rsidRPr="00ED4D49" w:rsidRDefault="00567DBF" w:rsidP="00E07AC6">
            <w:pPr>
              <w:autoSpaceDE w:val="0"/>
              <w:autoSpaceDN w:val="0"/>
              <w:adjustRightInd w:val="0"/>
              <w:rPr>
                <w:rFonts w:cs="Tw Cen MT"/>
                <w:sz w:val="18"/>
                <w:szCs w:val="18"/>
                <w:lang w:val="en-US"/>
              </w:rPr>
            </w:pPr>
            <w:r w:rsidRPr="00ED4D49">
              <w:rPr>
                <w:i/>
                <w:iCs/>
                <w:sz w:val="18"/>
                <w:szCs w:val="18"/>
                <w:lang w:val="en-US"/>
              </w:rPr>
              <w:t xml:space="preserve">In the construction phase, </w:t>
            </w:r>
            <w:r w:rsidRPr="00ED4D49">
              <w:rPr>
                <w:sz w:val="18"/>
                <w:szCs w:val="18"/>
                <w:lang w:val="en-US"/>
              </w:rPr>
              <w:t xml:space="preserve">the social impacts are mainly related to community health and safety during construction; minor negative impacts could be expected through human presence and nature of construction works at site, which are limited to the location of works or its surrounding vicinity. Large influx of workers from outside communities is not expected. The </w:t>
            </w:r>
            <w:r w:rsidRPr="00ED4D49">
              <w:rPr>
                <w:rFonts w:cs="Courier New"/>
                <w:sz w:val="18"/>
                <w:szCs w:val="18"/>
                <w:lang w:val="en-US"/>
              </w:rPr>
              <w:t xml:space="preserve">regulation of riverbed and stabilization of active landslides envisioned within the project may have </w:t>
            </w:r>
            <w:r w:rsidRPr="00ED4D49">
              <w:rPr>
                <w:rFonts w:cs="Courier New"/>
                <w:sz w:val="18"/>
                <w:szCs w:val="18"/>
                <w:lang w:val="en-US"/>
              </w:rPr>
              <w:lastRenderedPageBreak/>
              <w:t xml:space="preserve">certain impacts on </w:t>
            </w:r>
            <w:r w:rsidRPr="00ED4D49">
              <w:rPr>
                <w:sz w:val="18"/>
                <w:szCs w:val="18"/>
                <w:lang w:val="en-US"/>
              </w:rPr>
              <w:t xml:space="preserve">the </w:t>
            </w:r>
            <w:r w:rsidRPr="00ED4D49">
              <w:rPr>
                <w:rFonts w:cs="Courier New"/>
                <w:sz w:val="18"/>
                <w:szCs w:val="18"/>
                <w:lang w:val="en-US"/>
              </w:rPr>
              <w:t>environment/water resource during construction/reconstruction and removal of materials. Analyses performed should provide best available materials for collection and separation of waste</w:t>
            </w:r>
            <w:r w:rsidRPr="00ED4D49">
              <w:rPr>
                <w:rFonts w:cs="ArialMT"/>
                <w:sz w:val="18"/>
                <w:szCs w:val="18"/>
                <w:lang w:val="en-US"/>
              </w:rPr>
              <w:t xml:space="preserve">; impact of </w:t>
            </w:r>
            <w:r w:rsidRPr="00ED4D49">
              <w:rPr>
                <w:rFonts w:cs="Arial"/>
                <w:sz w:val="18"/>
                <w:szCs w:val="18"/>
                <w:lang w:val="en-US"/>
              </w:rPr>
              <w:t xml:space="preserve">transporting the machinery to site; noise of construction; </w:t>
            </w:r>
            <w:r w:rsidRPr="00ED4D49">
              <w:rPr>
                <w:rFonts w:cs="Tw Cen MT"/>
                <w:sz w:val="18"/>
                <w:szCs w:val="18"/>
                <w:lang w:val="en-US"/>
              </w:rPr>
              <w:t xml:space="preserve">waste, noise, dirt and dust on the location and the access roads.  </w:t>
            </w:r>
          </w:p>
          <w:p w14:paraId="781DBB67" w14:textId="77777777" w:rsidR="00567DBF" w:rsidRPr="00ED4D49" w:rsidRDefault="00567DBF" w:rsidP="00E07AC6">
            <w:pPr>
              <w:autoSpaceDE w:val="0"/>
              <w:autoSpaceDN w:val="0"/>
              <w:adjustRightInd w:val="0"/>
              <w:rPr>
                <w:rFonts w:cs="Tw Cen MT"/>
                <w:sz w:val="18"/>
                <w:szCs w:val="18"/>
                <w:lang w:val="en-US"/>
              </w:rPr>
            </w:pPr>
            <w:r w:rsidRPr="00ED4D49">
              <w:rPr>
                <w:rFonts w:cs="Tw Cen MT"/>
                <w:i/>
                <w:iCs/>
                <w:sz w:val="18"/>
                <w:szCs w:val="18"/>
                <w:lang w:val="en-US"/>
              </w:rPr>
              <w:t>In the</w:t>
            </w:r>
            <w:r w:rsidRPr="00ED4D49">
              <w:rPr>
                <w:rFonts w:cs="Tw Cen MT"/>
                <w:sz w:val="18"/>
                <w:szCs w:val="18"/>
                <w:lang w:val="en-US"/>
              </w:rPr>
              <w:t xml:space="preserve"> </w:t>
            </w:r>
            <w:r w:rsidRPr="00ED4D49">
              <w:rPr>
                <w:rFonts w:cs="Tw Cen MT"/>
                <w:i/>
                <w:iCs/>
                <w:sz w:val="18"/>
                <w:szCs w:val="18"/>
                <w:lang w:val="en-US"/>
              </w:rPr>
              <w:t>operational phase,</w:t>
            </w:r>
            <w:r w:rsidRPr="00ED4D49">
              <w:rPr>
                <w:rFonts w:cs="Tw Cen MT"/>
                <w:sz w:val="18"/>
                <w:szCs w:val="18"/>
                <w:lang w:val="en-US"/>
              </w:rPr>
              <w:t xml:space="preserve"> the expected impacts are mainly related to maintenance of these structures and have a similar effect on </w:t>
            </w:r>
            <w:r w:rsidRPr="00ED4D49">
              <w:rPr>
                <w:sz w:val="18"/>
                <w:szCs w:val="18"/>
                <w:lang w:val="en-US"/>
              </w:rPr>
              <w:t xml:space="preserve">the </w:t>
            </w:r>
            <w:r w:rsidRPr="00ED4D49">
              <w:rPr>
                <w:rFonts w:cs="Tw Cen MT"/>
                <w:sz w:val="18"/>
                <w:szCs w:val="18"/>
                <w:lang w:val="en-US"/>
              </w:rPr>
              <w:t xml:space="preserve">environment as the construction works involve </w:t>
            </w:r>
            <w:r w:rsidRPr="00ED4D49">
              <w:rPr>
                <w:sz w:val="18"/>
                <w:szCs w:val="18"/>
                <w:lang w:val="en-US"/>
              </w:rPr>
              <w:t xml:space="preserve">the </w:t>
            </w:r>
            <w:r w:rsidRPr="00ED4D49">
              <w:rPr>
                <w:rFonts w:cs="Tw Cen MT"/>
                <w:sz w:val="18"/>
                <w:szCs w:val="18"/>
                <w:lang w:val="en-US"/>
              </w:rPr>
              <w:t>presence of workers and machinery on the site.</w:t>
            </w:r>
          </w:p>
          <w:p w14:paraId="74654AFD" w14:textId="77777777" w:rsidR="00567DBF" w:rsidRPr="00ED4D49" w:rsidRDefault="00567DBF" w:rsidP="00E07AC6">
            <w:pPr>
              <w:spacing w:before="0" w:after="0"/>
              <w:ind w:right="144"/>
              <w:rPr>
                <w:sz w:val="18"/>
                <w:szCs w:val="18"/>
                <w:lang w:val="en-US"/>
              </w:rPr>
            </w:pPr>
            <w:r w:rsidRPr="00ED4D49">
              <w:rPr>
                <w:b/>
                <w:bCs/>
                <w:sz w:val="18"/>
                <w:szCs w:val="18"/>
                <w:lang w:val="en-US"/>
              </w:rPr>
              <w:t>Likelihood:</w:t>
            </w:r>
            <w:r w:rsidRPr="00ED4D49">
              <w:rPr>
                <w:sz w:val="18"/>
                <w:szCs w:val="18"/>
                <w:lang w:val="en-US"/>
              </w:rPr>
              <w:t xml:space="preserve"> Moderate </w:t>
            </w:r>
          </w:p>
          <w:p w14:paraId="6CFAC225" w14:textId="77777777" w:rsidR="00567DBF" w:rsidRPr="00ED4D49" w:rsidRDefault="00567DBF" w:rsidP="00E07AC6">
            <w:pPr>
              <w:spacing w:before="0" w:after="0"/>
              <w:ind w:right="144"/>
              <w:rPr>
                <w:sz w:val="18"/>
                <w:szCs w:val="18"/>
                <w:lang w:val="en-US"/>
              </w:rPr>
            </w:pPr>
            <w:r w:rsidRPr="00ED4D49">
              <w:rPr>
                <w:b/>
                <w:bCs/>
                <w:sz w:val="18"/>
                <w:szCs w:val="18"/>
                <w:lang w:val="en-US"/>
              </w:rPr>
              <w:t>Magnitude of consequence:</w:t>
            </w:r>
            <w:r w:rsidRPr="00ED4D49">
              <w:rPr>
                <w:sz w:val="18"/>
                <w:szCs w:val="18"/>
                <w:lang w:val="en-US"/>
              </w:rPr>
              <w:t xml:space="preserve"> Moderate</w:t>
            </w:r>
          </w:p>
          <w:p w14:paraId="24EAB460" w14:textId="6AF6F78E" w:rsidR="00567DBF" w:rsidRPr="00ED4D49" w:rsidRDefault="00567DBF" w:rsidP="00E07AC6">
            <w:pPr>
              <w:spacing w:before="60" w:after="60"/>
              <w:rPr>
                <w:sz w:val="18"/>
                <w:szCs w:val="18"/>
                <w:lang w:val="en-US"/>
              </w:rPr>
            </w:pPr>
            <w:r w:rsidRPr="00ED4D49">
              <w:rPr>
                <w:b/>
                <w:bCs/>
                <w:sz w:val="18"/>
                <w:szCs w:val="18"/>
                <w:lang w:val="en-US"/>
              </w:rPr>
              <w:t>ASSESSMENT: MODERATE RISK</w:t>
            </w:r>
          </w:p>
        </w:tc>
        <w:tc>
          <w:tcPr>
            <w:tcW w:w="3260" w:type="dxa"/>
            <w:vMerge w:val="restart"/>
          </w:tcPr>
          <w:p w14:paraId="1F83F501" w14:textId="77777777" w:rsidR="00567DBF" w:rsidRPr="00ED4D49" w:rsidRDefault="00567DBF" w:rsidP="00E07AC6">
            <w:pPr>
              <w:rPr>
                <w:rFonts w:cs="Courier New"/>
                <w:sz w:val="18"/>
                <w:szCs w:val="18"/>
                <w:lang w:val="en-US"/>
              </w:rPr>
            </w:pPr>
            <w:r w:rsidRPr="00ED4D49">
              <w:rPr>
                <w:rFonts w:cs="Courier New"/>
                <w:b/>
                <w:bCs/>
                <w:sz w:val="18"/>
                <w:szCs w:val="18"/>
                <w:lang w:val="en-US"/>
              </w:rPr>
              <w:lastRenderedPageBreak/>
              <w:t>Mitigation measures:</w:t>
            </w:r>
            <w:r w:rsidRPr="00ED4D49">
              <w:rPr>
                <w:rFonts w:cs="Courier New"/>
                <w:sz w:val="18"/>
                <w:szCs w:val="18"/>
                <w:lang w:val="en-US"/>
              </w:rPr>
              <w:t xml:space="preserve"> the prepared generic ESMP provides general mitigation measures and monitoring structure for construction works, and/or analyses that might take place within the projects’ implementation. </w:t>
            </w:r>
          </w:p>
          <w:p w14:paraId="245AE8ED" w14:textId="77777777" w:rsidR="00567DBF" w:rsidRPr="00ED4D49" w:rsidRDefault="00567DBF" w:rsidP="00E07AC6">
            <w:pPr>
              <w:autoSpaceDE w:val="0"/>
              <w:autoSpaceDN w:val="0"/>
              <w:adjustRightInd w:val="0"/>
              <w:rPr>
                <w:rFonts w:cs="Courier New"/>
                <w:sz w:val="18"/>
                <w:szCs w:val="18"/>
                <w:lang w:val="en-US"/>
              </w:rPr>
            </w:pPr>
            <w:r w:rsidRPr="00ED4D49">
              <w:rPr>
                <w:rFonts w:cs="Arial"/>
                <w:sz w:val="18"/>
                <w:szCs w:val="18"/>
                <w:lang w:val="en-US"/>
              </w:rPr>
              <w:t>Safety procedures must be observed by contractors during the construction work and removal of structures;</w:t>
            </w:r>
            <w:r w:rsidRPr="00ED4D49">
              <w:rPr>
                <w:rFonts w:cs="Courier New"/>
                <w:sz w:val="18"/>
                <w:szCs w:val="18"/>
                <w:lang w:val="en-US"/>
              </w:rPr>
              <w:t xml:space="preserve"> construction best practices for waste management and disposal, equipment maintained </w:t>
            </w:r>
            <w:r w:rsidRPr="00ED4D49">
              <w:rPr>
                <w:rFonts w:cs="Courier New"/>
                <w:sz w:val="18"/>
                <w:szCs w:val="18"/>
                <w:lang w:val="en-US"/>
              </w:rPr>
              <w:lastRenderedPageBreak/>
              <w:t xml:space="preserve">during construction, materials used, attested transportation vehicles; </w:t>
            </w:r>
            <w:r w:rsidRPr="00ED4D49">
              <w:rPr>
                <w:rFonts w:cs="Arial"/>
                <w:sz w:val="18"/>
                <w:szCs w:val="18"/>
                <w:lang w:val="en-US"/>
              </w:rPr>
              <w:t xml:space="preserve">the noise level will be controlled at all times and the activities will be controlled to avoid excessive disturbance </w:t>
            </w:r>
            <w:r w:rsidRPr="00ED4D49">
              <w:rPr>
                <w:rFonts w:cs="Courier New"/>
                <w:sz w:val="18"/>
                <w:szCs w:val="18"/>
                <w:lang w:val="en-US"/>
              </w:rPr>
              <w:t>as set out in the generic ESMP.</w:t>
            </w:r>
          </w:p>
          <w:p w14:paraId="4EA6A377" w14:textId="77777777" w:rsidR="00567DBF" w:rsidRPr="00ED4D49" w:rsidRDefault="00567DBF" w:rsidP="00E07AC6">
            <w:pPr>
              <w:spacing w:before="60" w:after="60"/>
              <w:rPr>
                <w:b/>
                <w:sz w:val="18"/>
                <w:szCs w:val="18"/>
                <w:lang w:val="en-US"/>
              </w:rPr>
            </w:pPr>
            <w:r w:rsidRPr="00ED4D49">
              <w:rPr>
                <w:sz w:val="18"/>
                <w:szCs w:val="18"/>
                <w:lang w:val="en-US"/>
              </w:rPr>
              <w:t>As part of the due diligence of applying the ESMP, land ownership titles will be verified. In the event that any private land rights are identified, they will be compensated as appropriate under the RPF, with due consideration to the legacy of use. A project-specific action plan for resettlement will be prepared to mitigate this impact.</w:t>
            </w:r>
            <w:r w:rsidRPr="00ED4D49">
              <w:rPr>
                <w:b/>
                <w:sz w:val="18"/>
                <w:szCs w:val="18"/>
                <w:lang w:val="en-US"/>
              </w:rPr>
              <w:t xml:space="preserve"> </w:t>
            </w:r>
          </w:p>
          <w:p w14:paraId="5B169985" w14:textId="6EFAD414" w:rsidR="00567DBF" w:rsidRPr="00ED4D49" w:rsidRDefault="00567DBF" w:rsidP="00E07AC6">
            <w:pPr>
              <w:spacing w:before="60" w:after="60"/>
              <w:rPr>
                <w:rFonts w:cs="Courier New"/>
                <w:sz w:val="18"/>
                <w:szCs w:val="18"/>
                <w:lang w:val="en-US"/>
              </w:rPr>
            </w:pPr>
            <w:r w:rsidRPr="00ED4D49">
              <w:rPr>
                <w:rFonts w:cs="Courier New"/>
                <w:b/>
                <w:sz w:val="18"/>
                <w:szCs w:val="18"/>
                <w:lang w:val="en-US"/>
              </w:rPr>
              <w:t xml:space="preserve">Monitoring: </w:t>
            </w:r>
            <w:r w:rsidRPr="00ED4D49">
              <w:rPr>
                <w:rFonts w:cs="Courier New"/>
                <w:sz w:val="18"/>
                <w:szCs w:val="18"/>
                <w:lang w:val="en-US"/>
              </w:rPr>
              <w:t>by the implementing agency</w:t>
            </w:r>
          </w:p>
        </w:tc>
      </w:tr>
      <w:tr w:rsidR="00567DBF" w:rsidRPr="00ED4D49" w14:paraId="2C185DED" w14:textId="77777777" w:rsidTr="001229F1">
        <w:trPr>
          <w:trHeight w:val="1138"/>
        </w:trPr>
        <w:tc>
          <w:tcPr>
            <w:tcW w:w="959" w:type="dxa"/>
          </w:tcPr>
          <w:p w14:paraId="5302FCCC" w14:textId="7D796516" w:rsidR="00567DBF" w:rsidRPr="00ED4D49" w:rsidRDefault="00567DBF" w:rsidP="00E07AC6">
            <w:pPr>
              <w:spacing w:before="60" w:after="60"/>
              <w:rPr>
                <w:sz w:val="18"/>
                <w:szCs w:val="18"/>
                <w:lang w:val="en-US"/>
              </w:rPr>
            </w:pPr>
          </w:p>
        </w:tc>
        <w:tc>
          <w:tcPr>
            <w:tcW w:w="2722" w:type="dxa"/>
            <w:vMerge/>
          </w:tcPr>
          <w:p w14:paraId="34A912EC" w14:textId="0B20FA9E" w:rsidR="00567DBF" w:rsidRPr="00ED4D49" w:rsidRDefault="00567DBF" w:rsidP="00E07AC6">
            <w:pPr>
              <w:spacing w:before="60" w:after="60"/>
              <w:rPr>
                <w:sz w:val="18"/>
                <w:szCs w:val="18"/>
                <w:lang w:val="en-US"/>
              </w:rPr>
            </w:pPr>
          </w:p>
        </w:tc>
        <w:tc>
          <w:tcPr>
            <w:tcW w:w="2835" w:type="dxa"/>
            <w:vMerge/>
          </w:tcPr>
          <w:p w14:paraId="5547C864" w14:textId="77777777" w:rsidR="00567DBF" w:rsidRPr="00ED4D49" w:rsidRDefault="00567DBF" w:rsidP="00E07AC6">
            <w:pPr>
              <w:spacing w:before="60" w:after="60"/>
              <w:rPr>
                <w:sz w:val="18"/>
                <w:szCs w:val="18"/>
                <w:lang w:val="en-US"/>
              </w:rPr>
            </w:pPr>
          </w:p>
        </w:tc>
        <w:tc>
          <w:tcPr>
            <w:tcW w:w="4678" w:type="dxa"/>
            <w:vMerge/>
          </w:tcPr>
          <w:p w14:paraId="3DDF8A4E" w14:textId="77777777" w:rsidR="00567DBF" w:rsidRPr="00ED4D49" w:rsidRDefault="00567DBF" w:rsidP="00E07AC6">
            <w:pPr>
              <w:spacing w:before="60" w:after="60"/>
              <w:rPr>
                <w:sz w:val="18"/>
                <w:szCs w:val="18"/>
                <w:lang w:val="en-US"/>
              </w:rPr>
            </w:pPr>
          </w:p>
        </w:tc>
        <w:tc>
          <w:tcPr>
            <w:tcW w:w="3260" w:type="dxa"/>
            <w:vMerge/>
          </w:tcPr>
          <w:p w14:paraId="43C9B458" w14:textId="77777777" w:rsidR="00567DBF" w:rsidRPr="00ED4D49" w:rsidRDefault="00567DBF" w:rsidP="00E07AC6">
            <w:pPr>
              <w:spacing w:before="60" w:after="60"/>
              <w:rPr>
                <w:sz w:val="18"/>
                <w:szCs w:val="18"/>
                <w:lang w:val="en-US"/>
              </w:rPr>
            </w:pPr>
          </w:p>
        </w:tc>
      </w:tr>
      <w:tr w:rsidR="00567DBF" w:rsidRPr="00ED4D49" w14:paraId="110F7E79" w14:textId="77777777" w:rsidTr="001229F1">
        <w:tc>
          <w:tcPr>
            <w:tcW w:w="14454" w:type="dxa"/>
            <w:gridSpan w:val="5"/>
          </w:tcPr>
          <w:p w14:paraId="365FB780" w14:textId="0776DBA4" w:rsidR="00567DBF" w:rsidRPr="00ED4D49" w:rsidRDefault="00567DBF" w:rsidP="00E07AC6">
            <w:pPr>
              <w:spacing w:before="60" w:after="60"/>
              <w:rPr>
                <w:sz w:val="18"/>
                <w:szCs w:val="18"/>
                <w:lang w:val="en-US"/>
              </w:rPr>
            </w:pPr>
            <w:r w:rsidRPr="00ED4D49">
              <w:rPr>
                <w:b/>
                <w:sz w:val="18"/>
                <w:szCs w:val="18"/>
                <w:lang w:val="en-US"/>
              </w:rPr>
              <w:t>COMPONENT 4: REGIONAL ACTIVITIES</w:t>
            </w:r>
          </w:p>
        </w:tc>
      </w:tr>
      <w:tr w:rsidR="00567DBF" w:rsidRPr="00ED4D49" w14:paraId="0D7EEE4E" w14:textId="77777777" w:rsidTr="001229F1">
        <w:tc>
          <w:tcPr>
            <w:tcW w:w="14454" w:type="dxa"/>
            <w:gridSpan w:val="5"/>
          </w:tcPr>
          <w:p w14:paraId="4E4A251F" w14:textId="4C78A144" w:rsidR="00567DBF" w:rsidRPr="00ED4D49" w:rsidRDefault="00567DBF" w:rsidP="00E07AC6">
            <w:pPr>
              <w:spacing w:before="60" w:after="60"/>
              <w:rPr>
                <w:sz w:val="18"/>
                <w:szCs w:val="18"/>
                <w:lang w:val="en-US"/>
              </w:rPr>
            </w:pPr>
            <w:r w:rsidRPr="00ED4D49">
              <w:rPr>
                <w:sz w:val="18"/>
                <w:szCs w:val="18"/>
                <w:lang w:val="en-US"/>
              </w:rPr>
              <w:t>Sub-component 4.1: Regional dialogue and studies</w:t>
            </w:r>
          </w:p>
        </w:tc>
      </w:tr>
      <w:tr w:rsidR="004C3C6A" w:rsidRPr="00ED4D49" w14:paraId="08F23593" w14:textId="77777777" w:rsidTr="00567DBF">
        <w:tc>
          <w:tcPr>
            <w:tcW w:w="959" w:type="dxa"/>
          </w:tcPr>
          <w:p w14:paraId="0BDD9715" w14:textId="67829D28" w:rsidR="004C3C6A" w:rsidRPr="00ED4D49" w:rsidRDefault="004C3C6A" w:rsidP="00567DBF">
            <w:pPr>
              <w:spacing w:before="60" w:after="60"/>
              <w:rPr>
                <w:sz w:val="18"/>
                <w:szCs w:val="18"/>
                <w:lang w:val="en-US"/>
              </w:rPr>
            </w:pPr>
            <w:r w:rsidRPr="00ED4D49">
              <w:rPr>
                <w:sz w:val="18"/>
                <w:szCs w:val="18"/>
                <w:lang w:val="en-US"/>
              </w:rPr>
              <w:t>a)</w:t>
            </w:r>
          </w:p>
        </w:tc>
        <w:tc>
          <w:tcPr>
            <w:tcW w:w="2722" w:type="dxa"/>
          </w:tcPr>
          <w:p w14:paraId="4EF9AF62" w14:textId="7765FAF4" w:rsidR="004C3C6A" w:rsidRPr="00ED4D49" w:rsidRDefault="004C3C6A" w:rsidP="00567DBF">
            <w:pPr>
              <w:spacing w:before="60" w:after="60"/>
              <w:rPr>
                <w:sz w:val="18"/>
                <w:szCs w:val="18"/>
                <w:lang w:val="en-US"/>
              </w:rPr>
            </w:pPr>
            <w:r w:rsidRPr="00ED4D49">
              <w:rPr>
                <w:sz w:val="18"/>
                <w:szCs w:val="18"/>
                <w:lang w:val="en-US"/>
              </w:rPr>
              <w:t xml:space="preserve">Preparation of the 2nd Sava RBMP     </w:t>
            </w:r>
          </w:p>
        </w:tc>
        <w:tc>
          <w:tcPr>
            <w:tcW w:w="2835" w:type="dxa"/>
            <w:vMerge w:val="restart"/>
          </w:tcPr>
          <w:p w14:paraId="5BCA29A0" w14:textId="0FE04256" w:rsidR="004C3C6A" w:rsidRPr="00ED4D49" w:rsidRDefault="004C3C6A" w:rsidP="00567DBF">
            <w:pPr>
              <w:spacing w:before="60" w:after="60"/>
              <w:rPr>
                <w:sz w:val="18"/>
                <w:szCs w:val="18"/>
                <w:lang w:val="en-US"/>
              </w:rPr>
            </w:pPr>
            <w:r w:rsidRPr="00ED4D49">
              <w:rPr>
                <w:sz w:val="18"/>
                <w:szCs w:val="18"/>
                <w:lang w:val="en-US"/>
              </w:rPr>
              <w:t>Preparation of regional studies that will ultimately support integrated river basin planning, water resources management, flood monitoring, etc., thereby indirectly increasing the resilience of riparian countries to climate change.</w:t>
            </w:r>
          </w:p>
        </w:tc>
        <w:tc>
          <w:tcPr>
            <w:tcW w:w="4678" w:type="dxa"/>
            <w:vMerge w:val="restart"/>
          </w:tcPr>
          <w:p w14:paraId="080B1ABA" w14:textId="36831AC9" w:rsidR="004C3C6A" w:rsidRPr="00ED4D49" w:rsidRDefault="004C3C6A" w:rsidP="004C3C6A">
            <w:pPr>
              <w:spacing w:before="60" w:after="60"/>
              <w:rPr>
                <w:sz w:val="18"/>
                <w:szCs w:val="18"/>
                <w:lang w:val="en-US"/>
              </w:rPr>
            </w:pPr>
            <w:r w:rsidRPr="00ED4D49">
              <w:rPr>
                <w:b/>
                <w:bCs/>
                <w:sz w:val="18"/>
                <w:szCs w:val="18"/>
                <w:lang w:val="en-US"/>
              </w:rPr>
              <w:t>Impacts:</w:t>
            </w:r>
            <w:r w:rsidRPr="00ED4D49">
              <w:rPr>
                <w:sz w:val="18"/>
                <w:szCs w:val="18"/>
                <w:lang w:val="en-US"/>
              </w:rPr>
              <w:t xml:space="preserve"> The preparation of regional study does not have impact on environment. However, environmental and possibly other sustainability aspects must be considered effectively in policy, plan and program making. Therefore, it is required to carry out SESA in order to examine environmental and social risks and impacts and propose mitigation measures which will support more effective and efficient decision-making for sustainable development and improved governance.</w:t>
            </w:r>
          </w:p>
          <w:p w14:paraId="2D0D12C2" w14:textId="5149626C" w:rsidR="004C3C6A" w:rsidRPr="00ED4D49" w:rsidRDefault="004C3C6A" w:rsidP="004C3C6A">
            <w:pPr>
              <w:spacing w:before="0" w:after="0"/>
              <w:ind w:right="144"/>
              <w:rPr>
                <w:sz w:val="18"/>
                <w:szCs w:val="18"/>
                <w:lang w:val="en-US"/>
              </w:rPr>
            </w:pPr>
            <w:r w:rsidRPr="00ED4D49">
              <w:rPr>
                <w:b/>
                <w:bCs/>
                <w:sz w:val="18"/>
                <w:szCs w:val="18"/>
                <w:lang w:val="en-US"/>
              </w:rPr>
              <w:t>Likelihood:</w:t>
            </w:r>
            <w:r w:rsidRPr="00ED4D49">
              <w:rPr>
                <w:sz w:val="18"/>
                <w:szCs w:val="18"/>
                <w:lang w:val="en-US"/>
              </w:rPr>
              <w:t xml:space="preserve"> Low </w:t>
            </w:r>
          </w:p>
          <w:p w14:paraId="6995775D" w14:textId="37072C59" w:rsidR="004C3C6A" w:rsidRPr="00ED4D49" w:rsidRDefault="004C3C6A" w:rsidP="004C3C6A">
            <w:pPr>
              <w:spacing w:before="0" w:after="0"/>
              <w:ind w:right="144"/>
              <w:rPr>
                <w:sz w:val="18"/>
                <w:szCs w:val="18"/>
                <w:lang w:val="en-US"/>
              </w:rPr>
            </w:pPr>
            <w:r w:rsidRPr="00ED4D49">
              <w:rPr>
                <w:b/>
                <w:bCs/>
                <w:sz w:val="18"/>
                <w:szCs w:val="18"/>
                <w:lang w:val="en-US"/>
              </w:rPr>
              <w:t>Magnitude of consequence:</w:t>
            </w:r>
            <w:r w:rsidRPr="00ED4D49">
              <w:rPr>
                <w:sz w:val="18"/>
                <w:szCs w:val="18"/>
                <w:lang w:val="en-US"/>
              </w:rPr>
              <w:t xml:space="preserve"> Minor</w:t>
            </w:r>
          </w:p>
          <w:p w14:paraId="75ABD5F5" w14:textId="6BBB48A9" w:rsidR="004C3C6A" w:rsidRPr="00ED4D49" w:rsidRDefault="004C3C6A" w:rsidP="004C3C6A">
            <w:pPr>
              <w:spacing w:before="60" w:after="60"/>
              <w:rPr>
                <w:sz w:val="18"/>
                <w:szCs w:val="18"/>
                <w:lang w:val="en-US"/>
              </w:rPr>
            </w:pPr>
            <w:r w:rsidRPr="00ED4D49">
              <w:rPr>
                <w:b/>
                <w:bCs/>
                <w:sz w:val="18"/>
                <w:szCs w:val="18"/>
                <w:lang w:val="en-US"/>
              </w:rPr>
              <w:t>ASSESSMENT: LOW RISK</w:t>
            </w:r>
          </w:p>
        </w:tc>
        <w:tc>
          <w:tcPr>
            <w:tcW w:w="3260" w:type="dxa"/>
            <w:vMerge w:val="restart"/>
          </w:tcPr>
          <w:p w14:paraId="19900132" w14:textId="4EC5DD8E" w:rsidR="004C3C6A" w:rsidRPr="00ED4D49" w:rsidRDefault="004C3C6A" w:rsidP="00567DBF">
            <w:pPr>
              <w:spacing w:before="60" w:after="60"/>
              <w:rPr>
                <w:sz w:val="18"/>
                <w:szCs w:val="18"/>
                <w:lang w:val="en-US"/>
              </w:rPr>
            </w:pPr>
            <w:r w:rsidRPr="00ED4D49">
              <w:rPr>
                <w:b/>
                <w:bCs/>
                <w:sz w:val="18"/>
                <w:szCs w:val="18"/>
                <w:lang w:val="en-US"/>
              </w:rPr>
              <w:t>Mitigation measures:</w:t>
            </w:r>
            <w:r w:rsidRPr="00ED4D49">
              <w:rPr>
                <w:sz w:val="18"/>
                <w:szCs w:val="18"/>
                <w:lang w:val="en-US"/>
              </w:rPr>
              <w:t xml:space="preserve"> Prepare SESA and carry out the entity SEA procedure. </w:t>
            </w:r>
          </w:p>
          <w:p w14:paraId="5C3C1B5A" w14:textId="448A9D67" w:rsidR="004C3C6A" w:rsidRPr="00ED4D49" w:rsidRDefault="004C3C6A" w:rsidP="00567DBF">
            <w:pPr>
              <w:spacing w:before="60" w:after="60"/>
              <w:rPr>
                <w:b/>
                <w:bCs/>
                <w:sz w:val="18"/>
                <w:szCs w:val="18"/>
                <w:lang w:val="en-US"/>
              </w:rPr>
            </w:pPr>
            <w:r w:rsidRPr="00ED4D49">
              <w:rPr>
                <w:rFonts w:cs="Courier New"/>
                <w:b/>
                <w:sz w:val="18"/>
                <w:szCs w:val="18"/>
                <w:lang w:val="en-US"/>
              </w:rPr>
              <w:t xml:space="preserve">Monitoring: </w:t>
            </w:r>
            <w:r w:rsidRPr="00ED4D49">
              <w:rPr>
                <w:rFonts w:cs="Courier New"/>
                <w:sz w:val="18"/>
                <w:szCs w:val="18"/>
                <w:lang w:val="en-US"/>
              </w:rPr>
              <w:t>by the implementing agency</w:t>
            </w:r>
          </w:p>
        </w:tc>
      </w:tr>
      <w:tr w:rsidR="004C3C6A" w:rsidRPr="00ED4D49" w14:paraId="342B6636" w14:textId="77777777" w:rsidTr="001229F1">
        <w:tc>
          <w:tcPr>
            <w:tcW w:w="959" w:type="dxa"/>
          </w:tcPr>
          <w:p w14:paraId="5CB20E14" w14:textId="15E6AF41" w:rsidR="004C3C6A" w:rsidRPr="00ED4D49" w:rsidRDefault="004C3C6A" w:rsidP="00567DBF">
            <w:pPr>
              <w:spacing w:before="60" w:after="60"/>
              <w:rPr>
                <w:sz w:val="18"/>
                <w:szCs w:val="18"/>
                <w:lang w:val="en-US"/>
              </w:rPr>
            </w:pPr>
            <w:r w:rsidRPr="00ED4D49">
              <w:rPr>
                <w:sz w:val="18"/>
                <w:szCs w:val="18"/>
                <w:lang w:val="en-US"/>
              </w:rPr>
              <w:t>b)</w:t>
            </w:r>
          </w:p>
        </w:tc>
        <w:tc>
          <w:tcPr>
            <w:tcW w:w="2722" w:type="dxa"/>
            <w:vAlign w:val="bottom"/>
          </w:tcPr>
          <w:p w14:paraId="35D30A01" w14:textId="7FFCF869" w:rsidR="004C3C6A" w:rsidRPr="00ED4D49" w:rsidRDefault="004C3C6A" w:rsidP="00567DBF">
            <w:pPr>
              <w:spacing w:before="60" w:after="60"/>
              <w:rPr>
                <w:sz w:val="18"/>
                <w:szCs w:val="18"/>
                <w:lang w:val="en-US"/>
              </w:rPr>
            </w:pPr>
            <w:r w:rsidRPr="00ED4D49">
              <w:rPr>
                <w:sz w:val="18"/>
                <w:szCs w:val="18"/>
                <w:lang w:val="en-US"/>
              </w:rPr>
              <w:t>Hydrological Study for Sava River Basin</w:t>
            </w:r>
          </w:p>
        </w:tc>
        <w:tc>
          <w:tcPr>
            <w:tcW w:w="2835" w:type="dxa"/>
            <w:vMerge/>
          </w:tcPr>
          <w:p w14:paraId="7C33A20D" w14:textId="77777777" w:rsidR="004C3C6A" w:rsidRPr="00ED4D49" w:rsidRDefault="004C3C6A" w:rsidP="00567DBF">
            <w:pPr>
              <w:spacing w:before="60" w:after="60"/>
              <w:rPr>
                <w:sz w:val="18"/>
                <w:szCs w:val="18"/>
                <w:lang w:val="en-US"/>
              </w:rPr>
            </w:pPr>
          </w:p>
        </w:tc>
        <w:tc>
          <w:tcPr>
            <w:tcW w:w="4678" w:type="dxa"/>
            <w:vMerge/>
          </w:tcPr>
          <w:p w14:paraId="63DCB6D2" w14:textId="77777777" w:rsidR="004C3C6A" w:rsidRPr="00ED4D49" w:rsidRDefault="004C3C6A" w:rsidP="00567DBF">
            <w:pPr>
              <w:spacing w:before="60" w:after="60"/>
              <w:rPr>
                <w:sz w:val="18"/>
                <w:szCs w:val="18"/>
                <w:lang w:val="en-US"/>
              </w:rPr>
            </w:pPr>
          </w:p>
        </w:tc>
        <w:tc>
          <w:tcPr>
            <w:tcW w:w="3260" w:type="dxa"/>
            <w:vMerge/>
          </w:tcPr>
          <w:p w14:paraId="255E77EC" w14:textId="77777777" w:rsidR="004C3C6A" w:rsidRPr="00ED4D49" w:rsidRDefault="004C3C6A" w:rsidP="00567DBF">
            <w:pPr>
              <w:spacing w:before="60" w:after="60"/>
              <w:rPr>
                <w:sz w:val="18"/>
                <w:szCs w:val="18"/>
                <w:lang w:val="en-US"/>
              </w:rPr>
            </w:pPr>
          </w:p>
        </w:tc>
      </w:tr>
      <w:tr w:rsidR="004C3C6A" w:rsidRPr="00ED4D49" w14:paraId="302DDC07" w14:textId="77777777" w:rsidTr="001229F1">
        <w:tc>
          <w:tcPr>
            <w:tcW w:w="959" w:type="dxa"/>
          </w:tcPr>
          <w:p w14:paraId="59CE4FEF" w14:textId="58138641" w:rsidR="004C3C6A" w:rsidRPr="00ED4D49" w:rsidRDefault="004C3C6A" w:rsidP="00567DBF">
            <w:pPr>
              <w:spacing w:before="60" w:after="60"/>
              <w:rPr>
                <w:sz w:val="18"/>
                <w:szCs w:val="18"/>
                <w:lang w:val="en-US"/>
              </w:rPr>
            </w:pPr>
            <w:r w:rsidRPr="00ED4D49">
              <w:rPr>
                <w:sz w:val="18"/>
                <w:szCs w:val="18"/>
                <w:lang w:val="en-US"/>
              </w:rPr>
              <w:t>c)</w:t>
            </w:r>
          </w:p>
        </w:tc>
        <w:tc>
          <w:tcPr>
            <w:tcW w:w="2722" w:type="dxa"/>
            <w:vAlign w:val="bottom"/>
          </w:tcPr>
          <w:p w14:paraId="5ADD5EA3" w14:textId="6A5EBCF3" w:rsidR="004C3C6A" w:rsidRPr="00ED4D49" w:rsidRDefault="004C3C6A" w:rsidP="00567DBF">
            <w:pPr>
              <w:spacing w:before="60" w:after="60"/>
              <w:rPr>
                <w:sz w:val="18"/>
                <w:szCs w:val="18"/>
                <w:lang w:val="en-US"/>
              </w:rPr>
            </w:pPr>
            <w:r w:rsidRPr="00ED4D49">
              <w:rPr>
                <w:sz w:val="18"/>
                <w:szCs w:val="18"/>
                <w:lang w:val="en-US"/>
              </w:rPr>
              <w:t>Study on sediment, water and biota in Sava River Basin</w:t>
            </w:r>
          </w:p>
        </w:tc>
        <w:tc>
          <w:tcPr>
            <w:tcW w:w="2835" w:type="dxa"/>
            <w:vMerge/>
          </w:tcPr>
          <w:p w14:paraId="798472BF" w14:textId="77777777" w:rsidR="004C3C6A" w:rsidRPr="00ED4D49" w:rsidRDefault="004C3C6A" w:rsidP="00567DBF">
            <w:pPr>
              <w:spacing w:before="60" w:after="60"/>
              <w:rPr>
                <w:sz w:val="18"/>
                <w:szCs w:val="18"/>
                <w:lang w:val="en-US"/>
              </w:rPr>
            </w:pPr>
          </w:p>
        </w:tc>
        <w:tc>
          <w:tcPr>
            <w:tcW w:w="4678" w:type="dxa"/>
            <w:vMerge/>
          </w:tcPr>
          <w:p w14:paraId="6932F9ED" w14:textId="77777777" w:rsidR="004C3C6A" w:rsidRPr="00ED4D49" w:rsidRDefault="004C3C6A" w:rsidP="00567DBF">
            <w:pPr>
              <w:spacing w:before="60" w:after="60"/>
              <w:rPr>
                <w:sz w:val="18"/>
                <w:szCs w:val="18"/>
                <w:lang w:val="en-US"/>
              </w:rPr>
            </w:pPr>
          </w:p>
        </w:tc>
        <w:tc>
          <w:tcPr>
            <w:tcW w:w="3260" w:type="dxa"/>
            <w:vMerge/>
          </w:tcPr>
          <w:p w14:paraId="63AAF2B4" w14:textId="77777777" w:rsidR="004C3C6A" w:rsidRPr="00ED4D49" w:rsidRDefault="004C3C6A" w:rsidP="00567DBF">
            <w:pPr>
              <w:spacing w:before="60" w:after="60"/>
              <w:rPr>
                <w:sz w:val="18"/>
                <w:szCs w:val="18"/>
                <w:lang w:val="en-US"/>
              </w:rPr>
            </w:pPr>
          </w:p>
        </w:tc>
      </w:tr>
      <w:tr w:rsidR="004C3C6A" w:rsidRPr="00ED4D49" w14:paraId="1A2F306D" w14:textId="77777777" w:rsidTr="001229F1">
        <w:tc>
          <w:tcPr>
            <w:tcW w:w="959" w:type="dxa"/>
          </w:tcPr>
          <w:p w14:paraId="7DC087A3" w14:textId="56DFD1BE" w:rsidR="004C3C6A" w:rsidRPr="00ED4D49" w:rsidRDefault="004C3C6A" w:rsidP="00567DBF">
            <w:pPr>
              <w:spacing w:before="60" w:after="60"/>
              <w:rPr>
                <w:sz w:val="18"/>
                <w:szCs w:val="18"/>
                <w:lang w:val="en-US"/>
              </w:rPr>
            </w:pPr>
            <w:r w:rsidRPr="00ED4D49">
              <w:rPr>
                <w:sz w:val="18"/>
                <w:szCs w:val="18"/>
                <w:lang w:val="en-US"/>
              </w:rPr>
              <w:t>d)</w:t>
            </w:r>
          </w:p>
        </w:tc>
        <w:tc>
          <w:tcPr>
            <w:tcW w:w="2722" w:type="dxa"/>
            <w:vAlign w:val="bottom"/>
          </w:tcPr>
          <w:p w14:paraId="5E207D83" w14:textId="1F6180F1" w:rsidR="004C3C6A" w:rsidRPr="00ED4D49" w:rsidRDefault="004C3C6A" w:rsidP="00567DBF">
            <w:pPr>
              <w:spacing w:before="60" w:after="60"/>
              <w:rPr>
                <w:sz w:val="18"/>
                <w:szCs w:val="18"/>
                <w:lang w:val="en-US"/>
              </w:rPr>
            </w:pPr>
            <w:r w:rsidRPr="00ED4D49">
              <w:rPr>
                <w:sz w:val="18"/>
                <w:szCs w:val="18"/>
                <w:lang w:val="en-US"/>
              </w:rPr>
              <w:t>Climate Change Adaptation Strategy for the Sava River Basin</w:t>
            </w:r>
          </w:p>
        </w:tc>
        <w:tc>
          <w:tcPr>
            <w:tcW w:w="2835" w:type="dxa"/>
            <w:vMerge/>
          </w:tcPr>
          <w:p w14:paraId="1F7BE9D3" w14:textId="77777777" w:rsidR="004C3C6A" w:rsidRPr="00ED4D49" w:rsidRDefault="004C3C6A" w:rsidP="00567DBF">
            <w:pPr>
              <w:spacing w:before="60" w:after="60"/>
              <w:rPr>
                <w:sz w:val="18"/>
                <w:szCs w:val="18"/>
                <w:lang w:val="en-US"/>
              </w:rPr>
            </w:pPr>
          </w:p>
        </w:tc>
        <w:tc>
          <w:tcPr>
            <w:tcW w:w="4678" w:type="dxa"/>
            <w:vMerge/>
          </w:tcPr>
          <w:p w14:paraId="6FC61852" w14:textId="77777777" w:rsidR="004C3C6A" w:rsidRPr="00ED4D49" w:rsidRDefault="004C3C6A" w:rsidP="00567DBF">
            <w:pPr>
              <w:spacing w:before="60" w:after="60"/>
              <w:rPr>
                <w:sz w:val="18"/>
                <w:szCs w:val="18"/>
                <w:lang w:val="en-US"/>
              </w:rPr>
            </w:pPr>
          </w:p>
        </w:tc>
        <w:tc>
          <w:tcPr>
            <w:tcW w:w="3260" w:type="dxa"/>
            <w:vMerge/>
          </w:tcPr>
          <w:p w14:paraId="1D9FE55F" w14:textId="77777777" w:rsidR="004C3C6A" w:rsidRPr="00ED4D49" w:rsidRDefault="004C3C6A" w:rsidP="00567DBF">
            <w:pPr>
              <w:spacing w:before="60" w:after="60"/>
              <w:rPr>
                <w:sz w:val="18"/>
                <w:szCs w:val="18"/>
                <w:lang w:val="en-US"/>
              </w:rPr>
            </w:pPr>
          </w:p>
        </w:tc>
      </w:tr>
      <w:tr w:rsidR="004C3C6A" w:rsidRPr="00ED4D49" w14:paraId="275FAC1A" w14:textId="77777777" w:rsidTr="001229F1">
        <w:tc>
          <w:tcPr>
            <w:tcW w:w="959" w:type="dxa"/>
          </w:tcPr>
          <w:p w14:paraId="7BB1BBB9" w14:textId="0197F03B" w:rsidR="004C3C6A" w:rsidRPr="00ED4D49" w:rsidRDefault="004C3C6A" w:rsidP="00567DBF">
            <w:pPr>
              <w:spacing w:before="60" w:after="60"/>
              <w:rPr>
                <w:sz w:val="18"/>
                <w:szCs w:val="18"/>
                <w:lang w:val="en-US"/>
              </w:rPr>
            </w:pPr>
            <w:r w:rsidRPr="00ED4D49">
              <w:rPr>
                <w:sz w:val="18"/>
                <w:szCs w:val="18"/>
                <w:lang w:val="en-US"/>
              </w:rPr>
              <w:t>e)</w:t>
            </w:r>
          </w:p>
        </w:tc>
        <w:tc>
          <w:tcPr>
            <w:tcW w:w="2722" w:type="dxa"/>
            <w:vAlign w:val="bottom"/>
          </w:tcPr>
          <w:p w14:paraId="6C7B94A0" w14:textId="1C5A227C" w:rsidR="004C3C6A" w:rsidRPr="00ED4D49" w:rsidRDefault="004C3C6A" w:rsidP="00567DBF">
            <w:pPr>
              <w:spacing w:before="60" w:after="60"/>
              <w:rPr>
                <w:sz w:val="18"/>
                <w:szCs w:val="18"/>
                <w:lang w:val="en-US"/>
              </w:rPr>
            </w:pPr>
            <w:r w:rsidRPr="00ED4D49">
              <w:rPr>
                <w:sz w:val="18"/>
                <w:szCs w:val="18"/>
                <w:lang w:val="en-US"/>
              </w:rPr>
              <w:t>Design of a Master Plan for Sustainable Tourism Development in Sava River Basin</w:t>
            </w:r>
          </w:p>
        </w:tc>
        <w:tc>
          <w:tcPr>
            <w:tcW w:w="2835" w:type="dxa"/>
            <w:vMerge/>
          </w:tcPr>
          <w:p w14:paraId="5C01B808" w14:textId="77777777" w:rsidR="004C3C6A" w:rsidRPr="00ED4D49" w:rsidRDefault="004C3C6A" w:rsidP="00567DBF">
            <w:pPr>
              <w:spacing w:before="60" w:after="60"/>
              <w:rPr>
                <w:sz w:val="18"/>
                <w:szCs w:val="18"/>
                <w:lang w:val="en-US"/>
              </w:rPr>
            </w:pPr>
          </w:p>
        </w:tc>
        <w:tc>
          <w:tcPr>
            <w:tcW w:w="4678" w:type="dxa"/>
            <w:vMerge/>
          </w:tcPr>
          <w:p w14:paraId="48FDF920" w14:textId="77777777" w:rsidR="004C3C6A" w:rsidRPr="00ED4D49" w:rsidRDefault="004C3C6A" w:rsidP="00567DBF">
            <w:pPr>
              <w:spacing w:before="60" w:after="60"/>
              <w:rPr>
                <w:sz w:val="18"/>
                <w:szCs w:val="18"/>
                <w:lang w:val="en-US"/>
              </w:rPr>
            </w:pPr>
          </w:p>
        </w:tc>
        <w:tc>
          <w:tcPr>
            <w:tcW w:w="3260" w:type="dxa"/>
            <w:vMerge/>
          </w:tcPr>
          <w:p w14:paraId="524B21E2" w14:textId="77777777" w:rsidR="004C3C6A" w:rsidRPr="00ED4D49" w:rsidRDefault="004C3C6A" w:rsidP="00567DBF">
            <w:pPr>
              <w:spacing w:before="60" w:after="60"/>
              <w:rPr>
                <w:sz w:val="18"/>
                <w:szCs w:val="18"/>
                <w:lang w:val="en-US"/>
              </w:rPr>
            </w:pPr>
          </w:p>
        </w:tc>
      </w:tr>
    </w:tbl>
    <w:p w14:paraId="1B929FCB" w14:textId="3CB30886" w:rsidR="0079388E" w:rsidRPr="00ED4D49" w:rsidRDefault="0079388E" w:rsidP="00E314D5">
      <w:pPr>
        <w:rPr>
          <w:sz w:val="18"/>
          <w:szCs w:val="18"/>
          <w:lang w:val="en-US"/>
        </w:rPr>
      </w:pPr>
    </w:p>
    <w:p w14:paraId="3B5ADD43" w14:textId="77777777" w:rsidR="0079388E" w:rsidRPr="00ED4D49" w:rsidRDefault="0079388E" w:rsidP="00E314D5">
      <w:pPr>
        <w:rPr>
          <w:sz w:val="18"/>
          <w:szCs w:val="18"/>
          <w:lang w:val="en-US"/>
        </w:rPr>
      </w:pPr>
    </w:p>
    <w:p w14:paraId="0B058C2B" w14:textId="5472D340" w:rsidR="0079388E" w:rsidRPr="00ED4D49" w:rsidRDefault="0079388E" w:rsidP="00E314D5">
      <w:pPr>
        <w:rPr>
          <w:sz w:val="18"/>
          <w:szCs w:val="18"/>
          <w:lang w:val="en-US"/>
        </w:rPr>
      </w:pPr>
    </w:p>
    <w:p w14:paraId="1B922645" w14:textId="77777777" w:rsidR="0079388E" w:rsidRPr="00ED4D49" w:rsidRDefault="0079388E" w:rsidP="00E314D5">
      <w:pPr>
        <w:rPr>
          <w:lang w:val="en-US"/>
        </w:rPr>
        <w:sectPr w:rsidR="0079388E" w:rsidRPr="00ED4D49" w:rsidSect="0079388E">
          <w:headerReference w:type="default" r:id="rId39"/>
          <w:headerReference w:type="first" r:id="rId40"/>
          <w:pgSz w:w="16840" w:h="11900" w:orient="landscape"/>
          <w:pgMar w:top="1440" w:right="1440" w:bottom="1440" w:left="1440" w:header="720" w:footer="720" w:gutter="0"/>
          <w:cols w:space="720"/>
          <w:titlePg/>
          <w:docGrid w:linePitch="360"/>
        </w:sectPr>
      </w:pPr>
    </w:p>
    <w:p w14:paraId="5A1A53F7" w14:textId="6CE263E8" w:rsidR="007D1D57" w:rsidRPr="00ED4D49" w:rsidRDefault="007D1D57" w:rsidP="0063606C">
      <w:pPr>
        <w:pStyle w:val="Heading2"/>
      </w:pPr>
      <w:bookmarkStart w:id="238" w:name="_Toc31811101"/>
      <w:r w:rsidRPr="00ED4D49">
        <w:lastRenderedPageBreak/>
        <w:t xml:space="preserve">Environmental and Social </w:t>
      </w:r>
      <w:r w:rsidR="0099030A" w:rsidRPr="00ED4D49">
        <w:t>Requirements</w:t>
      </w:r>
      <w:bookmarkEnd w:id="238"/>
      <w:r w:rsidR="0099030A" w:rsidRPr="00ED4D49">
        <w:t xml:space="preserve"> </w:t>
      </w:r>
    </w:p>
    <w:p w14:paraId="356B00CE" w14:textId="54A0E5CF" w:rsidR="00391287" w:rsidRPr="00ED4D49" w:rsidRDefault="00391287" w:rsidP="00391287">
      <w:pPr>
        <w:jc w:val="both"/>
        <w:rPr>
          <w:rFonts w:cs="Calibri"/>
          <w:lang w:val="en-US" w:eastAsia="x-none"/>
        </w:rPr>
      </w:pPr>
      <w:r w:rsidRPr="00ED4D49">
        <w:rPr>
          <w:rFonts w:cs="Calibri"/>
          <w:lang w:val="en-US" w:eastAsia="x-none"/>
        </w:rPr>
        <w:t xml:space="preserve">Since </w:t>
      </w:r>
      <w:r w:rsidR="003110CD" w:rsidRPr="00ED4D49">
        <w:rPr>
          <w:rFonts w:cs="Calibri"/>
          <w:lang w:val="en-US" w:eastAsia="x-none"/>
        </w:rPr>
        <w:t>SDIP</w:t>
      </w:r>
      <w:r w:rsidRPr="00ED4D49">
        <w:rPr>
          <w:rStyle w:val="tlid-translation"/>
          <w:rFonts w:cs="Calibri"/>
          <w:lang w:val="en-US"/>
        </w:rPr>
        <w:t xml:space="preserve"> involves a set of subprojects</w:t>
      </w:r>
      <w:r w:rsidR="004347CC" w:rsidRPr="00ED4D49">
        <w:rPr>
          <w:rStyle w:val="tlid-translation"/>
          <w:rFonts w:cs="Calibri"/>
          <w:lang w:val="en-US"/>
        </w:rPr>
        <w:t xml:space="preserve"> to be</w:t>
      </w:r>
      <w:r w:rsidRPr="00ED4D49">
        <w:rPr>
          <w:rStyle w:val="tlid-translation"/>
          <w:rFonts w:cs="Calibri"/>
          <w:lang w:val="en-US"/>
        </w:rPr>
        <w:t xml:space="preserve"> identified, prepared and implemented during the project, p</w:t>
      </w:r>
      <w:r w:rsidRPr="00ED4D49">
        <w:rPr>
          <w:lang w:val="en-US" w:eastAsia="x-none"/>
        </w:rPr>
        <w:t xml:space="preserve">ursuant to the </w:t>
      </w:r>
      <w:r w:rsidR="003110CD" w:rsidRPr="00ED4D49">
        <w:rPr>
          <w:lang w:val="en-US" w:eastAsia="x-none"/>
        </w:rPr>
        <w:t>WB</w:t>
      </w:r>
      <w:r w:rsidRPr="00ED4D49">
        <w:rPr>
          <w:lang w:val="en-US" w:eastAsia="x-none"/>
        </w:rPr>
        <w:t xml:space="preserve"> </w:t>
      </w:r>
      <w:r w:rsidR="003110CD" w:rsidRPr="00ED4D49">
        <w:rPr>
          <w:lang w:val="en-US" w:eastAsia="x-none"/>
        </w:rPr>
        <w:t>E&amp;S</w:t>
      </w:r>
      <w:r w:rsidRPr="00ED4D49">
        <w:rPr>
          <w:lang w:val="en-US" w:eastAsia="x-none"/>
        </w:rPr>
        <w:t xml:space="preserve"> requirements described in </w:t>
      </w:r>
      <w:r w:rsidRPr="00ED4D49">
        <w:rPr>
          <w:rFonts w:cs="Calibri"/>
          <w:color w:val="1F497D"/>
          <w:szCs w:val="20"/>
          <w:lang w:val="en-US"/>
        </w:rPr>
        <w:t>ESS 1 – Assessment and Management of E&amp;S Risks and Impacts</w:t>
      </w:r>
      <w:r w:rsidRPr="00ED4D49">
        <w:rPr>
          <w:lang w:val="en-US" w:eastAsia="x-none"/>
        </w:rPr>
        <w:t xml:space="preserve">, </w:t>
      </w:r>
      <w:r w:rsidR="003110CD" w:rsidRPr="00ED4D49">
        <w:rPr>
          <w:lang w:val="en-US" w:eastAsia="x-none"/>
        </w:rPr>
        <w:t xml:space="preserve">the </w:t>
      </w:r>
      <w:r w:rsidRPr="00ED4D49">
        <w:rPr>
          <w:lang w:val="en-US" w:eastAsia="x-none"/>
        </w:rPr>
        <w:t xml:space="preserve">PIUs will assess </w:t>
      </w:r>
      <w:r w:rsidR="004347CC" w:rsidRPr="00ED4D49">
        <w:rPr>
          <w:rFonts w:cs="Calibri"/>
          <w:lang w:val="en-US" w:eastAsia="x-none"/>
        </w:rPr>
        <w:t>the E&amp;S</w:t>
      </w:r>
      <w:r w:rsidRPr="00ED4D49">
        <w:rPr>
          <w:rFonts w:cs="Calibri"/>
          <w:lang w:val="en-US" w:eastAsia="x-none"/>
        </w:rPr>
        <w:t xml:space="preserve"> impacts of each sub-component and related </w:t>
      </w:r>
      <w:r w:rsidR="00BB3655" w:rsidRPr="00ED4D49">
        <w:rPr>
          <w:rFonts w:cs="Calibri"/>
          <w:lang w:val="en-US" w:eastAsia="x-none"/>
        </w:rPr>
        <w:t>subprojects</w:t>
      </w:r>
      <w:r w:rsidRPr="00ED4D49">
        <w:rPr>
          <w:rFonts w:cs="Calibri"/>
          <w:lang w:val="en-US" w:eastAsia="x-none"/>
        </w:rPr>
        <w:t xml:space="preserve"> using this </w:t>
      </w:r>
      <w:r w:rsidR="004347CC" w:rsidRPr="00ED4D49">
        <w:rPr>
          <w:rFonts w:cs="Calibri"/>
          <w:lang w:val="en-US" w:eastAsia="x-none"/>
        </w:rPr>
        <w:t>ESMF</w:t>
      </w:r>
      <w:r w:rsidRPr="00ED4D49">
        <w:rPr>
          <w:rFonts w:cs="Calibri"/>
          <w:lang w:val="en-US" w:eastAsia="x-none"/>
        </w:rPr>
        <w:t xml:space="preserve">. </w:t>
      </w:r>
    </w:p>
    <w:p w14:paraId="650AA68A" w14:textId="0D9924AB" w:rsidR="00391287" w:rsidRPr="00ED4D49" w:rsidRDefault="00391287" w:rsidP="00391287">
      <w:pPr>
        <w:jc w:val="both"/>
        <w:rPr>
          <w:rFonts w:cs="Calibri"/>
          <w:lang w:val="en-US"/>
        </w:rPr>
      </w:pPr>
      <w:bookmarkStart w:id="239" w:name="_Hlk25324744"/>
      <w:r w:rsidRPr="00ED4D49">
        <w:rPr>
          <w:rFonts w:cs="Calibri"/>
          <w:lang w:val="en-US" w:eastAsia="x-none"/>
        </w:rPr>
        <w:t xml:space="preserve">For each individual </w:t>
      </w:r>
      <w:r w:rsidR="00481A75" w:rsidRPr="00ED4D49">
        <w:rPr>
          <w:rFonts w:cs="Calibri"/>
          <w:lang w:val="en-US" w:eastAsia="x-none"/>
        </w:rPr>
        <w:t>subproject</w:t>
      </w:r>
      <w:r w:rsidRPr="00ED4D49">
        <w:rPr>
          <w:rFonts w:cs="Calibri"/>
          <w:lang w:val="en-US" w:eastAsia="x-none"/>
        </w:rPr>
        <w:t xml:space="preserve">, </w:t>
      </w:r>
      <w:r w:rsidR="00FA7A4E" w:rsidRPr="00ED4D49">
        <w:rPr>
          <w:rFonts w:cs="Calibri"/>
          <w:lang w:val="en-US" w:eastAsia="x-none"/>
        </w:rPr>
        <w:t xml:space="preserve">the </w:t>
      </w:r>
      <w:r w:rsidRPr="00ED4D49">
        <w:rPr>
          <w:rFonts w:cs="Calibri"/>
          <w:lang w:val="en-US" w:eastAsia="x-none"/>
        </w:rPr>
        <w:t xml:space="preserve">PIUs will prepare </w:t>
      </w:r>
      <w:r w:rsidRPr="00ED4D49">
        <w:rPr>
          <w:rFonts w:cs="Calibri"/>
          <w:bCs/>
          <w:lang w:val="en-US"/>
        </w:rPr>
        <w:t>an ESIA or ESMP</w:t>
      </w:r>
      <w:r w:rsidRPr="00ED4D49">
        <w:rPr>
          <w:rFonts w:cs="Calibri"/>
          <w:lang w:val="en-US"/>
        </w:rPr>
        <w:t xml:space="preserve"> using guidance </w:t>
      </w:r>
      <w:r w:rsidR="00FA7A4E" w:rsidRPr="00ED4D49">
        <w:rPr>
          <w:rFonts w:cs="Calibri"/>
          <w:lang w:val="en-US"/>
        </w:rPr>
        <w:t>provided in</w:t>
      </w:r>
      <w:r w:rsidRPr="00ED4D49">
        <w:rPr>
          <w:rFonts w:cs="Calibri"/>
          <w:lang w:val="en-US"/>
        </w:rPr>
        <w:t xml:space="preserve"> this ESMF. The selection of the E&amp;S instrument will be based on the screening process and the determined </w:t>
      </w:r>
      <w:r w:rsidR="0099422A" w:rsidRPr="00ED4D49">
        <w:rPr>
          <w:rFonts w:cs="Calibri"/>
          <w:lang w:val="en-US"/>
        </w:rPr>
        <w:t>subproject</w:t>
      </w:r>
      <w:r w:rsidR="00707673" w:rsidRPr="00ED4D49">
        <w:rPr>
          <w:rFonts w:cs="Calibri"/>
          <w:lang w:val="en-US"/>
        </w:rPr>
        <w:t xml:space="preserve"> </w:t>
      </w:r>
      <w:r w:rsidRPr="00ED4D49">
        <w:rPr>
          <w:rFonts w:cs="Calibri"/>
          <w:lang w:val="en-US"/>
        </w:rPr>
        <w:t>E&amp;S risk as follows:</w:t>
      </w:r>
    </w:p>
    <w:p w14:paraId="64A3F5D0" w14:textId="1BDA864D" w:rsidR="00391287" w:rsidRPr="00ED4D49" w:rsidRDefault="00391287" w:rsidP="008D64BA">
      <w:pPr>
        <w:pStyle w:val="Bullets"/>
      </w:pPr>
      <w:bookmarkStart w:id="240" w:name="_Hlk25324756"/>
      <w:bookmarkEnd w:id="239"/>
      <w:r w:rsidRPr="00ED4D49">
        <w:t xml:space="preserve">for “high” risk </w:t>
      </w:r>
      <w:r w:rsidR="00BB3655" w:rsidRPr="00ED4D49">
        <w:t>subprojects</w:t>
      </w:r>
      <w:r w:rsidR="00707673" w:rsidRPr="00ED4D49">
        <w:t>,</w:t>
      </w:r>
      <w:r w:rsidRPr="00ED4D49">
        <w:t xml:space="preserve"> an ESIA will be prepared in accordance with this ESMF</w:t>
      </w:r>
      <w:r w:rsidR="00DB7966" w:rsidRPr="00ED4D49">
        <w:t xml:space="preserve"> and provisions set forth under ESS1 and </w:t>
      </w:r>
      <w:r w:rsidR="00707673" w:rsidRPr="00ED4D49">
        <w:t xml:space="preserve">the </w:t>
      </w:r>
      <w:r w:rsidR="00DB7966" w:rsidRPr="00ED4D49">
        <w:t>ESF</w:t>
      </w:r>
      <w:r w:rsidRPr="00ED4D49">
        <w:t xml:space="preserve">, </w:t>
      </w:r>
    </w:p>
    <w:bookmarkEnd w:id="240"/>
    <w:p w14:paraId="011A2C2B" w14:textId="5A82A11A" w:rsidR="00391287" w:rsidRPr="00ED4D49" w:rsidRDefault="00391287" w:rsidP="008D64BA">
      <w:pPr>
        <w:pStyle w:val="Bullets"/>
      </w:pPr>
      <w:r w:rsidRPr="00ED4D49">
        <w:t xml:space="preserve">for “moderate” and “low” risk </w:t>
      </w:r>
      <w:r w:rsidR="00BB3655" w:rsidRPr="00ED4D49">
        <w:t>subprojects</w:t>
      </w:r>
      <w:r w:rsidR="00707673" w:rsidRPr="00ED4D49">
        <w:t>,</w:t>
      </w:r>
      <w:r w:rsidRPr="00ED4D49">
        <w:t xml:space="preserve"> </w:t>
      </w:r>
      <w:r w:rsidR="00707673" w:rsidRPr="00ED4D49">
        <w:t>an</w:t>
      </w:r>
      <w:r w:rsidRPr="00ED4D49">
        <w:t xml:space="preserve"> assessment will be carried out in line with the FB</w:t>
      </w:r>
      <w:r w:rsidR="00707673" w:rsidRPr="00ED4D49">
        <w:t>i</w:t>
      </w:r>
      <w:r w:rsidRPr="00ED4D49">
        <w:t>H, RS and BD environmental laws (</w:t>
      </w:r>
      <w:r w:rsidR="00707673" w:rsidRPr="00ED4D49">
        <w:t>depending on</w:t>
      </w:r>
      <w:r w:rsidRPr="00ED4D49">
        <w:t xml:space="preserve"> the project location) and will include </w:t>
      </w:r>
      <w:bookmarkStart w:id="241" w:name="_Hlk25324777"/>
      <w:r w:rsidR="00A60520" w:rsidRPr="00ED4D49">
        <w:t xml:space="preserve">the </w:t>
      </w:r>
      <w:bookmarkEnd w:id="241"/>
      <w:r w:rsidRPr="00ED4D49">
        <w:t xml:space="preserve">preparation of a site-specific ESMP in line with this ESMF. </w:t>
      </w:r>
    </w:p>
    <w:p w14:paraId="641D2DE8" w14:textId="5C83880B" w:rsidR="00391287" w:rsidRPr="00ED4D49" w:rsidRDefault="00391287" w:rsidP="00391287">
      <w:pPr>
        <w:jc w:val="both"/>
        <w:rPr>
          <w:lang w:val="en-US"/>
        </w:rPr>
      </w:pPr>
      <w:r w:rsidRPr="00ED4D49">
        <w:rPr>
          <w:lang w:val="en-US"/>
        </w:rPr>
        <w:t xml:space="preserve">The preliminary E&amp;S assessment presented in </w:t>
      </w:r>
      <w:r w:rsidRPr="00ED4D49">
        <w:rPr>
          <w:lang w:val="en-US"/>
        </w:rPr>
        <w:fldChar w:fldCharType="begin"/>
      </w:r>
      <w:r w:rsidRPr="00ED4D49">
        <w:rPr>
          <w:lang w:val="en-US"/>
        </w:rPr>
        <w:instrText xml:space="preserve"> REF _Ref22291948 \h  \* MERGEFORMAT </w:instrText>
      </w:r>
      <w:r w:rsidRPr="00ED4D49">
        <w:rPr>
          <w:lang w:val="en-US"/>
        </w:rPr>
      </w:r>
      <w:r w:rsidRPr="00ED4D49">
        <w:rPr>
          <w:lang w:val="en-US"/>
        </w:rPr>
        <w:fldChar w:fldCharType="separate"/>
      </w:r>
      <w:r w:rsidR="00F60130" w:rsidRPr="00ED4D49">
        <w:rPr>
          <w:lang w:val="en-US"/>
        </w:rPr>
        <w:t>Table 24</w:t>
      </w:r>
      <w:r w:rsidRPr="00ED4D49">
        <w:rPr>
          <w:lang w:val="en-US"/>
        </w:rPr>
        <w:fldChar w:fldCharType="end"/>
      </w:r>
      <w:r w:rsidRPr="00ED4D49">
        <w:rPr>
          <w:lang w:val="en-US"/>
        </w:rPr>
        <w:t xml:space="preserve"> indicates that, for now, none of the project activities </w:t>
      </w:r>
      <w:r w:rsidRPr="00ED4D49">
        <w:rPr>
          <w:rFonts w:cs="Calibri"/>
          <w:bCs/>
          <w:lang w:val="en-US"/>
        </w:rPr>
        <w:t>are</w:t>
      </w:r>
      <w:r w:rsidRPr="00ED4D49">
        <w:rPr>
          <w:lang w:val="en-US"/>
        </w:rPr>
        <w:t xml:space="preserve"> assessed to be of high risk. </w:t>
      </w:r>
      <w:r w:rsidR="003B3AF7" w:rsidRPr="00ED4D49">
        <w:rPr>
          <w:lang w:val="en-US"/>
        </w:rPr>
        <w:t xml:space="preserve"> </w:t>
      </w:r>
    </w:p>
    <w:p w14:paraId="0299E4D3" w14:textId="18A4F6AC" w:rsidR="00391287" w:rsidRPr="00ED4D49" w:rsidRDefault="00391287" w:rsidP="00391287">
      <w:pPr>
        <w:jc w:val="both"/>
        <w:rPr>
          <w:i/>
          <w:iCs/>
          <w:lang w:val="en-US" w:eastAsia="x-none"/>
        </w:rPr>
      </w:pPr>
      <w:r w:rsidRPr="00ED4D49">
        <w:rPr>
          <w:lang w:val="en-US" w:eastAsia="x-none"/>
        </w:rPr>
        <w:fldChar w:fldCharType="begin"/>
      </w:r>
      <w:r w:rsidRPr="00ED4D49">
        <w:rPr>
          <w:lang w:val="en-US" w:eastAsia="x-none"/>
        </w:rPr>
        <w:instrText xml:space="preserve"> REF _Ref22291948 \h  \* MERGEFORMAT </w:instrText>
      </w:r>
      <w:r w:rsidRPr="00ED4D49">
        <w:rPr>
          <w:lang w:val="en-US" w:eastAsia="x-none"/>
        </w:rPr>
      </w:r>
      <w:r w:rsidRPr="00ED4D49">
        <w:rPr>
          <w:lang w:val="en-US" w:eastAsia="x-none"/>
        </w:rPr>
        <w:fldChar w:fldCharType="separate"/>
      </w:r>
      <w:r w:rsidR="00F60130" w:rsidRPr="00ED4D49">
        <w:rPr>
          <w:lang w:val="en-US" w:eastAsia="x-none"/>
        </w:rPr>
        <w:t>Table 24</w:t>
      </w:r>
      <w:r w:rsidRPr="00ED4D49">
        <w:rPr>
          <w:lang w:val="en-US" w:eastAsia="x-none"/>
        </w:rPr>
        <w:fldChar w:fldCharType="end"/>
      </w:r>
      <w:r w:rsidRPr="00ED4D49">
        <w:rPr>
          <w:lang w:val="en-US" w:eastAsia="x-none"/>
        </w:rPr>
        <w:t xml:space="preserve"> provides </w:t>
      </w:r>
      <w:r w:rsidR="003B3AF7" w:rsidRPr="00ED4D49">
        <w:rPr>
          <w:lang w:val="en-US" w:eastAsia="x-none"/>
        </w:rPr>
        <w:t xml:space="preserve">a </w:t>
      </w:r>
      <w:r w:rsidRPr="00ED4D49">
        <w:rPr>
          <w:lang w:val="en-US" w:eastAsia="x-none"/>
        </w:rPr>
        <w:t xml:space="preserve">review of the activities that will be implemented in </w:t>
      </w:r>
      <w:r w:rsidR="003B3AF7" w:rsidRPr="00ED4D49">
        <w:rPr>
          <w:lang w:val="en-US" w:eastAsia="x-none"/>
        </w:rPr>
        <w:t xml:space="preserve">the </w:t>
      </w:r>
      <w:r w:rsidRPr="00ED4D49">
        <w:rPr>
          <w:lang w:val="en-US" w:eastAsia="x-none"/>
        </w:rPr>
        <w:t xml:space="preserve">framework of Component 1 and Component 2 versus the WB and the national </w:t>
      </w:r>
      <w:r w:rsidR="003B3AF7" w:rsidRPr="00ED4D49">
        <w:rPr>
          <w:rFonts w:cs="Calibri"/>
          <w:lang w:val="en-US" w:eastAsia="x-none"/>
        </w:rPr>
        <w:t>E&amp;S</w:t>
      </w:r>
      <w:r w:rsidR="003B3AF7" w:rsidRPr="00ED4D49">
        <w:rPr>
          <w:lang w:val="en-US" w:eastAsia="x-none"/>
        </w:rPr>
        <w:t xml:space="preserve"> </w:t>
      </w:r>
      <w:r w:rsidRPr="00ED4D49">
        <w:rPr>
          <w:lang w:val="en-US" w:eastAsia="x-none"/>
        </w:rPr>
        <w:t xml:space="preserve">requirements that need to be fulfilled in the process of project approval. </w:t>
      </w:r>
      <w:r w:rsidR="00A4197E" w:rsidRPr="00ED4D49">
        <w:rPr>
          <w:lang w:val="en-US" w:eastAsia="x-none"/>
        </w:rPr>
        <w:t xml:space="preserve">The national requirements stem from </w:t>
      </w:r>
      <w:r w:rsidR="00A60520" w:rsidRPr="00ED4D49">
        <w:rPr>
          <w:lang w:val="en-US" w:eastAsia="x-none"/>
        </w:rPr>
        <w:t xml:space="preserve">the </w:t>
      </w:r>
      <w:r w:rsidR="00A4197E" w:rsidRPr="00ED4D49">
        <w:rPr>
          <w:lang w:val="en-US" w:eastAsia="x-none"/>
        </w:rPr>
        <w:t xml:space="preserve">legal requirements in the field of environmental protection, water management and physical planning and construction in FBiH, RS and BD, previously described in detail in </w:t>
      </w:r>
      <w:r w:rsidR="00A4197E" w:rsidRPr="00ED4D49">
        <w:rPr>
          <w:i/>
          <w:iCs/>
          <w:lang w:val="en-US" w:eastAsia="x-none"/>
        </w:rPr>
        <w:t xml:space="preserve">Chapter </w:t>
      </w:r>
      <w:r w:rsidR="00A4197E" w:rsidRPr="00ED4D49">
        <w:rPr>
          <w:i/>
          <w:iCs/>
          <w:lang w:val="en-US" w:eastAsia="x-none"/>
        </w:rPr>
        <w:fldChar w:fldCharType="begin"/>
      </w:r>
      <w:r w:rsidR="00A4197E" w:rsidRPr="00ED4D49">
        <w:rPr>
          <w:i/>
          <w:iCs/>
          <w:lang w:val="en-US" w:eastAsia="x-none"/>
        </w:rPr>
        <w:instrText xml:space="preserve"> REF _Ref22286181 \w \h </w:instrText>
      </w:r>
      <w:r w:rsidR="003B3AF7" w:rsidRPr="00ED4D49">
        <w:rPr>
          <w:i/>
          <w:iCs/>
          <w:lang w:val="en-US" w:eastAsia="x-none"/>
        </w:rPr>
        <w:instrText xml:space="preserve"> \* MERGEFORMAT </w:instrText>
      </w:r>
      <w:r w:rsidR="00A4197E" w:rsidRPr="00ED4D49">
        <w:rPr>
          <w:i/>
          <w:iCs/>
          <w:lang w:val="en-US" w:eastAsia="x-none"/>
        </w:rPr>
      </w:r>
      <w:r w:rsidR="00A4197E" w:rsidRPr="00ED4D49">
        <w:rPr>
          <w:i/>
          <w:iCs/>
          <w:lang w:val="en-US" w:eastAsia="x-none"/>
        </w:rPr>
        <w:fldChar w:fldCharType="separate"/>
      </w:r>
      <w:r w:rsidR="00F60130" w:rsidRPr="00ED4D49">
        <w:rPr>
          <w:i/>
          <w:iCs/>
          <w:lang w:val="en-US" w:eastAsia="x-none"/>
        </w:rPr>
        <w:t>5.2</w:t>
      </w:r>
      <w:r w:rsidR="00A4197E" w:rsidRPr="00ED4D49">
        <w:rPr>
          <w:i/>
          <w:iCs/>
          <w:lang w:val="en-US" w:eastAsia="x-none"/>
        </w:rPr>
        <w:fldChar w:fldCharType="end"/>
      </w:r>
      <w:r w:rsidR="00A4197E" w:rsidRPr="00ED4D49">
        <w:rPr>
          <w:i/>
          <w:iCs/>
          <w:lang w:val="en-US" w:eastAsia="x-none"/>
        </w:rPr>
        <w:t xml:space="preserve"> </w:t>
      </w:r>
      <w:r w:rsidR="00A4197E" w:rsidRPr="00ED4D49">
        <w:rPr>
          <w:i/>
          <w:iCs/>
          <w:lang w:val="en-US" w:eastAsia="x-none"/>
        </w:rPr>
        <w:fldChar w:fldCharType="begin"/>
      </w:r>
      <w:r w:rsidR="00A4197E" w:rsidRPr="00ED4D49">
        <w:rPr>
          <w:i/>
          <w:iCs/>
          <w:lang w:val="en-US" w:eastAsia="x-none"/>
        </w:rPr>
        <w:instrText xml:space="preserve"> REF _Ref22286202 \h </w:instrText>
      </w:r>
      <w:r w:rsidR="003B3AF7" w:rsidRPr="00ED4D49">
        <w:rPr>
          <w:i/>
          <w:iCs/>
          <w:lang w:val="en-US" w:eastAsia="x-none"/>
        </w:rPr>
        <w:instrText xml:space="preserve"> \* MERGEFORMAT </w:instrText>
      </w:r>
      <w:r w:rsidR="00A4197E" w:rsidRPr="00ED4D49">
        <w:rPr>
          <w:i/>
          <w:iCs/>
          <w:lang w:val="en-US" w:eastAsia="x-none"/>
        </w:rPr>
      </w:r>
      <w:r w:rsidR="00A4197E" w:rsidRPr="00ED4D49">
        <w:rPr>
          <w:i/>
          <w:iCs/>
          <w:lang w:val="en-US" w:eastAsia="x-none"/>
        </w:rPr>
        <w:fldChar w:fldCharType="separate"/>
      </w:r>
      <w:r w:rsidR="00F60130" w:rsidRPr="00ED4D49">
        <w:rPr>
          <w:i/>
          <w:iCs/>
          <w:lang w:val="en-US"/>
        </w:rPr>
        <w:t>Overview of Environmental and Social Requirements in BiH</w:t>
      </w:r>
      <w:r w:rsidR="00A4197E" w:rsidRPr="00ED4D49">
        <w:rPr>
          <w:i/>
          <w:iCs/>
          <w:lang w:val="en-US" w:eastAsia="x-none"/>
        </w:rPr>
        <w:fldChar w:fldCharType="end"/>
      </w:r>
      <w:r w:rsidR="00A4197E" w:rsidRPr="00ED4D49">
        <w:rPr>
          <w:i/>
          <w:iCs/>
          <w:lang w:val="en-US" w:eastAsia="x-none"/>
        </w:rPr>
        <w:t>.</w:t>
      </w:r>
    </w:p>
    <w:p w14:paraId="03B9BC72" w14:textId="210BB861" w:rsidR="009F3A5D" w:rsidRPr="00ED4D49" w:rsidRDefault="009F3A5D" w:rsidP="009F3A5D">
      <w:pPr>
        <w:pStyle w:val="Caption"/>
        <w:spacing w:line="276" w:lineRule="auto"/>
        <w:rPr>
          <w:rFonts w:cs="Calibri"/>
          <w:b w:val="0"/>
          <w:i/>
          <w:color w:val="auto"/>
          <w:sz w:val="16"/>
          <w:szCs w:val="24"/>
        </w:rPr>
      </w:pPr>
      <w:bookmarkStart w:id="242" w:name="_Toc28188050"/>
      <w:r w:rsidRPr="00ED4D49">
        <w:rPr>
          <w:rFonts w:cs="Calibri"/>
          <w:b w:val="0"/>
          <w:i/>
          <w:color w:val="1F497D"/>
          <w:sz w:val="16"/>
        </w:rPr>
        <w:t xml:space="preserve">Table </w:t>
      </w:r>
      <w:r w:rsidRPr="00ED4D49">
        <w:rPr>
          <w:rFonts w:cs="Calibri"/>
          <w:b w:val="0"/>
          <w:i/>
          <w:color w:val="1F497D"/>
          <w:sz w:val="16"/>
        </w:rPr>
        <w:fldChar w:fldCharType="begin"/>
      </w:r>
      <w:r w:rsidRPr="00ED4D49">
        <w:rPr>
          <w:rFonts w:cs="Calibri"/>
          <w:b w:val="0"/>
          <w:i/>
          <w:color w:val="1F497D"/>
          <w:sz w:val="16"/>
        </w:rPr>
        <w:instrText xml:space="preserve"> SEQ Table \* ARABIC </w:instrText>
      </w:r>
      <w:r w:rsidRPr="00ED4D49">
        <w:rPr>
          <w:rFonts w:cs="Calibri"/>
          <w:b w:val="0"/>
          <w:i/>
          <w:color w:val="1F497D"/>
          <w:sz w:val="16"/>
        </w:rPr>
        <w:fldChar w:fldCharType="separate"/>
      </w:r>
      <w:r w:rsidR="00F60130" w:rsidRPr="00ED4D49">
        <w:rPr>
          <w:rFonts w:cs="Calibri"/>
          <w:b w:val="0"/>
          <w:i/>
          <w:noProof/>
          <w:color w:val="1F497D"/>
          <w:sz w:val="16"/>
        </w:rPr>
        <w:t>25</w:t>
      </w:r>
      <w:r w:rsidRPr="00ED4D49">
        <w:rPr>
          <w:rFonts w:cs="Calibri"/>
          <w:b w:val="0"/>
          <w:i/>
          <w:color w:val="1F497D"/>
          <w:sz w:val="16"/>
        </w:rPr>
        <w:fldChar w:fldCharType="end"/>
      </w:r>
      <w:r w:rsidRPr="00ED4D49">
        <w:rPr>
          <w:rFonts w:cs="Calibri"/>
          <w:b w:val="0"/>
          <w:i/>
          <w:color w:val="1F497D"/>
          <w:sz w:val="16"/>
        </w:rPr>
        <w:t>:</w:t>
      </w:r>
      <w:r w:rsidRPr="00ED4D49">
        <w:rPr>
          <w:rFonts w:cs="Calibri"/>
          <w:b w:val="0"/>
          <w:i/>
          <w:color w:val="auto"/>
          <w:sz w:val="16"/>
        </w:rPr>
        <w:t xml:space="preserve"> </w:t>
      </w:r>
      <w:r w:rsidR="00391287" w:rsidRPr="00ED4D49">
        <w:rPr>
          <w:rFonts w:cs="Calibri"/>
          <w:b w:val="0"/>
          <w:i/>
          <w:color w:val="auto"/>
          <w:sz w:val="16"/>
        </w:rPr>
        <w:t>E</w:t>
      </w:r>
      <w:r w:rsidRPr="00ED4D49">
        <w:rPr>
          <w:rFonts w:cs="Calibri"/>
          <w:b w:val="0"/>
          <w:i/>
          <w:color w:val="auto"/>
          <w:sz w:val="16"/>
        </w:rPr>
        <w:t xml:space="preserve">nvironmental and social requirements for the </w:t>
      </w:r>
      <w:r w:rsidR="004C3C6A" w:rsidRPr="00ED4D49">
        <w:rPr>
          <w:rFonts w:cs="Calibri"/>
          <w:b w:val="0"/>
          <w:i/>
          <w:color w:val="auto"/>
          <w:sz w:val="16"/>
        </w:rPr>
        <w:t xml:space="preserve">Phase I of the </w:t>
      </w:r>
      <w:r w:rsidRPr="00ED4D49">
        <w:rPr>
          <w:rFonts w:cs="Calibri"/>
          <w:b w:val="0"/>
          <w:i/>
          <w:color w:val="auto"/>
          <w:sz w:val="16"/>
        </w:rPr>
        <w:t>Pro</w:t>
      </w:r>
      <w:r w:rsidR="004C3C6A" w:rsidRPr="00ED4D49">
        <w:rPr>
          <w:rFonts w:cs="Calibri"/>
          <w:b w:val="0"/>
          <w:i/>
          <w:color w:val="auto"/>
          <w:sz w:val="16"/>
        </w:rPr>
        <w:t>gram</w:t>
      </w:r>
      <w:bookmarkEnd w:id="242"/>
      <w:r w:rsidRPr="00ED4D49">
        <w:rPr>
          <w:rFonts w:cs="Calibri"/>
          <w:b w:val="0"/>
          <w:i/>
          <w:color w:val="auto"/>
          <w:sz w:val="16"/>
        </w:rPr>
        <w:t xml:space="preserve"> </w:t>
      </w:r>
    </w:p>
    <w:tbl>
      <w:tblPr>
        <w:tblStyle w:val="TableGridLight"/>
        <w:tblW w:w="10162" w:type="dxa"/>
        <w:tblLook w:val="04A0" w:firstRow="1" w:lastRow="0" w:firstColumn="1" w:lastColumn="0" w:noHBand="0" w:noVBand="1"/>
      </w:tblPr>
      <w:tblGrid>
        <w:gridCol w:w="2282"/>
        <w:gridCol w:w="1016"/>
        <w:gridCol w:w="1827"/>
        <w:gridCol w:w="2544"/>
        <w:gridCol w:w="1226"/>
        <w:gridCol w:w="1261"/>
        <w:gridCol w:w="6"/>
      </w:tblGrid>
      <w:tr w:rsidR="004C3C6A" w:rsidRPr="00ED4D49" w14:paraId="066A25CC" w14:textId="77777777" w:rsidTr="00ED4D49">
        <w:trPr>
          <w:trHeight w:val="271"/>
          <w:tblHeader/>
        </w:trPr>
        <w:tc>
          <w:tcPr>
            <w:tcW w:w="2282" w:type="dxa"/>
            <w:vMerge w:val="restart"/>
          </w:tcPr>
          <w:p w14:paraId="7DFF0499" w14:textId="77777777" w:rsidR="004C3C6A" w:rsidRPr="00ED4D49" w:rsidRDefault="004C3C6A" w:rsidP="001229F1">
            <w:pPr>
              <w:spacing w:beforeLines="60" w:before="144" w:afterLines="60" w:after="144" w:line="240" w:lineRule="auto"/>
              <w:ind w:right="144"/>
              <w:rPr>
                <w:rFonts w:cs="Calibri"/>
                <w:color w:val="336699"/>
                <w:sz w:val="16"/>
                <w:szCs w:val="16"/>
                <w:lang w:val="en-US"/>
              </w:rPr>
            </w:pPr>
            <w:r w:rsidRPr="00ED4D49">
              <w:rPr>
                <w:rFonts w:cs="Calibri"/>
                <w:color w:val="336699"/>
                <w:sz w:val="16"/>
                <w:szCs w:val="16"/>
                <w:lang w:val="en-US"/>
              </w:rPr>
              <w:t>Type of activities</w:t>
            </w:r>
          </w:p>
        </w:tc>
        <w:tc>
          <w:tcPr>
            <w:tcW w:w="2843" w:type="dxa"/>
            <w:gridSpan w:val="2"/>
          </w:tcPr>
          <w:p w14:paraId="3B6067B4" w14:textId="77777777" w:rsidR="004C3C6A" w:rsidRPr="00ED4D49" w:rsidRDefault="004C3C6A" w:rsidP="001229F1">
            <w:pPr>
              <w:spacing w:beforeLines="60" w:before="144" w:afterLines="60" w:after="144" w:line="240" w:lineRule="auto"/>
              <w:ind w:right="144"/>
              <w:jc w:val="center"/>
              <w:rPr>
                <w:rFonts w:cs="Calibri"/>
                <w:color w:val="336699"/>
                <w:sz w:val="16"/>
                <w:szCs w:val="16"/>
                <w:lang w:val="en-US"/>
              </w:rPr>
            </w:pPr>
            <w:r w:rsidRPr="00ED4D49">
              <w:rPr>
                <w:rFonts w:cs="Calibri"/>
                <w:color w:val="336699"/>
                <w:sz w:val="16"/>
                <w:szCs w:val="16"/>
                <w:lang w:val="en-US"/>
              </w:rPr>
              <w:t>WB requirements</w:t>
            </w:r>
          </w:p>
        </w:tc>
        <w:tc>
          <w:tcPr>
            <w:tcW w:w="5037" w:type="dxa"/>
            <w:gridSpan w:val="4"/>
          </w:tcPr>
          <w:p w14:paraId="7C77439F" w14:textId="77777777" w:rsidR="004C3C6A" w:rsidRPr="00ED4D49" w:rsidRDefault="004C3C6A" w:rsidP="001229F1">
            <w:pPr>
              <w:spacing w:beforeLines="60" w:before="144" w:afterLines="60" w:after="144" w:line="240" w:lineRule="auto"/>
              <w:ind w:right="144"/>
              <w:jc w:val="center"/>
              <w:rPr>
                <w:rFonts w:cs="Calibri"/>
                <w:color w:val="336699"/>
                <w:sz w:val="16"/>
                <w:szCs w:val="16"/>
                <w:lang w:val="en-US"/>
              </w:rPr>
            </w:pPr>
            <w:r w:rsidRPr="00ED4D49">
              <w:rPr>
                <w:rFonts w:cs="Calibri"/>
                <w:color w:val="336699"/>
                <w:sz w:val="16"/>
                <w:szCs w:val="16"/>
                <w:lang w:val="en-US"/>
              </w:rPr>
              <w:t>N</w:t>
            </w:r>
            <w:r w:rsidRPr="00ED4D49">
              <w:rPr>
                <w:color w:val="336699"/>
                <w:sz w:val="16"/>
                <w:szCs w:val="16"/>
                <w:lang w:val="en-US"/>
              </w:rPr>
              <w:t>ational requirements</w:t>
            </w:r>
          </w:p>
        </w:tc>
      </w:tr>
      <w:tr w:rsidR="004C3C6A" w:rsidRPr="00ED4D49" w14:paraId="6957D148" w14:textId="77777777" w:rsidTr="00ED4D49">
        <w:trPr>
          <w:gridAfter w:val="1"/>
          <w:wAfter w:w="6" w:type="dxa"/>
          <w:trHeight w:val="706"/>
          <w:tblHeader/>
        </w:trPr>
        <w:tc>
          <w:tcPr>
            <w:tcW w:w="2282" w:type="dxa"/>
            <w:vMerge/>
          </w:tcPr>
          <w:p w14:paraId="3138C07A" w14:textId="77777777" w:rsidR="004C3C6A" w:rsidRPr="00ED4D49" w:rsidRDefault="004C3C6A" w:rsidP="001229F1">
            <w:pPr>
              <w:spacing w:beforeLines="60" w:before="144" w:afterLines="60" w:after="144" w:line="240" w:lineRule="auto"/>
              <w:ind w:right="144"/>
              <w:rPr>
                <w:rFonts w:cs="Calibri"/>
                <w:color w:val="336699"/>
                <w:sz w:val="16"/>
                <w:szCs w:val="16"/>
                <w:lang w:val="en-US"/>
              </w:rPr>
            </w:pPr>
          </w:p>
        </w:tc>
        <w:tc>
          <w:tcPr>
            <w:tcW w:w="1016" w:type="dxa"/>
          </w:tcPr>
          <w:p w14:paraId="693CD917" w14:textId="77777777" w:rsidR="004C3C6A" w:rsidRPr="00ED4D49" w:rsidRDefault="004C3C6A" w:rsidP="001229F1">
            <w:pPr>
              <w:spacing w:beforeLines="60" w:before="144" w:afterLines="60" w:after="144" w:line="240" w:lineRule="auto"/>
              <w:ind w:right="144"/>
              <w:rPr>
                <w:rFonts w:cs="Calibri"/>
                <w:color w:val="336699"/>
                <w:sz w:val="16"/>
                <w:szCs w:val="16"/>
                <w:lang w:val="en-US"/>
              </w:rPr>
            </w:pPr>
            <w:r w:rsidRPr="00ED4D49">
              <w:rPr>
                <w:rFonts w:cs="Calibri"/>
                <w:color w:val="336699"/>
                <w:sz w:val="16"/>
                <w:szCs w:val="16"/>
                <w:lang w:val="en-US"/>
              </w:rPr>
              <w:t>Category pursuant to WB</w:t>
            </w:r>
          </w:p>
        </w:tc>
        <w:tc>
          <w:tcPr>
            <w:tcW w:w="1827" w:type="dxa"/>
          </w:tcPr>
          <w:p w14:paraId="5E614037" w14:textId="77777777" w:rsidR="004C3C6A" w:rsidRPr="00ED4D49" w:rsidRDefault="004C3C6A" w:rsidP="001229F1">
            <w:pPr>
              <w:spacing w:beforeLines="60" w:before="144" w:afterLines="60" w:after="144" w:line="240" w:lineRule="auto"/>
              <w:ind w:right="144"/>
              <w:rPr>
                <w:rFonts w:cs="Calibri"/>
                <w:color w:val="336699"/>
                <w:sz w:val="16"/>
                <w:szCs w:val="16"/>
                <w:lang w:val="en-US"/>
              </w:rPr>
            </w:pPr>
            <w:r w:rsidRPr="00ED4D49">
              <w:rPr>
                <w:rFonts w:cs="Calibri"/>
                <w:color w:val="336699"/>
                <w:sz w:val="16"/>
                <w:szCs w:val="16"/>
                <w:lang w:val="en-US"/>
              </w:rPr>
              <w:t>Environmental assessment instrument</w:t>
            </w:r>
          </w:p>
        </w:tc>
        <w:tc>
          <w:tcPr>
            <w:tcW w:w="2544" w:type="dxa"/>
          </w:tcPr>
          <w:p w14:paraId="53E9574B" w14:textId="77777777" w:rsidR="004C3C6A" w:rsidRPr="00ED4D49" w:rsidRDefault="004C3C6A" w:rsidP="001229F1">
            <w:pPr>
              <w:spacing w:beforeLines="60" w:before="144" w:afterLines="60" w:after="144" w:line="240" w:lineRule="auto"/>
              <w:ind w:right="144"/>
              <w:rPr>
                <w:rFonts w:cs="Calibri"/>
                <w:color w:val="336699"/>
                <w:sz w:val="16"/>
                <w:szCs w:val="16"/>
                <w:lang w:val="en-US"/>
              </w:rPr>
            </w:pPr>
            <w:r w:rsidRPr="00ED4D49">
              <w:rPr>
                <w:rFonts w:cs="Calibri"/>
                <w:color w:val="336699"/>
                <w:sz w:val="16"/>
                <w:szCs w:val="16"/>
                <w:lang w:val="en-US"/>
              </w:rPr>
              <w:t xml:space="preserve">Environmental protection </w:t>
            </w:r>
          </w:p>
        </w:tc>
        <w:tc>
          <w:tcPr>
            <w:tcW w:w="1226" w:type="dxa"/>
          </w:tcPr>
          <w:p w14:paraId="39C6C5DE" w14:textId="77777777" w:rsidR="004C3C6A" w:rsidRPr="00ED4D49" w:rsidRDefault="004C3C6A" w:rsidP="001229F1">
            <w:pPr>
              <w:spacing w:beforeLines="60" w:before="144" w:afterLines="60" w:after="144" w:line="240" w:lineRule="auto"/>
              <w:ind w:right="144"/>
              <w:rPr>
                <w:rFonts w:cs="Calibri"/>
                <w:color w:val="336699"/>
                <w:sz w:val="16"/>
                <w:szCs w:val="16"/>
                <w:lang w:val="en-US"/>
              </w:rPr>
            </w:pPr>
            <w:r w:rsidRPr="00ED4D49">
              <w:rPr>
                <w:rFonts w:cs="Calibri"/>
                <w:color w:val="336699"/>
                <w:sz w:val="16"/>
                <w:szCs w:val="16"/>
                <w:lang w:val="en-US"/>
              </w:rPr>
              <w:t xml:space="preserve">Water management </w:t>
            </w:r>
          </w:p>
        </w:tc>
        <w:tc>
          <w:tcPr>
            <w:tcW w:w="1261" w:type="dxa"/>
          </w:tcPr>
          <w:p w14:paraId="19A1A586" w14:textId="77777777" w:rsidR="004C3C6A" w:rsidRPr="00ED4D49" w:rsidRDefault="004C3C6A" w:rsidP="001229F1">
            <w:pPr>
              <w:spacing w:beforeLines="60" w:before="144" w:afterLines="60" w:after="144" w:line="240" w:lineRule="auto"/>
              <w:ind w:right="144"/>
              <w:rPr>
                <w:rFonts w:cs="Calibri"/>
                <w:color w:val="336699"/>
                <w:sz w:val="16"/>
                <w:szCs w:val="16"/>
                <w:lang w:val="en-US"/>
              </w:rPr>
            </w:pPr>
            <w:r w:rsidRPr="00ED4D49">
              <w:rPr>
                <w:rFonts w:cs="Calibri"/>
                <w:color w:val="336699"/>
                <w:sz w:val="16"/>
                <w:szCs w:val="16"/>
                <w:lang w:val="en-US"/>
              </w:rPr>
              <w:t>Physical planning and construction</w:t>
            </w:r>
          </w:p>
        </w:tc>
      </w:tr>
      <w:tr w:rsidR="004C3C6A" w:rsidRPr="00ED4D49" w14:paraId="1B72B039" w14:textId="77777777" w:rsidTr="00ED4D49">
        <w:trPr>
          <w:gridAfter w:val="1"/>
          <w:wAfter w:w="6" w:type="dxa"/>
        </w:trPr>
        <w:tc>
          <w:tcPr>
            <w:tcW w:w="2282" w:type="dxa"/>
          </w:tcPr>
          <w:p w14:paraId="0B26E143" w14:textId="6EED9D4E" w:rsidR="004C3C6A" w:rsidRPr="00ED4D49" w:rsidRDefault="004C3C6A" w:rsidP="001229F1">
            <w:pPr>
              <w:pStyle w:val="ListParagraph"/>
              <w:widowControl w:val="0"/>
              <w:autoSpaceDE w:val="0"/>
              <w:autoSpaceDN w:val="0"/>
              <w:adjustRightInd w:val="0"/>
              <w:spacing w:beforeLines="60" w:before="144" w:afterLines="60" w:after="144" w:line="240" w:lineRule="auto"/>
              <w:ind w:left="0"/>
              <w:rPr>
                <w:bCs/>
                <w:sz w:val="16"/>
                <w:szCs w:val="16"/>
              </w:rPr>
            </w:pPr>
            <w:r w:rsidRPr="00ED4D49">
              <w:rPr>
                <w:bCs/>
                <w:sz w:val="16"/>
                <w:szCs w:val="16"/>
              </w:rPr>
              <w:t>Flood protection, bank stabilization, drainage control, dredging and river training works, and reservoir management in the Drina Corridor in FBiH</w:t>
            </w:r>
            <w:r w:rsidR="00760067" w:rsidRPr="00ED4D49">
              <w:rPr>
                <w:bCs/>
                <w:sz w:val="16"/>
                <w:szCs w:val="16"/>
              </w:rPr>
              <w:t xml:space="preserve">, </w:t>
            </w:r>
            <w:r w:rsidRPr="00ED4D49">
              <w:rPr>
                <w:bCs/>
                <w:sz w:val="16"/>
                <w:szCs w:val="16"/>
              </w:rPr>
              <w:t>and RS</w:t>
            </w:r>
            <w:r w:rsidR="00AF3CA4" w:rsidRPr="00ED4D49">
              <w:rPr>
                <w:bCs/>
                <w:sz w:val="16"/>
                <w:szCs w:val="16"/>
              </w:rPr>
              <w:t>, including:</w:t>
            </w:r>
          </w:p>
          <w:p w14:paraId="3AD96CBD" w14:textId="77777777" w:rsidR="00AF3CA4" w:rsidRPr="00ED4D49" w:rsidRDefault="00AF3CA4" w:rsidP="001229F1">
            <w:pPr>
              <w:pStyle w:val="ListParagraph"/>
              <w:widowControl w:val="0"/>
              <w:autoSpaceDE w:val="0"/>
              <w:autoSpaceDN w:val="0"/>
              <w:adjustRightInd w:val="0"/>
              <w:spacing w:beforeLines="60" w:before="144" w:afterLines="60" w:after="144" w:line="240" w:lineRule="auto"/>
              <w:ind w:left="0"/>
              <w:rPr>
                <w:bCs/>
                <w:sz w:val="16"/>
                <w:szCs w:val="16"/>
              </w:rPr>
            </w:pPr>
          </w:p>
          <w:p w14:paraId="2AC91A4C" w14:textId="51058D1B" w:rsidR="00AF3CA4" w:rsidRPr="00ED4D49" w:rsidRDefault="00AF3CA4" w:rsidP="001229F1">
            <w:pPr>
              <w:pStyle w:val="ListParagraph"/>
              <w:widowControl w:val="0"/>
              <w:autoSpaceDE w:val="0"/>
              <w:autoSpaceDN w:val="0"/>
              <w:adjustRightInd w:val="0"/>
              <w:spacing w:beforeLines="60" w:before="144" w:afterLines="60" w:after="144" w:line="240" w:lineRule="auto"/>
              <w:ind w:left="0"/>
              <w:rPr>
                <w:rFonts w:asciiTheme="minorHAnsi" w:hAnsiTheme="minorHAnsi" w:cstheme="minorHAnsi"/>
                <w:color w:val="000000"/>
                <w:sz w:val="16"/>
                <w:szCs w:val="16"/>
                <w:lang w:eastAsia="bs-Latn-BA"/>
              </w:rPr>
            </w:pPr>
            <w:r w:rsidRPr="00ED4D49">
              <w:rPr>
                <w:rFonts w:asciiTheme="minorHAnsi" w:hAnsiTheme="minorHAnsi" w:cstheme="minorHAnsi"/>
                <w:color w:val="000000"/>
                <w:sz w:val="16"/>
                <w:szCs w:val="16"/>
                <w:lang w:eastAsia="bs-Latn-BA"/>
              </w:rPr>
              <w:t xml:space="preserve">Protection of Sava dykes in flood area in Central </w:t>
            </w:r>
            <w:proofErr w:type="spellStart"/>
            <w:r w:rsidRPr="00ED4D49">
              <w:rPr>
                <w:rFonts w:asciiTheme="minorHAnsi" w:hAnsiTheme="minorHAnsi" w:cstheme="minorHAnsi"/>
                <w:color w:val="000000"/>
                <w:sz w:val="16"/>
                <w:szCs w:val="16"/>
                <w:lang w:eastAsia="bs-Latn-BA"/>
              </w:rPr>
              <w:t>Posavina</w:t>
            </w:r>
            <w:proofErr w:type="spellEnd"/>
            <w:r w:rsidRPr="00ED4D49">
              <w:rPr>
                <w:rFonts w:asciiTheme="minorHAnsi" w:hAnsiTheme="minorHAnsi" w:cstheme="minorHAnsi"/>
                <w:color w:val="000000"/>
                <w:sz w:val="16"/>
                <w:szCs w:val="16"/>
                <w:lang w:eastAsia="bs-Latn-BA"/>
              </w:rPr>
              <w:t xml:space="preserve"> (FBiH) – 6 locations</w:t>
            </w:r>
          </w:p>
          <w:p w14:paraId="48EC232B" w14:textId="14CF061D" w:rsidR="00AF3CA4" w:rsidRPr="00ED4D49" w:rsidRDefault="00AF3CA4" w:rsidP="00AF3CA4">
            <w:pPr>
              <w:spacing w:beforeLines="60" w:before="144" w:afterLines="60" w:after="144" w:line="240" w:lineRule="auto"/>
              <w:rPr>
                <w:bCs/>
                <w:sz w:val="16"/>
                <w:szCs w:val="16"/>
                <w:lang w:val="en-US"/>
              </w:rPr>
            </w:pPr>
            <w:r w:rsidRPr="00ED4D49">
              <w:rPr>
                <w:bCs/>
                <w:sz w:val="16"/>
                <w:szCs w:val="16"/>
                <w:lang w:val="en-US"/>
              </w:rPr>
              <w:t xml:space="preserve">Regulation of riverbed downstream from regulated portion to the border with Municipality </w:t>
            </w:r>
            <w:proofErr w:type="spellStart"/>
            <w:r w:rsidRPr="00ED4D49">
              <w:rPr>
                <w:bCs/>
                <w:sz w:val="16"/>
                <w:szCs w:val="16"/>
                <w:lang w:val="en-US"/>
              </w:rPr>
              <w:t>Lukavac</w:t>
            </w:r>
            <w:proofErr w:type="spellEnd"/>
          </w:p>
          <w:p w14:paraId="051EFC69" w14:textId="77777777" w:rsidR="00AF3CA4" w:rsidRPr="00ED4D49" w:rsidRDefault="00AF3CA4" w:rsidP="00AF3CA4">
            <w:pPr>
              <w:spacing w:beforeLines="60" w:before="144" w:afterLines="60" w:after="144" w:line="240" w:lineRule="auto"/>
              <w:rPr>
                <w:bCs/>
                <w:sz w:val="16"/>
                <w:szCs w:val="16"/>
                <w:lang w:val="en-US"/>
              </w:rPr>
            </w:pPr>
            <w:r w:rsidRPr="00ED4D49">
              <w:rPr>
                <w:bCs/>
                <w:sz w:val="16"/>
                <w:szCs w:val="16"/>
                <w:lang w:val="en-US"/>
              </w:rPr>
              <w:t xml:space="preserve">Regulation of Bosna and </w:t>
            </w:r>
            <w:proofErr w:type="spellStart"/>
            <w:r w:rsidRPr="00ED4D49">
              <w:rPr>
                <w:bCs/>
                <w:sz w:val="16"/>
                <w:szCs w:val="16"/>
                <w:lang w:val="en-US"/>
              </w:rPr>
              <w:t>Zeljeznica</w:t>
            </w:r>
            <w:proofErr w:type="spellEnd"/>
            <w:r w:rsidRPr="00ED4D49">
              <w:rPr>
                <w:bCs/>
                <w:sz w:val="16"/>
                <w:szCs w:val="16"/>
                <w:lang w:val="en-US"/>
              </w:rPr>
              <w:t xml:space="preserve"> riverbed in Sarajevo canton, 4 locations, 4 municipalities</w:t>
            </w:r>
          </w:p>
          <w:p w14:paraId="16167727" w14:textId="77777777" w:rsidR="00AF3CA4" w:rsidRPr="00ED4D49" w:rsidRDefault="00AF3CA4" w:rsidP="00AF3CA4">
            <w:pPr>
              <w:spacing w:beforeLines="60" w:before="144" w:afterLines="60" w:after="144" w:line="240" w:lineRule="auto"/>
              <w:rPr>
                <w:bCs/>
                <w:sz w:val="16"/>
                <w:szCs w:val="16"/>
                <w:lang w:val="en-US"/>
              </w:rPr>
            </w:pPr>
            <w:r w:rsidRPr="00ED4D49">
              <w:rPr>
                <w:bCs/>
                <w:sz w:val="16"/>
                <w:szCs w:val="16"/>
                <w:lang w:val="en-US"/>
              </w:rPr>
              <w:t xml:space="preserve">Rehabilitation of </w:t>
            </w:r>
            <w:proofErr w:type="spellStart"/>
            <w:r w:rsidRPr="00ED4D49">
              <w:rPr>
                <w:bCs/>
                <w:sz w:val="16"/>
                <w:szCs w:val="16"/>
                <w:lang w:val="en-US"/>
              </w:rPr>
              <w:t>Modrac</w:t>
            </w:r>
            <w:proofErr w:type="spellEnd"/>
            <w:r w:rsidRPr="00ED4D49">
              <w:rPr>
                <w:bCs/>
                <w:sz w:val="16"/>
                <w:szCs w:val="16"/>
                <w:lang w:val="en-US"/>
              </w:rPr>
              <w:t xml:space="preserve"> lake dam – IV phase</w:t>
            </w:r>
          </w:p>
          <w:p w14:paraId="6969C972" w14:textId="77777777" w:rsidR="00AF3CA4" w:rsidRPr="00ED4D49" w:rsidRDefault="00AF3CA4" w:rsidP="00AF3CA4">
            <w:pPr>
              <w:spacing w:beforeLines="60" w:before="144" w:afterLines="60" w:after="144" w:line="240" w:lineRule="auto"/>
              <w:rPr>
                <w:bCs/>
                <w:sz w:val="16"/>
                <w:szCs w:val="16"/>
                <w:lang w:val="en-US"/>
              </w:rPr>
            </w:pPr>
            <w:r w:rsidRPr="00ED4D49">
              <w:rPr>
                <w:bCs/>
                <w:sz w:val="16"/>
                <w:szCs w:val="16"/>
                <w:lang w:val="en-US"/>
              </w:rPr>
              <w:t>Construction of the quay/</w:t>
            </w:r>
            <w:proofErr w:type="gramStart"/>
            <w:r w:rsidRPr="00ED4D49">
              <w:rPr>
                <w:bCs/>
                <w:sz w:val="16"/>
                <w:szCs w:val="16"/>
                <w:lang w:val="en-US"/>
              </w:rPr>
              <w:t>port  for</w:t>
            </w:r>
            <w:proofErr w:type="gramEnd"/>
            <w:r w:rsidRPr="00ED4D49">
              <w:rPr>
                <w:bCs/>
                <w:sz w:val="16"/>
                <w:szCs w:val="16"/>
                <w:lang w:val="en-US"/>
              </w:rPr>
              <w:t xml:space="preserve"> small boats on river Sava in Novi Grad and </w:t>
            </w:r>
            <w:proofErr w:type="spellStart"/>
            <w:r w:rsidRPr="00ED4D49">
              <w:rPr>
                <w:bCs/>
                <w:sz w:val="16"/>
                <w:szCs w:val="16"/>
                <w:lang w:val="en-US"/>
              </w:rPr>
              <w:t>Orasje</w:t>
            </w:r>
            <w:proofErr w:type="spellEnd"/>
          </w:p>
          <w:p w14:paraId="3E200E0A" w14:textId="77777777" w:rsidR="00AF3CA4" w:rsidRPr="00ED4D49" w:rsidRDefault="00AF3CA4" w:rsidP="00AF3CA4">
            <w:pPr>
              <w:spacing w:beforeLines="60" w:before="144" w:afterLines="60" w:after="144" w:line="240" w:lineRule="auto"/>
              <w:rPr>
                <w:bCs/>
                <w:sz w:val="16"/>
                <w:szCs w:val="16"/>
                <w:lang w:val="en-US"/>
              </w:rPr>
            </w:pPr>
            <w:r w:rsidRPr="00ED4D49">
              <w:rPr>
                <w:bCs/>
                <w:sz w:val="16"/>
                <w:szCs w:val="16"/>
                <w:lang w:val="en-US"/>
              </w:rPr>
              <w:t>Dredging and training work of river Sava in Novi Grad/</w:t>
            </w:r>
            <w:proofErr w:type="spellStart"/>
            <w:r w:rsidRPr="00ED4D49">
              <w:rPr>
                <w:bCs/>
                <w:sz w:val="16"/>
                <w:szCs w:val="16"/>
                <w:lang w:val="en-US"/>
              </w:rPr>
              <w:t>Odžak</w:t>
            </w:r>
            <w:proofErr w:type="spellEnd"/>
            <w:r w:rsidRPr="00ED4D49">
              <w:rPr>
                <w:bCs/>
                <w:sz w:val="16"/>
                <w:szCs w:val="16"/>
                <w:lang w:val="en-US"/>
              </w:rPr>
              <w:t xml:space="preserve"> </w:t>
            </w:r>
            <w:r w:rsidRPr="00ED4D49">
              <w:rPr>
                <w:bCs/>
                <w:sz w:val="16"/>
                <w:szCs w:val="16"/>
                <w:lang w:val="en-US"/>
              </w:rPr>
              <w:lastRenderedPageBreak/>
              <w:t xml:space="preserve">on the stretch: </w:t>
            </w:r>
            <w:proofErr w:type="spellStart"/>
            <w:r w:rsidRPr="00ED4D49">
              <w:rPr>
                <w:bCs/>
                <w:sz w:val="16"/>
                <w:szCs w:val="16"/>
                <w:lang w:val="en-US"/>
              </w:rPr>
              <w:t>Jaruge</w:t>
            </w:r>
            <w:proofErr w:type="spellEnd"/>
            <w:r w:rsidRPr="00ED4D49">
              <w:rPr>
                <w:bCs/>
                <w:sz w:val="16"/>
                <w:szCs w:val="16"/>
                <w:lang w:val="en-US"/>
              </w:rPr>
              <w:t xml:space="preserve"> (RH) - Novi Grad/</w:t>
            </w:r>
            <w:proofErr w:type="spellStart"/>
            <w:r w:rsidRPr="00ED4D49">
              <w:rPr>
                <w:bCs/>
                <w:sz w:val="16"/>
                <w:szCs w:val="16"/>
                <w:lang w:val="en-US"/>
              </w:rPr>
              <w:t>Odžak</w:t>
            </w:r>
            <w:proofErr w:type="spellEnd"/>
            <w:r w:rsidRPr="00ED4D49">
              <w:rPr>
                <w:bCs/>
                <w:sz w:val="16"/>
                <w:szCs w:val="16"/>
                <w:lang w:val="en-US"/>
              </w:rPr>
              <w:t xml:space="preserve"> (FBIH) – preparation for phase II</w:t>
            </w:r>
          </w:p>
          <w:p w14:paraId="69049B8F" w14:textId="3C24EF01" w:rsidR="00AF3CA4" w:rsidRPr="00ED4D49" w:rsidRDefault="00AF3CA4" w:rsidP="001229F1">
            <w:pPr>
              <w:pStyle w:val="ListParagraph"/>
              <w:widowControl w:val="0"/>
              <w:autoSpaceDE w:val="0"/>
              <w:autoSpaceDN w:val="0"/>
              <w:adjustRightInd w:val="0"/>
              <w:spacing w:beforeLines="60" w:before="144" w:afterLines="60" w:after="144" w:line="240" w:lineRule="auto"/>
              <w:ind w:left="0"/>
              <w:rPr>
                <w:rFonts w:asciiTheme="minorHAnsi" w:hAnsiTheme="minorHAnsi" w:cstheme="minorHAnsi"/>
                <w:color w:val="000000"/>
                <w:sz w:val="16"/>
                <w:szCs w:val="16"/>
                <w:lang w:eastAsia="bs-Latn-BA"/>
              </w:rPr>
            </w:pPr>
            <w:r w:rsidRPr="00ED4D49">
              <w:rPr>
                <w:bCs/>
                <w:sz w:val="16"/>
                <w:szCs w:val="16"/>
              </w:rPr>
              <w:t xml:space="preserve">Urgent rehabilitation works in </w:t>
            </w:r>
            <w:proofErr w:type="spellStart"/>
            <w:r w:rsidRPr="00ED4D49">
              <w:rPr>
                <w:bCs/>
                <w:sz w:val="16"/>
                <w:szCs w:val="16"/>
              </w:rPr>
              <w:t>Goražde</w:t>
            </w:r>
            <w:proofErr w:type="spellEnd"/>
          </w:p>
        </w:tc>
        <w:tc>
          <w:tcPr>
            <w:tcW w:w="1016" w:type="dxa"/>
          </w:tcPr>
          <w:p w14:paraId="70D0A612" w14:textId="4CCEA0F1" w:rsidR="004C3C6A" w:rsidRPr="00ED4D49" w:rsidRDefault="004C3C6A" w:rsidP="001229F1">
            <w:pPr>
              <w:pStyle w:val="ListParagraph"/>
              <w:widowControl w:val="0"/>
              <w:autoSpaceDE w:val="0"/>
              <w:autoSpaceDN w:val="0"/>
              <w:adjustRightInd w:val="0"/>
              <w:spacing w:beforeLines="60" w:before="144" w:afterLines="60" w:after="144" w:line="240" w:lineRule="auto"/>
              <w:ind w:left="0"/>
              <w:contextualSpacing w:val="0"/>
              <w:rPr>
                <w:rFonts w:asciiTheme="minorHAnsi" w:hAnsiTheme="minorHAnsi"/>
                <w:color w:val="0D0D0D" w:themeColor="text1" w:themeTint="F2"/>
                <w:sz w:val="16"/>
                <w:szCs w:val="16"/>
              </w:rPr>
            </w:pPr>
            <w:r w:rsidRPr="00ED4D49">
              <w:rPr>
                <w:rFonts w:asciiTheme="minorHAnsi" w:hAnsiTheme="minorHAnsi"/>
                <w:bCs/>
                <w:color w:val="0D0D0D" w:themeColor="text1" w:themeTint="F2"/>
                <w:sz w:val="16"/>
                <w:szCs w:val="16"/>
              </w:rPr>
              <w:lastRenderedPageBreak/>
              <w:t>Moderate</w:t>
            </w:r>
            <w:r w:rsidR="00AF3CA4" w:rsidRPr="00ED4D49">
              <w:rPr>
                <w:rFonts w:asciiTheme="minorHAnsi" w:hAnsiTheme="minorHAnsi"/>
                <w:bCs/>
                <w:color w:val="0D0D0D" w:themeColor="text1" w:themeTint="F2"/>
                <w:sz w:val="16"/>
                <w:szCs w:val="16"/>
              </w:rPr>
              <w:t xml:space="preserve"> to Substantial</w:t>
            </w:r>
            <w:r w:rsidRPr="00ED4D49">
              <w:rPr>
                <w:rFonts w:asciiTheme="minorHAnsi" w:hAnsiTheme="minorHAnsi"/>
                <w:bCs/>
                <w:color w:val="0D0D0D" w:themeColor="text1" w:themeTint="F2"/>
                <w:sz w:val="16"/>
                <w:szCs w:val="16"/>
              </w:rPr>
              <w:t xml:space="preserve"> risk</w:t>
            </w:r>
          </w:p>
        </w:tc>
        <w:tc>
          <w:tcPr>
            <w:tcW w:w="1827" w:type="dxa"/>
          </w:tcPr>
          <w:p w14:paraId="61E7C685" w14:textId="08F5C9A8" w:rsidR="004C3C6A" w:rsidRPr="00ED4D49" w:rsidRDefault="004C3C6A" w:rsidP="001229F1">
            <w:pPr>
              <w:pStyle w:val="ListParagraph"/>
              <w:widowControl w:val="0"/>
              <w:autoSpaceDE w:val="0"/>
              <w:autoSpaceDN w:val="0"/>
              <w:adjustRightInd w:val="0"/>
              <w:spacing w:beforeLines="60" w:before="144" w:afterLines="60" w:after="144" w:line="240" w:lineRule="auto"/>
              <w:ind w:left="0"/>
              <w:contextualSpacing w:val="0"/>
              <w:rPr>
                <w:rFonts w:asciiTheme="minorHAnsi" w:hAnsiTheme="minorHAnsi"/>
                <w:color w:val="0D0D0D" w:themeColor="text1" w:themeTint="F2"/>
                <w:sz w:val="16"/>
                <w:szCs w:val="16"/>
              </w:rPr>
            </w:pPr>
            <w:r w:rsidRPr="00ED4D49">
              <w:rPr>
                <w:rFonts w:asciiTheme="minorHAnsi" w:hAnsiTheme="minorHAnsi"/>
                <w:color w:val="0D0D0D" w:themeColor="text1" w:themeTint="F2"/>
                <w:sz w:val="16"/>
                <w:szCs w:val="16"/>
              </w:rPr>
              <w:t>E</w:t>
            </w:r>
            <w:r w:rsidR="00AF3CA4" w:rsidRPr="00ED4D49">
              <w:rPr>
                <w:rFonts w:asciiTheme="minorHAnsi" w:hAnsiTheme="minorHAnsi"/>
                <w:color w:val="0D0D0D" w:themeColor="text1" w:themeTint="F2"/>
                <w:sz w:val="16"/>
                <w:szCs w:val="16"/>
              </w:rPr>
              <w:t>S</w:t>
            </w:r>
            <w:r w:rsidRPr="00ED4D49">
              <w:rPr>
                <w:rFonts w:asciiTheme="minorHAnsi" w:hAnsiTheme="minorHAnsi"/>
                <w:color w:val="0D0D0D" w:themeColor="text1" w:themeTint="F2"/>
                <w:sz w:val="16"/>
                <w:szCs w:val="16"/>
              </w:rPr>
              <w:t>IA or site-specific ESMP, depending of the type and location of the project</w:t>
            </w:r>
            <w:r w:rsidR="00AF3CA4" w:rsidRPr="00ED4D49">
              <w:rPr>
                <w:rFonts w:asciiTheme="minorHAnsi" w:hAnsiTheme="minorHAnsi"/>
                <w:color w:val="0D0D0D" w:themeColor="text1" w:themeTint="F2"/>
                <w:sz w:val="16"/>
                <w:szCs w:val="16"/>
              </w:rPr>
              <w:t>, including provisions on all relevant ESS: ESS2, ESS3, ESS5, ESS6, ESS8.</w:t>
            </w:r>
          </w:p>
          <w:p w14:paraId="0F7FFAAD" w14:textId="097C39EB" w:rsidR="0033097E" w:rsidRPr="00ED4D49" w:rsidRDefault="0033097E" w:rsidP="001229F1">
            <w:pPr>
              <w:pStyle w:val="ListParagraph"/>
              <w:widowControl w:val="0"/>
              <w:autoSpaceDE w:val="0"/>
              <w:autoSpaceDN w:val="0"/>
              <w:adjustRightInd w:val="0"/>
              <w:spacing w:beforeLines="60" w:before="144" w:afterLines="60" w:after="144" w:line="240" w:lineRule="auto"/>
              <w:ind w:left="0"/>
              <w:contextualSpacing w:val="0"/>
              <w:rPr>
                <w:rFonts w:asciiTheme="minorHAnsi" w:hAnsiTheme="minorHAnsi"/>
                <w:color w:val="0D0D0D" w:themeColor="text1" w:themeTint="F2"/>
                <w:sz w:val="16"/>
                <w:szCs w:val="16"/>
              </w:rPr>
            </w:pPr>
            <w:r w:rsidRPr="00ED4D49">
              <w:rPr>
                <w:rFonts w:asciiTheme="minorHAnsi" w:hAnsiTheme="minorHAnsi"/>
                <w:color w:val="0D0D0D" w:themeColor="text1" w:themeTint="F2"/>
                <w:sz w:val="16"/>
                <w:szCs w:val="16"/>
              </w:rPr>
              <w:t xml:space="preserve">Dam safety reports prepared in line with ESS4 for existing dams </w:t>
            </w:r>
            <w:r w:rsidR="00AF3CA4" w:rsidRPr="00ED4D49">
              <w:rPr>
                <w:rFonts w:asciiTheme="minorHAnsi" w:hAnsiTheme="minorHAnsi"/>
                <w:color w:val="0D0D0D" w:themeColor="text1" w:themeTint="F2"/>
                <w:sz w:val="16"/>
                <w:szCs w:val="16"/>
              </w:rPr>
              <w:t xml:space="preserve">and where relevant (such as </w:t>
            </w:r>
            <w:proofErr w:type="spellStart"/>
            <w:r w:rsidR="00AF3CA4" w:rsidRPr="00ED4D49">
              <w:rPr>
                <w:rFonts w:asciiTheme="minorHAnsi" w:hAnsiTheme="minorHAnsi"/>
                <w:color w:val="0D0D0D" w:themeColor="text1" w:themeTint="F2"/>
                <w:sz w:val="16"/>
                <w:szCs w:val="16"/>
              </w:rPr>
              <w:t>Modrac</w:t>
            </w:r>
            <w:proofErr w:type="spellEnd"/>
            <w:r w:rsidR="00AF3CA4" w:rsidRPr="00ED4D49">
              <w:rPr>
                <w:rFonts w:asciiTheme="minorHAnsi" w:hAnsiTheme="minorHAnsi"/>
                <w:color w:val="0D0D0D" w:themeColor="text1" w:themeTint="F2"/>
                <w:sz w:val="16"/>
                <w:szCs w:val="16"/>
              </w:rPr>
              <w:t xml:space="preserve"> lake)</w:t>
            </w:r>
          </w:p>
        </w:tc>
        <w:tc>
          <w:tcPr>
            <w:tcW w:w="2544" w:type="dxa"/>
          </w:tcPr>
          <w:p w14:paraId="3BC07552" w14:textId="77777777" w:rsidR="004C3C6A" w:rsidRPr="00ED4D49" w:rsidRDefault="004C3C6A" w:rsidP="001229F1">
            <w:pPr>
              <w:pStyle w:val="ListParagraph"/>
              <w:widowControl w:val="0"/>
              <w:autoSpaceDE w:val="0"/>
              <w:autoSpaceDN w:val="0"/>
              <w:adjustRightInd w:val="0"/>
              <w:spacing w:beforeLines="60" w:before="144" w:afterLines="60" w:after="144" w:line="240" w:lineRule="auto"/>
              <w:ind w:left="0"/>
              <w:contextualSpacing w:val="0"/>
              <w:rPr>
                <w:rFonts w:asciiTheme="minorHAnsi" w:hAnsiTheme="minorHAnsi"/>
                <w:color w:val="0D0D0D" w:themeColor="text1" w:themeTint="F2"/>
                <w:sz w:val="16"/>
                <w:szCs w:val="16"/>
              </w:rPr>
            </w:pPr>
            <w:r w:rsidRPr="00ED4D49">
              <w:rPr>
                <w:rFonts w:asciiTheme="minorHAnsi" w:hAnsiTheme="minorHAnsi"/>
                <w:color w:val="0D0D0D" w:themeColor="text1" w:themeTint="F2"/>
                <w:sz w:val="16"/>
                <w:szCs w:val="16"/>
              </w:rPr>
              <w:t>The construction of flood protection structures is subject to a preliminary environmental impact assessment based on which FMET/ MPPCEE/ DSPPABD decides on the necessity to conduct a full EIA and ultimately issues the environmental permit</w:t>
            </w:r>
          </w:p>
          <w:p w14:paraId="6161A6A6" w14:textId="77777777" w:rsidR="004C3C6A" w:rsidRPr="00ED4D49" w:rsidRDefault="004C3C6A" w:rsidP="001229F1">
            <w:pPr>
              <w:pStyle w:val="ListParagraph"/>
              <w:widowControl w:val="0"/>
              <w:autoSpaceDE w:val="0"/>
              <w:autoSpaceDN w:val="0"/>
              <w:adjustRightInd w:val="0"/>
              <w:spacing w:beforeLines="60" w:before="144" w:afterLines="60" w:after="144" w:line="240" w:lineRule="auto"/>
              <w:ind w:left="0"/>
              <w:contextualSpacing w:val="0"/>
              <w:rPr>
                <w:rFonts w:asciiTheme="minorHAnsi" w:hAnsiTheme="minorHAnsi"/>
                <w:color w:val="0D0D0D" w:themeColor="text1" w:themeTint="F2"/>
                <w:sz w:val="16"/>
                <w:szCs w:val="16"/>
              </w:rPr>
            </w:pPr>
            <w:r w:rsidRPr="00ED4D49">
              <w:rPr>
                <w:i/>
                <w:iCs/>
                <w:sz w:val="16"/>
                <w:szCs w:val="16"/>
              </w:rPr>
              <w:t xml:space="preserve">Note: Although other types of works do not require an environmental assessment, </w:t>
            </w:r>
            <w:r w:rsidRPr="00ED4D49">
              <w:rPr>
                <w:rFonts w:asciiTheme="minorHAnsi" w:hAnsiTheme="minorHAnsi"/>
                <w:i/>
                <w:iCs/>
                <w:color w:val="0D0D0D" w:themeColor="text1" w:themeTint="F2"/>
                <w:sz w:val="16"/>
                <w:szCs w:val="16"/>
              </w:rPr>
              <w:t>a decision on the necessity to undertake EIA procedure shall be requested by the relevant national authority</w:t>
            </w:r>
            <w:r w:rsidRPr="00ED4D49">
              <w:rPr>
                <w:sz w:val="16"/>
                <w:szCs w:val="16"/>
              </w:rPr>
              <w:t>.</w:t>
            </w:r>
          </w:p>
        </w:tc>
        <w:tc>
          <w:tcPr>
            <w:tcW w:w="1226" w:type="dxa"/>
          </w:tcPr>
          <w:p w14:paraId="7A4322AA" w14:textId="77777777" w:rsidR="004C3C6A" w:rsidRPr="00ED4D49" w:rsidRDefault="004C3C6A" w:rsidP="001229F1">
            <w:pPr>
              <w:pStyle w:val="ListParagraph"/>
              <w:widowControl w:val="0"/>
              <w:autoSpaceDE w:val="0"/>
              <w:autoSpaceDN w:val="0"/>
              <w:adjustRightInd w:val="0"/>
              <w:spacing w:beforeLines="60" w:before="144" w:afterLines="60" w:after="144" w:line="240" w:lineRule="auto"/>
              <w:ind w:left="0"/>
              <w:contextualSpacing w:val="0"/>
              <w:rPr>
                <w:rFonts w:asciiTheme="minorHAnsi" w:hAnsiTheme="minorHAnsi"/>
                <w:color w:val="0D0D0D" w:themeColor="text1" w:themeTint="F2"/>
                <w:sz w:val="16"/>
                <w:szCs w:val="16"/>
              </w:rPr>
            </w:pPr>
            <w:r w:rsidRPr="00ED4D49">
              <w:rPr>
                <w:rFonts w:asciiTheme="minorHAnsi" w:hAnsiTheme="minorHAnsi"/>
                <w:color w:val="0D0D0D" w:themeColor="text1" w:themeTint="F2"/>
                <w:sz w:val="16"/>
                <w:szCs w:val="16"/>
              </w:rPr>
              <w:t>Water Management Acts</w:t>
            </w:r>
          </w:p>
        </w:tc>
        <w:tc>
          <w:tcPr>
            <w:tcW w:w="1261" w:type="dxa"/>
          </w:tcPr>
          <w:p w14:paraId="7C95D754" w14:textId="77777777" w:rsidR="004C3C6A" w:rsidRPr="00ED4D49" w:rsidRDefault="004C3C6A" w:rsidP="001229F1">
            <w:pPr>
              <w:pStyle w:val="ListParagraph"/>
              <w:widowControl w:val="0"/>
              <w:autoSpaceDE w:val="0"/>
              <w:autoSpaceDN w:val="0"/>
              <w:adjustRightInd w:val="0"/>
              <w:spacing w:beforeLines="60" w:before="144" w:afterLines="60" w:after="144" w:line="240" w:lineRule="auto"/>
              <w:ind w:left="0"/>
              <w:contextualSpacing w:val="0"/>
              <w:rPr>
                <w:rFonts w:asciiTheme="minorHAnsi" w:hAnsiTheme="minorHAnsi"/>
                <w:color w:val="0D0D0D" w:themeColor="text1" w:themeTint="F2"/>
                <w:sz w:val="16"/>
                <w:szCs w:val="16"/>
              </w:rPr>
            </w:pPr>
            <w:r w:rsidRPr="00ED4D49">
              <w:rPr>
                <w:rFonts w:asciiTheme="minorHAnsi" w:hAnsiTheme="minorHAnsi"/>
                <w:color w:val="0D0D0D" w:themeColor="text1" w:themeTint="F2"/>
                <w:sz w:val="16"/>
                <w:szCs w:val="16"/>
              </w:rPr>
              <w:t>Construction related permits</w:t>
            </w:r>
          </w:p>
        </w:tc>
      </w:tr>
      <w:tr w:rsidR="00F37A56" w:rsidRPr="00ED4D49" w14:paraId="644AB680" w14:textId="77777777" w:rsidTr="00ED4D49">
        <w:trPr>
          <w:gridAfter w:val="1"/>
          <w:wAfter w:w="6" w:type="dxa"/>
        </w:trPr>
        <w:tc>
          <w:tcPr>
            <w:tcW w:w="2282" w:type="dxa"/>
          </w:tcPr>
          <w:p w14:paraId="32EE8CD9" w14:textId="649BA7BE" w:rsidR="00F37A56" w:rsidRPr="00ED4D49" w:rsidRDefault="00F37A56" w:rsidP="00F37A56">
            <w:pPr>
              <w:pStyle w:val="ListParagraph"/>
              <w:widowControl w:val="0"/>
              <w:autoSpaceDE w:val="0"/>
              <w:autoSpaceDN w:val="0"/>
              <w:adjustRightInd w:val="0"/>
              <w:spacing w:beforeLines="60" w:before="144" w:afterLines="60" w:after="144" w:line="240" w:lineRule="auto"/>
              <w:ind w:left="0"/>
              <w:rPr>
                <w:bCs/>
                <w:sz w:val="16"/>
                <w:szCs w:val="16"/>
              </w:rPr>
            </w:pPr>
            <w:proofErr w:type="gramStart"/>
            <w:r w:rsidRPr="00ED4D49">
              <w:rPr>
                <w:bCs/>
                <w:sz w:val="16"/>
                <w:szCs w:val="16"/>
              </w:rPr>
              <w:t>An</w:t>
            </w:r>
            <w:proofErr w:type="gramEnd"/>
            <w:r w:rsidRPr="00ED4D49">
              <w:rPr>
                <w:bCs/>
                <w:sz w:val="16"/>
                <w:szCs w:val="16"/>
              </w:rPr>
              <w:t xml:space="preserve"> 100-year flooding protection, river bank stabilization, drainage control in the Brčko District of BIH</w:t>
            </w:r>
          </w:p>
        </w:tc>
        <w:tc>
          <w:tcPr>
            <w:tcW w:w="1016" w:type="dxa"/>
          </w:tcPr>
          <w:p w14:paraId="049E3342" w14:textId="427F0DF9" w:rsidR="00F37A56" w:rsidRPr="00ED4D49" w:rsidRDefault="00F37A56" w:rsidP="00F37A56">
            <w:pPr>
              <w:pStyle w:val="ListParagraph"/>
              <w:widowControl w:val="0"/>
              <w:autoSpaceDE w:val="0"/>
              <w:autoSpaceDN w:val="0"/>
              <w:adjustRightInd w:val="0"/>
              <w:spacing w:beforeLines="60" w:before="144" w:afterLines="60" w:after="144" w:line="240" w:lineRule="auto"/>
              <w:ind w:left="0"/>
              <w:contextualSpacing w:val="0"/>
              <w:rPr>
                <w:rFonts w:asciiTheme="minorHAnsi" w:hAnsiTheme="minorHAnsi"/>
                <w:bCs/>
                <w:color w:val="0D0D0D" w:themeColor="text1" w:themeTint="F2"/>
                <w:sz w:val="16"/>
                <w:szCs w:val="16"/>
              </w:rPr>
            </w:pPr>
            <w:r w:rsidRPr="00ED4D49">
              <w:rPr>
                <w:rFonts w:asciiTheme="minorHAnsi" w:hAnsiTheme="minorHAnsi"/>
                <w:bCs/>
                <w:color w:val="0D0D0D" w:themeColor="text1" w:themeTint="F2"/>
                <w:sz w:val="16"/>
                <w:szCs w:val="16"/>
              </w:rPr>
              <w:t>Moderate risk</w:t>
            </w:r>
          </w:p>
        </w:tc>
        <w:tc>
          <w:tcPr>
            <w:tcW w:w="1827" w:type="dxa"/>
          </w:tcPr>
          <w:p w14:paraId="442116F6" w14:textId="30906341" w:rsidR="00F37A56" w:rsidRPr="00ED4D49" w:rsidRDefault="00F37A56" w:rsidP="00F37A56">
            <w:pPr>
              <w:pStyle w:val="ListParagraph"/>
              <w:widowControl w:val="0"/>
              <w:autoSpaceDE w:val="0"/>
              <w:autoSpaceDN w:val="0"/>
              <w:adjustRightInd w:val="0"/>
              <w:spacing w:beforeLines="60" w:before="144" w:afterLines="60" w:after="144" w:line="240" w:lineRule="auto"/>
              <w:ind w:left="0"/>
              <w:contextualSpacing w:val="0"/>
              <w:rPr>
                <w:rFonts w:asciiTheme="minorHAnsi" w:hAnsiTheme="minorHAnsi"/>
                <w:color w:val="0D0D0D" w:themeColor="text1" w:themeTint="F2"/>
                <w:sz w:val="16"/>
                <w:szCs w:val="16"/>
              </w:rPr>
            </w:pPr>
            <w:r w:rsidRPr="00ED4D49">
              <w:rPr>
                <w:rFonts w:asciiTheme="minorHAnsi" w:hAnsiTheme="minorHAnsi"/>
                <w:color w:val="0D0D0D" w:themeColor="text1" w:themeTint="F2"/>
                <w:sz w:val="16"/>
                <w:szCs w:val="16"/>
              </w:rPr>
              <w:t>E</w:t>
            </w:r>
            <w:r w:rsidR="00AF3CA4" w:rsidRPr="00ED4D49">
              <w:rPr>
                <w:rFonts w:asciiTheme="minorHAnsi" w:hAnsiTheme="minorHAnsi"/>
                <w:color w:val="0D0D0D" w:themeColor="text1" w:themeTint="F2"/>
                <w:sz w:val="16"/>
                <w:szCs w:val="16"/>
              </w:rPr>
              <w:t>S</w:t>
            </w:r>
            <w:r w:rsidRPr="00ED4D49">
              <w:rPr>
                <w:rFonts w:asciiTheme="minorHAnsi" w:hAnsiTheme="minorHAnsi"/>
                <w:color w:val="0D0D0D" w:themeColor="text1" w:themeTint="F2"/>
                <w:sz w:val="16"/>
                <w:szCs w:val="16"/>
              </w:rPr>
              <w:t>IA or site-specific ESMP, depending of the type and location of the subproject</w:t>
            </w:r>
            <w:r w:rsidR="00AF3CA4" w:rsidRPr="00ED4D49">
              <w:rPr>
                <w:rFonts w:asciiTheme="minorHAnsi" w:hAnsiTheme="minorHAnsi"/>
                <w:color w:val="0D0D0D" w:themeColor="text1" w:themeTint="F2"/>
                <w:sz w:val="16"/>
                <w:szCs w:val="16"/>
              </w:rPr>
              <w:t xml:space="preserve"> including provisions on all relevant ESS: ESS2, ESS3, ESS5, ESS6, ESS8</w:t>
            </w:r>
          </w:p>
        </w:tc>
        <w:tc>
          <w:tcPr>
            <w:tcW w:w="2544" w:type="dxa"/>
          </w:tcPr>
          <w:p w14:paraId="447AA6BF" w14:textId="22FBF6E3" w:rsidR="00F37A56" w:rsidRPr="00ED4D49" w:rsidRDefault="00F37A56" w:rsidP="00F37A56">
            <w:pPr>
              <w:pStyle w:val="ListParagraph"/>
              <w:widowControl w:val="0"/>
              <w:autoSpaceDE w:val="0"/>
              <w:autoSpaceDN w:val="0"/>
              <w:adjustRightInd w:val="0"/>
              <w:spacing w:beforeLines="60" w:before="144" w:afterLines="60" w:after="144" w:line="240" w:lineRule="auto"/>
              <w:ind w:left="0"/>
              <w:contextualSpacing w:val="0"/>
              <w:rPr>
                <w:rFonts w:asciiTheme="minorHAnsi" w:hAnsiTheme="minorHAnsi"/>
                <w:color w:val="0D0D0D" w:themeColor="text1" w:themeTint="F2"/>
                <w:sz w:val="16"/>
                <w:szCs w:val="16"/>
              </w:rPr>
            </w:pPr>
            <w:r w:rsidRPr="00ED4D49">
              <w:rPr>
                <w:rFonts w:asciiTheme="minorHAnsi" w:hAnsiTheme="minorHAnsi"/>
                <w:color w:val="0D0D0D" w:themeColor="text1" w:themeTint="F2"/>
                <w:sz w:val="16"/>
                <w:szCs w:val="16"/>
              </w:rPr>
              <w:t>The construction of flood protection structures is subject to a preliminary environmental impact assessment based on which Department of Spatial Planning and Property Affairs of Brcko District (DSPPABD) decides on the necessity to conduct a full EIA and ultimately issues the environmental permit.</w:t>
            </w:r>
          </w:p>
        </w:tc>
        <w:tc>
          <w:tcPr>
            <w:tcW w:w="1226" w:type="dxa"/>
          </w:tcPr>
          <w:p w14:paraId="305BBCE3" w14:textId="373B3483" w:rsidR="00F37A56" w:rsidRPr="00ED4D49" w:rsidRDefault="00F37A56" w:rsidP="00F37A56">
            <w:pPr>
              <w:pStyle w:val="ListParagraph"/>
              <w:widowControl w:val="0"/>
              <w:autoSpaceDE w:val="0"/>
              <w:autoSpaceDN w:val="0"/>
              <w:adjustRightInd w:val="0"/>
              <w:spacing w:beforeLines="60" w:before="144" w:afterLines="60" w:after="144" w:line="240" w:lineRule="auto"/>
              <w:ind w:left="0"/>
              <w:contextualSpacing w:val="0"/>
              <w:rPr>
                <w:rFonts w:asciiTheme="minorHAnsi" w:hAnsiTheme="minorHAnsi"/>
                <w:color w:val="0D0D0D" w:themeColor="text1" w:themeTint="F2"/>
                <w:sz w:val="16"/>
                <w:szCs w:val="16"/>
              </w:rPr>
            </w:pPr>
            <w:r w:rsidRPr="00ED4D49">
              <w:rPr>
                <w:rFonts w:asciiTheme="minorHAnsi" w:hAnsiTheme="minorHAnsi"/>
                <w:color w:val="0D0D0D" w:themeColor="text1" w:themeTint="F2"/>
                <w:sz w:val="16"/>
                <w:szCs w:val="16"/>
              </w:rPr>
              <w:t>Water Management Acts</w:t>
            </w:r>
          </w:p>
        </w:tc>
        <w:tc>
          <w:tcPr>
            <w:tcW w:w="1261" w:type="dxa"/>
          </w:tcPr>
          <w:p w14:paraId="4A6A1F97" w14:textId="755A5B74" w:rsidR="00F37A56" w:rsidRPr="00ED4D49" w:rsidRDefault="00F37A56" w:rsidP="00F37A56">
            <w:pPr>
              <w:pStyle w:val="ListParagraph"/>
              <w:widowControl w:val="0"/>
              <w:autoSpaceDE w:val="0"/>
              <w:autoSpaceDN w:val="0"/>
              <w:adjustRightInd w:val="0"/>
              <w:spacing w:beforeLines="60" w:before="144" w:afterLines="60" w:after="144" w:line="240" w:lineRule="auto"/>
              <w:ind w:left="0"/>
              <w:contextualSpacing w:val="0"/>
              <w:rPr>
                <w:rFonts w:asciiTheme="minorHAnsi" w:hAnsiTheme="minorHAnsi"/>
                <w:color w:val="0D0D0D" w:themeColor="text1" w:themeTint="F2"/>
                <w:sz w:val="16"/>
                <w:szCs w:val="16"/>
              </w:rPr>
            </w:pPr>
            <w:r w:rsidRPr="00ED4D49">
              <w:rPr>
                <w:rFonts w:asciiTheme="minorHAnsi" w:hAnsiTheme="minorHAnsi"/>
                <w:color w:val="0D0D0D" w:themeColor="text1" w:themeTint="F2"/>
                <w:sz w:val="16"/>
                <w:szCs w:val="16"/>
              </w:rPr>
              <w:t>Construction related permits</w:t>
            </w:r>
          </w:p>
        </w:tc>
      </w:tr>
      <w:tr w:rsidR="008F4744" w:rsidRPr="00ED4D49" w14:paraId="3F731B61" w14:textId="77777777" w:rsidTr="00ED4D49">
        <w:trPr>
          <w:gridAfter w:val="1"/>
          <w:wAfter w:w="6" w:type="dxa"/>
        </w:trPr>
        <w:tc>
          <w:tcPr>
            <w:tcW w:w="2282" w:type="dxa"/>
          </w:tcPr>
          <w:p w14:paraId="78780A97" w14:textId="4F8AE588" w:rsidR="008F4744" w:rsidRPr="00ED4D49" w:rsidRDefault="008F4744" w:rsidP="008F4744">
            <w:pPr>
              <w:pStyle w:val="ListParagraph"/>
              <w:widowControl w:val="0"/>
              <w:autoSpaceDE w:val="0"/>
              <w:autoSpaceDN w:val="0"/>
              <w:adjustRightInd w:val="0"/>
              <w:spacing w:beforeLines="60" w:before="144" w:afterLines="60" w:after="144" w:line="240" w:lineRule="auto"/>
              <w:ind w:left="0"/>
              <w:rPr>
                <w:bCs/>
                <w:sz w:val="16"/>
                <w:szCs w:val="16"/>
              </w:rPr>
            </w:pPr>
            <w:r w:rsidRPr="00ED4D49">
              <w:rPr>
                <w:bCs/>
                <w:sz w:val="16"/>
                <w:szCs w:val="16"/>
              </w:rPr>
              <w:t>Solid waste management and protection of air, water and soil of the Sava Corridor in the Brčko District</w:t>
            </w:r>
          </w:p>
        </w:tc>
        <w:tc>
          <w:tcPr>
            <w:tcW w:w="1016" w:type="dxa"/>
          </w:tcPr>
          <w:p w14:paraId="303B3935" w14:textId="4FF31B47" w:rsidR="008F4744" w:rsidRPr="00ED4D49" w:rsidRDefault="008F4744" w:rsidP="008F4744">
            <w:pPr>
              <w:pStyle w:val="ListParagraph"/>
              <w:widowControl w:val="0"/>
              <w:autoSpaceDE w:val="0"/>
              <w:autoSpaceDN w:val="0"/>
              <w:adjustRightInd w:val="0"/>
              <w:spacing w:beforeLines="60" w:before="144" w:afterLines="60" w:after="144" w:line="240" w:lineRule="auto"/>
              <w:ind w:left="0"/>
              <w:contextualSpacing w:val="0"/>
              <w:rPr>
                <w:rFonts w:asciiTheme="minorHAnsi" w:hAnsiTheme="minorHAnsi"/>
                <w:bCs/>
                <w:color w:val="0D0D0D" w:themeColor="text1" w:themeTint="F2"/>
                <w:sz w:val="16"/>
                <w:szCs w:val="16"/>
              </w:rPr>
            </w:pPr>
            <w:r w:rsidRPr="00ED4D49">
              <w:rPr>
                <w:rFonts w:asciiTheme="minorHAnsi" w:hAnsiTheme="minorHAnsi"/>
                <w:bCs/>
                <w:color w:val="0D0D0D" w:themeColor="text1" w:themeTint="F2"/>
                <w:sz w:val="16"/>
                <w:szCs w:val="16"/>
              </w:rPr>
              <w:t>Moderate to Substantial risk</w:t>
            </w:r>
          </w:p>
        </w:tc>
        <w:tc>
          <w:tcPr>
            <w:tcW w:w="1827" w:type="dxa"/>
          </w:tcPr>
          <w:p w14:paraId="6B0E692A" w14:textId="7BF3B82C" w:rsidR="008F4744" w:rsidRPr="00ED4D49" w:rsidRDefault="00AF3CA4" w:rsidP="008F4744">
            <w:pPr>
              <w:pStyle w:val="ListParagraph"/>
              <w:widowControl w:val="0"/>
              <w:autoSpaceDE w:val="0"/>
              <w:autoSpaceDN w:val="0"/>
              <w:adjustRightInd w:val="0"/>
              <w:spacing w:beforeLines="60" w:before="144" w:afterLines="60" w:after="144" w:line="240" w:lineRule="auto"/>
              <w:ind w:left="0"/>
              <w:contextualSpacing w:val="0"/>
              <w:rPr>
                <w:rFonts w:asciiTheme="minorHAnsi" w:hAnsiTheme="minorHAnsi"/>
                <w:color w:val="0D0D0D" w:themeColor="text1" w:themeTint="F2"/>
                <w:sz w:val="16"/>
                <w:szCs w:val="16"/>
              </w:rPr>
            </w:pPr>
            <w:r w:rsidRPr="00ED4D49">
              <w:rPr>
                <w:rFonts w:asciiTheme="minorHAnsi" w:hAnsiTheme="minorHAnsi"/>
                <w:color w:val="0D0D0D" w:themeColor="text1" w:themeTint="F2"/>
                <w:sz w:val="16"/>
                <w:szCs w:val="16"/>
              </w:rPr>
              <w:t>ESIA or site-specific ESMP, depending of the type and location of the subproject including provisions on all relevant ESS: ESS2, ESS3, ESS5, ESS6, ESS8</w:t>
            </w:r>
          </w:p>
        </w:tc>
        <w:tc>
          <w:tcPr>
            <w:tcW w:w="2544" w:type="dxa"/>
          </w:tcPr>
          <w:p w14:paraId="22E551F7" w14:textId="431CD65A" w:rsidR="008F4744" w:rsidRPr="00ED4D49" w:rsidRDefault="008F4744" w:rsidP="008F4744">
            <w:pPr>
              <w:pStyle w:val="ListParagraph"/>
              <w:widowControl w:val="0"/>
              <w:autoSpaceDE w:val="0"/>
              <w:autoSpaceDN w:val="0"/>
              <w:adjustRightInd w:val="0"/>
              <w:spacing w:beforeLines="60" w:before="144" w:afterLines="60" w:after="144" w:line="240" w:lineRule="auto"/>
              <w:ind w:left="0"/>
              <w:contextualSpacing w:val="0"/>
              <w:rPr>
                <w:rFonts w:asciiTheme="minorHAnsi" w:hAnsiTheme="minorHAnsi"/>
                <w:color w:val="0D0D0D" w:themeColor="text1" w:themeTint="F2"/>
                <w:sz w:val="16"/>
                <w:szCs w:val="16"/>
              </w:rPr>
            </w:pPr>
            <w:r w:rsidRPr="00ED4D49">
              <w:rPr>
                <w:rFonts w:asciiTheme="minorHAnsi" w:hAnsiTheme="minorHAnsi"/>
                <w:color w:val="0D0D0D" w:themeColor="text1" w:themeTint="F2"/>
                <w:sz w:val="16"/>
                <w:szCs w:val="16"/>
              </w:rPr>
              <w:t>The closure of existing dumpsite and construction of new waste management is subject to a preliminary environmental impact assessment based on which Department of Spatial Planning and Property Affairs of Brcko District (DSPPABD) decides on the necessity to conduct a full EIA and ultimately issues the environmental permit.</w:t>
            </w:r>
          </w:p>
        </w:tc>
        <w:tc>
          <w:tcPr>
            <w:tcW w:w="1226" w:type="dxa"/>
          </w:tcPr>
          <w:p w14:paraId="5286452D" w14:textId="05E3BAAA" w:rsidR="008F4744" w:rsidRPr="00ED4D49" w:rsidRDefault="008F4744" w:rsidP="008F4744">
            <w:pPr>
              <w:pStyle w:val="ListParagraph"/>
              <w:widowControl w:val="0"/>
              <w:autoSpaceDE w:val="0"/>
              <w:autoSpaceDN w:val="0"/>
              <w:adjustRightInd w:val="0"/>
              <w:spacing w:beforeLines="60" w:before="144" w:afterLines="60" w:after="144" w:line="240" w:lineRule="auto"/>
              <w:ind w:left="0"/>
              <w:contextualSpacing w:val="0"/>
              <w:rPr>
                <w:rFonts w:asciiTheme="minorHAnsi" w:hAnsiTheme="minorHAnsi"/>
                <w:color w:val="0D0D0D" w:themeColor="text1" w:themeTint="F2"/>
                <w:sz w:val="16"/>
                <w:szCs w:val="16"/>
              </w:rPr>
            </w:pPr>
            <w:r w:rsidRPr="00ED4D49">
              <w:rPr>
                <w:rFonts w:asciiTheme="minorHAnsi" w:hAnsiTheme="minorHAnsi"/>
                <w:color w:val="0D0D0D" w:themeColor="text1" w:themeTint="F2"/>
                <w:sz w:val="16"/>
                <w:szCs w:val="16"/>
              </w:rPr>
              <w:t>Water Management Acts</w:t>
            </w:r>
          </w:p>
        </w:tc>
        <w:tc>
          <w:tcPr>
            <w:tcW w:w="1261" w:type="dxa"/>
          </w:tcPr>
          <w:p w14:paraId="04189E07" w14:textId="2B30F668" w:rsidR="008F4744" w:rsidRPr="00ED4D49" w:rsidRDefault="008F4744" w:rsidP="008F4744">
            <w:pPr>
              <w:pStyle w:val="ListParagraph"/>
              <w:widowControl w:val="0"/>
              <w:autoSpaceDE w:val="0"/>
              <w:autoSpaceDN w:val="0"/>
              <w:adjustRightInd w:val="0"/>
              <w:spacing w:beforeLines="60" w:before="144" w:afterLines="60" w:after="144" w:line="240" w:lineRule="auto"/>
              <w:ind w:left="0"/>
              <w:contextualSpacing w:val="0"/>
              <w:rPr>
                <w:rFonts w:asciiTheme="minorHAnsi" w:hAnsiTheme="minorHAnsi"/>
                <w:color w:val="0D0D0D" w:themeColor="text1" w:themeTint="F2"/>
                <w:sz w:val="16"/>
                <w:szCs w:val="16"/>
              </w:rPr>
            </w:pPr>
            <w:r w:rsidRPr="00ED4D49">
              <w:rPr>
                <w:rFonts w:asciiTheme="minorHAnsi" w:hAnsiTheme="minorHAnsi"/>
                <w:color w:val="0D0D0D" w:themeColor="text1" w:themeTint="F2"/>
                <w:sz w:val="16"/>
                <w:szCs w:val="16"/>
              </w:rPr>
              <w:t>Construction related permits</w:t>
            </w:r>
          </w:p>
        </w:tc>
      </w:tr>
      <w:tr w:rsidR="00F37A56" w:rsidRPr="00ED4D49" w14:paraId="433F3E3E" w14:textId="77777777" w:rsidTr="00ED4D49">
        <w:trPr>
          <w:gridAfter w:val="1"/>
          <w:wAfter w:w="6" w:type="dxa"/>
        </w:trPr>
        <w:tc>
          <w:tcPr>
            <w:tcW w:w="2282" w:type="dxa"/>
          </w:tcPr>
          <w:p w14:paraId="7BDCBF8E" w14:textId="5C4084BB" w:rsidR="00F37A56" w:rsidRPr="00ED4D49" w:rsidRDefault="009F55B9" w:rsidP="00F37A56">
            <w:pPr>
              <w:pStyle w:val="ListParagraph"/>
              <w:widowControl w:val="0"/>
              <w:autoSpaceDE w:val="0"/>
              <w:autoSpaceDN w:val="0"/>
              <w:adjustRightInd w:val="0"/>
              <w:spacing w:beforeLines="60" w:before="144" w:afterLines="60" w:after="144" w:line="240" w:lineRule="auto"/>
              <w:ind w:left="0"/>
              <w:rPr>
                <w:bCs/>
                <w:sz w:val="16"/>
                <w:szCs w:val="16"/>
              </w:rPr>
            </w:pPr>
            <w:r w:rsidRPr="00ED4D49">
              <w:rPr>
                <w:bCs/>
                <w:sz w:val="16"/>
                <w:szCs w:val="16"/>
              </w:rPr>
              <w:t>C</w:t>
            </w:r>
            <w:r w:rsidR="00F37A56" w:rsidRPr="00ED4D49">
              <w:rPr>
                <w:bCs/>
                <w:sz w:val="16"/>
                <w:szCs w:val="16"/>
              </w:rPr>
              <w:t>ross-border cooperation through tourism promotion (cycling and pathway on the Sava River)</w:t>
            </w:r>
          </w:p>
        </w:tc>
        <w:tc>
          <w:tcPr>
            <w:tcW w:w="1016" w:type="dxa"/>
          </w:tcPr>
          <w:p w14:paraId="5EADB401" w14:textId="36BBC41D" w:rsidR="00F37A56" w:rsidRPr="00ED4D49" w:rsidRDefault="00F37A56" w:rsidP="00F37A56">
            <w:pPr>
              <w:pStyle w:val="ListParagraph"/>
              <w:widowControl w:val="0"/>
              <w:autoSpaceDE w:val="0"/>
              <w:autoSpaceDN w:val="0"/>
              <w:adjustRightInd w:val="0"/>
              <w:spacing w:beforeLines="60" w:before="144" w:afterLines="60" w:after="144" w:line="240" w:lineRule="auto"/>
              <w:ind w:left="0"/>
              <w:contextualSpacing w:val="0"/>
              <w:rPr>
                <w:rFonts w:asciiTheme="minorHAnsi" w:hAnsiTheme="minorHAnsi"/>
                <w:bCs/>
                <w:color w:val="0D0D0D" w:themeColor="text1" w:themeTint="F2"/>
                <w:sz w:val="16"/>
                <w:szCs w:val="16"/>
              </w:rPr>
            </w:pPr>
            <w:r w:rsidRPr="00ED4D49">
              <w:rPr>
                <w:rFonts w:asciiTheme="minorHAnsi" w:hAnsiTheme="minorHAnsi"/>
                <w:bCs/>
                <w:color w:val="0D0D0D" w:themeColor="text1" w:themeTint="F2"/>
                <w:sz w:val="16"/>
                <w:szCs w:val="16"/>
              </w:rPr>
              <w:t>Low risk</w:t>
            </w:r>
          </w:p>
        </w:tc>
        <w:tc>
          <w:tcPr>
            <w:tcW w:w="1827" w:type="dxa"/>
          </w:tcPr>
          <w:p w14:paraId="48DF694C" w14:textId="5C5F4DDF" w:rsidR="00F37A56" w:rsidRPr="00ED4D49" w:rsidRDefault="00F37A56" w:rsidP="00F37A56">
            <w:pPr>
              <w:pStyle w:val="ListParagraph"/>
              <w:widowControl w:val="0"/>
              <w:autoSpaceDE w:val="0"/>
              <w:autoSpaceDN w:val="0"/>
              <w:adjustRightInd w:val="0"/>
              <w:spacing w:beforeLines="60" w:before="144" w:afterLines="60" w:after="144" w:line="240" w:lineRule="auto"/>
              <w:ind w:left="0"/>
              <w:contextualSpacing w:val="0"/>
              <w:rPr>
                <w:rFonts w:asciiTheme="minorHAnsi" w:hAnsiTheme="minorHAnsi"/>
                <w:color w:val="0D0D0D" w:themeColor="text1" w:themeTint="F2"/>
                <w:sz w:val="16"/>
                <w:szCs w:val="16"/>
              </w:rPr>
            </w:pPr>
            <w:r w:rsidRPr="00ED4D49">
              <w:rPr>
                <w:rFonts w:asciiTheme="minorHAnsi" w:hAnsiTheme="minorHAnsi"/>
                <w:color w:val="0D0D0D" w:themeColor="text1" w:themeTint="F2"/>
                <w:sz w:val="16"/>
                <w:szCs w:val="16"/>
              </w:rPr>
              <w:t xml:space="preserve">Generic ESMP given in Annex to this ESMF. </w:t>
            </w:r>
          </w:p>
        </w:tc>
        <w:tc>
          <w:tcPr>
            <w:tcW w:w="2544" w:type="dxa"/>
          </w:tcPr>
          <w:p w14:paraId="3DD767C5" w14:textId="4F3B4CD6" w:rsidR="00F37A56" w:rsidRPr="00ED4D49" w:rsidRDefault="00F37A56" w:rsidP="00F37A56">
            <w:pPr>
              <w:pStyle w:val="ListParagraph"/>
              <w:widowControl w:val="0"/>
              <w:autoSpaceDE w:val="0"/>
              <w:autoSpaceDN w:val="0"/>
              <w:adjustRightInd w:val="0"/>
              <w:spacing w:beforeLines="60" w:before="144" w:afterLines="60" w:after="144" w:line="240" w:lineRule="auto"/>
              <w:ind w:left="0"/>
              <w:contextualSpacing w:val="0"/>
              <w:rPr>
                <w:rFonts w:asciiTheme="minorHAnsi" w:hAnsiTheme="minorHAnsi"/>
                <w:color w:val="0D0D0D" w:themeColor="text1" w:themeTint="F2"/>
                <w:sz w:val="16"/>
                <w:szCs w:val="16"/>
              </w:rPr>
            </w:pPr>
            <w:r w:rsidRPr="00ED4D49">
              <w:rPr>
                <w:rFonts w:asciiTheme="minorHAnsi" w:hAnsiTheme="minorHAnsi"/>
                <w:color w:val="0D0D0D" w:themeColor="text1" w:themeTint="F2"/>
                <w:sz w:val="16"/>
                <w:szCs w:val="16"/>
              </w:rPr>
              <w:t>-</w:t>
            </w:r>
          </w:p>
        </w:tc>
        <w:tc>
          <w:tcPr>
            <w:tcW w:w="1226" w:type="dxa"/>
          </w:tcPr>
          <w:p w14:paraId="0BB4BE45" w14:textId="30FF8C01" w:rsidR="00F37A56" w:rsidRPr="00ED4D49" w:rsidRDefault="00F37A56" w:rsidP="00F37A56">
            <w:pPr>
              <w:pStyle w:val="ListParagraph"/>
              <w:widowControl w:val="0"/>
              <w:autoSpaceDE w:val="0"/>
              <w:autoSpaceDN w:val="0"/>
              <w:adjustRightInd w:val="0"/>
              <w:spacing w:beforeLines="60" w:before="144" w:afterLines="60" w:after="144" w:line="240" w:lineRule="auto"/>
              <w:ind w:left="0"/>
              <w:contextualSpacing w:val="0"/>
              <w:rPr>
                <w:rFonts w:asciiTheme="minorHAnsi" w:hAnsiTheme="minorHAnsi"/>
                <w:color w:val="0D0D0D" w:themeColor="text1" w:themeTint="F2"/>
                <w:sz w:val="16"/>
                <w:szCs w:val="16"/>
              </w:rPr>
            </w:pPr>
            <w:r w:rsidRPr="00ED4D49">
              <w:rPr>
                <w:rFonts w:asciiTheme="minorHAnsi" w:hAnsiTheme="minorHAnsi"/>
                <w:color w:val="0D0D0D" w:themeColor="text1" w:themeTint="F2"/>
                <w:sz w:val="16"/>
                <w:szCs w:val="16"/>
              </w:rPr>
              <w:t>-</w:t>
            </w:r>
          </w:p>
        </w:tc>
        <w:tc>
          <w:tcPr>
            <w:tcW w:w="1261" w:type="dxa"/>
          </w:tcPr>
          <w:p w14:paraId="2FF41E68" w14:textId="56AAC92B" w:rsidR="00F37A56" w:rsidRPr="00ED4D49" w:rsidRDefault="00F37A56" w:rsidP="00F37A56">
            <w:pPr>
              <w:pStyle w:val="ListParagraph"/>
              <w:widowControl w:val="0"/>
              <w:autoSpaceDE w:val="0"/>
              <w:autoSpaceDN w:val="0"/>
              <w:adjustRightInd w:val="0"/>
              <w:spacing w:beforeLines="60" w:before="144" w:afterLines="60" w:after="144" w:line="240" w:lineRule="auto"/>
              <w:ind w:left="0"/>
              <w:contextualSpacing w:val="0"/>
              <w:rPr>
                <w:rFonts w:asciiTheme="minorHAnsi" w:hAnsiTheme="minorHAnsi"/>
                <w:color w:val="0D0D0D" w:themeColor="text1" w:themeTint="F2"/>
                <w:sz w:val="16"/>
                <w:szCs w:val="16"/>
              </w:rPr>
            </w:pPr>
            <w:r w:rsidRPr="00ED4D49">
              <w:rPr>
                <w:rFonts w:asciiTheme="minorHAnsi" w:hAnsiTheme="minorHAnsi"/>
                <w:color w:val="0D0D0D" w:themeColor="text1" w:themeTint="F2"/>
                <w:sz w:val="16"/>
                <w:szCs w:val="16"/>
              </w:rPr>
              <w:t>-</w:t>
            </w:r>
          </w:p>
        </w:tc>
      </w:tr>
      <w:tr w:rsidR="00F37A56" w:rsidRPr="00ED4D49" w14:paraId="710BD593" w14:textId="77777777" w:rsidTr="00ED4D49">
        <w:trPr>
          <w:gridAfter w:val="1"/>
          <w:wAfter w:w="6" w:type="dxa"/>
        </w:trPr>
        <w:tc>
          <w:tcPr>
            <w:tcW w:w="2282" w:type="dxa"/>
          </w:tcPr>
          <w:p w14:paraId="19DF342E" w14:textId="77777777" w:rsidR="00F37A56" w:rsidRPr="00ED4D49" w:rsidRDefault="00F37A56" w:rsidP="00F37A56">
            <w:pPr>
              <w:pStyle w:val="ListParagraph"/>
              <w:widowControl w:val="0"/>
              <w:autoSpaceDE w:val="0"/>
              <w:autoSpaceDN w:val="0"/>
              <w:adjustRightInd w:val="0"/>
              <w:spacing w:beforeLines="60" w:before="144" w:afterLines="60" w:after="144" w:line="240" w:lineRule="auto"/>
              <w:ind w:left="0"/>
              <w:rPr>
                <w:bCs/>
                <w:sz w:val="16"/>
                <w:szCs w:val="16"/>
              </w:rPr>
            </w:pPr>
            <w:r w:rsidRPr="00ED4D49">
              <w:rPr>
                <w:bCs/>
                <w:sz w:val="16"/>
                <w:szCs w:val="16"/>
              </w:rPr>
              <w:t>Nursery production, reforestation, arboretum establishment</w:t>
            </w:r>
          </w:p>
        </w:tc>
        <w:tc>
          <w:tcPr>
            <w:tcW w:w="1016" w:type="dxa"/>
          </w:tcPr>
          <w:p w14:paraId="22E18867" w14:textId="77777777" w:rsidR="00F37A56" w:rsidRPr="00ED4D49" w:rsidRDefault="00F37A56" w:rsidP="00F37A56">
            <w:pPr>
              <w:pStyle w:val="ListParagraph"/>
              <w:widowControl w:val="0"/>
              <w:autoSpaceDE w:val="0"/>
              <w:autoSpaceDN w:val="0"/>
              <w:adjustRightInd w:val="0"/>
              <w:spacing w:beforeLines="60" w:before="144" w:afterLines="60" w:after="144" w:line="240" w:lineRule="auto"/>
              <w:ind w:left="0"/>
              <w:contextualSpacing w:val="0"/>
              <w:rPr>
                <w:rFonts w:asciiTheme="minorHAnsi" w:hAnsiTheme="minorHAnsi"/>
                <w:bCs/>
                <w:color w:val="0D0D0D" w:themeColor="text1" w:themeTint="F2"/>
                <w:sz w:val="16"/>
                <w:szCs w:val="16"/>
              </w:rPr>
            </w:pPr>
            <w:r w:rsidRPr="00ED4D49">
              <w:rPr>
                <w:rFonts w:asciiTheme="minorHAnsi" w:hAnsiTheme="minorHAnsi"/>
                <w:bCs/>
                <w:color w:val="0D0D0D" w:themeColor="text1" w:themeTint="F2"/>
                <w:sz w:val="16"/>
                <w:szCs w:val="16"/>
              </w:rPr>
              <w:t>Low risk</w:t>
            </w:r>
          </w:p>
        </w:tc>
        <w:tc>
          <w:tcPr>
            <w:tcW w:w="1827" w:type="dxa"/>
          </w:tcPr>
          <w:p w14:paraId="413A9A08" w14:textId="221CB30F" w:rsidR="00F37A56" w:rsidRPr="00ED4D49" w:rsidRDefault="00F37A56" w:rsidP="00F37A56">
            <w:pPr>
              <w:pStyle w:val="ListParagraph"/>
              <w:widowControl w:val="0"/>
              <w:autoSpaceDE w:val="0"/>
              <w:autoSpaceDN w:val="0"/>
              <w:adjustRightInd w:val="0"/>
              <w:spacing w:beforeLines="60" w:before="144" w:afterLines="60" w:after="144" w:line="240" w:lineRule="auto"/>
              <w:ind w:left="0"/>
              <w:contextualSpacing w:val="0"/>
              <w:rPr>
                <w:rFonts w:asciiTheme="minorHAnsi" w:hAnsiTheme="minorHAnsi"/>
                <w:color w:val="0D0D0D" w:themeColor="text1" w:themeTint="F2"/>
                <w:sz w:val="16"/>
                <w:szCs w:val="16"/>
              </w:rPr>
            </w:pPr>
            <w:r w:rsidRPr="00ED4D49">
              <w:rPr>
                <w:rFonts w:asciiTheme="minorHAnsi" w:hAnsiTheme="minorHAnsi"/>
                <w:color w:val="0D0D0D" w:themeColor="text1" w:themeTint="F2"/>
                <w:sz w:val="16"/>
                <w:szCs w:val="16"/>
              </w:rPr>
              <w:t>Generic ESMP given in the ESMF for this project</w:t>
            </w:r>
            <w:r w:rsidR="00AF3CA4" w:rsidRPr="00ED4D49">
              <w:rPr>
                <w:rFonts w:asciiTheme="minorHAnsi" w:hAnsiTheme="minorHAnsi"/>
                <w:color w:val="0D0D0D" w:themeColor="text1" w:themeTint="F2"/>
                <w:sz w:val="16"/>
                <w:szCs w:val="16"/>
              </w:rPr>
              <w:t xml:space="preserve"> with relevant provisions of ESS6.</w:t>
            </w:r>
          </w:p>
        </w:tc>
        <w:tc>
          <w:tcPr>
            <w:tcW w:w="2544" w:type="dxa"/>
          </w:tcPr>
          <w:p w14:paraId="0033EABE" w14:textId="77777777" w:rsidR="00F37A56" w:rsidRPr="00ED4D49" w:rsidRDefault="00F37A56" w:rsidP="00F37A56">
            <w:pPr>
              <w:pStyle w:val="ListParagraph"/>
              <w:widowControl w:val="0"/>
              <w:autoSpaceDE w:val="0"/>
              <w:autoSpaceDN w:val="0"/>
              <w:adjustRightInd w:val="0"/>
              <w:spacing w:beforeLines="60" w:before="144" w:afterLines="60" w:after="144" w:line="240" w:lineRule="auto"/>
              <w:ind w:left="0"/>
              <w:contextualSpacing w:val="0"/>
              <w:rPr>
                <w:rFonts w:asciiTheme="minorHAnsi" w:hAnsiTheme="minorHAnsi"/>
                <w:color w:val="0D0D0D" w:themeColor="text1" w:themeTint="F2"/>
                <w:sz w:val="16"/>
                <w:szCs w:val="16"/>
              </w:rPr>
            </w:pPr>
            <w:r w:rsidRPr="00ED4D49">
              <w:rPr>
                <w:rFonts w:asciiTheme="minorHAnsi" w:hAnsiTheme="minorHAnsi"/>
                <w:color w:val="0D0D0D" w:themeColor="text1" w:themeTint="F2"/>
                <w:sz w:val="16"/>
                <w:szCs w:val="16"/>
              </w:rPr>
              <w:t>-</w:t>
            </w:r>
          </w:p>
        </w:tc>
        <w:tc>
          <w:tcPr>
            <w:tcW w:w="1226" w:type="dxa"/>
          </w:tcPr>
          <w:p w14:paraId="62C13996" w14:textId="77777777" w:rsidR="00F37A56" w:rsidRPr="00ED4D49" w:rsidRDefault="00F37A56" w:rsidP="00F37A56">
            <w:pPr>
              <w:pStyle w:val="ListParagraph"/>
              <w:widowControl w:val="0"/>
              <w:autoSpaceDE w:val="0"/>
              <w:autoSpaceDN w:val="0"/>
              <w:adjustRightInd w:val="0"/>
              <w:spacing w:beforeLines="60" w:before="144" w:afterLines="60" w:after="144" w:line="240" w:lineRule="auto"/>
              <w:ind w:left="0"/>
              <w:contextualSpacing w:val="0"/>
              <w:rPr>
                <w:rFonts w:asciiTheme="minorHAnsi" w:hAnsiTheme="minorHAnsi"/>
                <w:color w:val="0D0D0D" w:themeColor="text1" w:themeTint="F2"/>
                <w:sz w:val="16"/>
                <w:szCs w:val="16"/>
              </w:rPr>
            </w:pPr>
            <w:r w:rsidRPr="00ED4D49">
              <w:rPr>
                <w:rFonts w:asciiTheme="minorHAnsi" w:hAnsiTheme="minorHAnsi"/>
                <w:color w:val="0D0D0D" w:themeColor="text1" w:themeTint="F2"/>
                <w:sz w:val="16"/>
                <w:szCs w:val="16"/>
              </w:rPr>
              <w:t>-</w:t>
            </w:r>
          </w:p>
        </w:tc>
        <w:tc>
          <w:tcPr>
            <w:tcW w:w="1261" w:type="dxa"/>
          </w:tcPr>
          <w:p w14:paraId="29CB2309" w14:textId="77777777" w:rsidR="00F37A56" w:rsidRPr="00ED4D49" w:rsidRDefault="00F37A56" w:rsidP="00F37A56">
            <w:pPr>
              <w:pStyle w:val="ListParagraph"/>
              <w:widowControl w:val="0"/>
              <w:autoSpaceDE w:val="0"/>
              <w:autoSpaceDN w:val="0"/>
              <w:adjustRightInd w:val="0"/>
              <w:spacing w:beforeLines="60" w:before="144" w:afterLines="60" w:after="144" w:line="240" w:lineRule="auto"/>
              <w:ind w:left="0"/>
              <w:contextualSpacing w:val="0"/>
              <w:rPr>
                <w:rFonts w:asciiTheme="minorHAnsi" w:hAnsiTheme="minorHAnsi"/>
                <w:color w:val="0D0D0D" w:themeColor="text1" w:themeTint="F2"/>
                <w:sz w:val="16"/>
                <w:szCs w:val="16"/>
              </w:rPr>
            </w:pPr>
            <w:r w:rsidRPr="00ED4D49">
              <w:rPr>
                <w:rFonts w:asciiTheme="minorHAnsi" w:hAnsiTheme="minorHAnsi"/>
                <w:color w:val="0D0D0D" w:themeColor="text1" w:themeTint="F2"/>
                <w:sz w:val="16"/>
                <w:szCs w:val="16"/>
              </w:rPr>
              <w:t>-</w:t>
            </w:r>
          </w:p>
        </w:tc>
      </w:tr>
      <w:tr w:rsidR="00F37A56" w:rsidRPr="00ED4D49" w14:paraId="0702C825" w14:textId="77777777" w:rsidTr="00ED4D49">
        <w:trPr>
          <w:gridAfter w:val="1"/>
          <w:wAfter w:w="6" w:type="dxa"/>
        </w:trPr>
        <w:tc>
          <w:tcPr>
            <w:tcW w:w="2282" w:type="dxa"/>
          </w:tcPr>
          <w:p w14:paraId="6E0D6947" w14:textId="77777777" w:rsidR="00F37A56" w:rsidRPr="00ED4D49" w:rsidRDefault="00F37A56" w:rsidP="00F37A56">
            <w:pPr>
              <w:spacing w:beforeLines="60" w:before="144" w:afterLines="60" w:after="144" w:line="240" w:lineRule="auto"/>
              <w:rPr>
                <w:bCs/>
                <w:sz w:val="16"/>
                <w:szCs w:val="16"/>
                <w:lang w:val="en-US"/>
              </w:rPr>
            </w:pPr>
            <w:r w:rsidRPr="00ED4D49">
              <w:rPr>
                <w:bCs/>
                <w:sz w:val="16"/>
                <w:szCs w:val="16"/>
                <w:lang w:val="en-US"/>
              </w:rPr>
              <w:t>Demining activities along the Sava Right bank within BiH</w:t>
            </w:r>
          </w:p>
        </w:tc>
        <w:tc>
          <w:tcPr>
            <w:tcW w:w="1016" w:type="dxa"/>
          </w:tcPr>
          <w:p w14:paraId="138CB2D2" w14:textId="77777777" w:rsidR="00F37A56" w:rsidRPr="00ED4D49" w:rsidRDefault="00F37A56" w:rsidP="00F37A56">
            <w:pPr>
              <w:spacing w:beforeLines="60" w:before="144" w:afterLines="60" w:after="144" w:line="240" w:lineRule="auto"/>
              <w:rPr>
                <w:bCs/>
                <w:sz w:val="16"/>
                <w:szCs w:val="16"/>
                <w:lang w:val="en-US"/>
              </w:rPr>
            </w:pPr>
            <w:r w:rsidRPr="00ED4D49">
              <w:rPr>
                <w:bCs/>
                <w:sz w:val="16"/>
                <w:szCs w:val="16"/>
                <w:lang w:val="en-US"/>
              </w:rPr>
              <w:t>Substantial risk</w:t>
            </w:r>
          </w:p>
        </w:tc>
        <w:tc>
          <w:tcPr>
            <w:tcW w:w="1827" w:type="dxa"/>
          </w:tcPr>
          <w:p w14:paraId="17B4D6AB" w14:textId="020296D8" w:rsidR="00F37A56" w:rsidRPr="00ED4D49" w:rsidRDefault="00F37A56" w:rsidP="00F37A56">
            <w:pPr>
              <w:spacing w:beforeLines="60" w:before="144" w:afterLines="60" w:after="144" w:line="240" w:lineRule="auto"/>
              <w:rPr>
                <w:sz w:val="16"/>
                <w:szCs w:val="16"/>
                <w:lang w:val="en-US"/>
              </w:rPr>
            </w:pPr>
            <w:r w:rsidRPr="00ED4D49">
              <w:rPr>
                <w:rFonts w:asciiTheme="minorHAnsi" w:hAnsiTheme="minorHAnsi"/>
                <w:color w:val="0D0D0D" w:themeColor="text1" w:themeTint="F2"/>
                <w:sz w:val="16"/>
                <w:szCs w:val="16"/>
                <w:lang w:val="en-US"/>
              </w:rPr>
              <w:t xml:space="preserve">Site-specific </w:t>
            </w:r>
            <w:r w:rsidR="00AF3CA4" w:rsidRPr="00ED4D49">
              <w:rPr>
                <w:rFonts w:asciiTheme="minorHAnsi" w:hAnsiTheme="minorHAnsi"/>
                <w:color w:val="0D0D0D" w:themeColor="text1" w:themeTint="F2"/>
                <w:sz w:val="16"/>
                <w:szCs w:val="16"/>
                <w:lang w:val="en-US"/>
              </w:rPr>
              <w:t xml:space="preserve">ESIA and </w:t>
            </w:r>
            <w:r w:rsidRPr="00ED4D49">
              <w:rPr>
                <w:rFonts w:asciiTheme="minorHAnsi" w:hAnsiTheme="minorHAnsi"/>
                <w:color w:val="0D0D0D" w:themeColor="text1" w:themeTint="F2"/>
                <w:sz w:val="16"/>
                <w:szCs w:val="16"/>
                <w:lang w:val="en-US"/>
              </w:rPr>
              <w:t>ESMP</w:t>
            </w:r>
            <w:r w:rsidR="00AF3CA4" w:rsidRPr="00ED4D49">
              <w:rPr>
                <w:rFonts w:asciiTheme="minorHAnsi" w:hAnsiTheme="minorHAnsi"/>
                <w:color w:val="0D0D0D" w:themeColor="text1" w:themeTint="F2"/>
                <w:sz w:val="16"/>
                <w:szCs w:val="16"/>
                <w:lang w:val="en-US"/>
              </w:rPr>
              <w:t xml:space="preserve"> </w:t>
            </w:r>
            <w:r w:rsidR="00AF3CA4" w:rsidRPr="00ED4D49">
              <w:rPr>
                <w:rFonts w:asciiTheme="minorHAnsi" w:hAnsiTheme="minorHAnsi"/>
                <w:color w:val="0D0D0D" w:themeColor="text1" w:themeTint="F2"/>
                <w:sz w:val="16"/>
                <w:szCs w:val="16"/>
              </w:rPr>
              <w:t xml:space="preserve">including provisions on all relevant ESS: ESS2, ESS3, ESS5, ESS6, ESS8 and the relevant SOPs </w:t>
            </w:r>
          </w:p>
        </w:tc>
        <w:tc>
          <w:tcPr>
            <w:tcW w:w="2544" w:type="dxa"/>
          </w:tcPr>
          <w:p w14:paraId="0F9C1054" w14:textId="77777777" w:rsidR="00F37A56" w:rsidRPr="00ED4D49" w:rsidRDefault="00F37A56" w:rsidP="00F37A56">
            <w:pPr>
              <w:spacing w:beforeLines="60" w:before="144" w:afterLines="60" w:after="144" w:line="240" w:lineRule="auto"/>
              <w:rPr>
                <w:sz w:val="16"/>
                <w:szCs w:val="16"/>
                <w:lang w:val="en-US"/>
              </w:rPr>
            </w:pPr>
            <w:r w:rsidRPr="00ED4D49">
              <w:rPr>
                <w:sz w:val="16"/>
                <w:szCs w:val="16"/>
                <w:lang w:val="en-US"/>
              </w:rPr>
              <w:t>-</w:t>
            </w:r>
          </w:p>
        </w:tc>
        <w:tc>
          <w:tcPr>
            <w:tcW w:w="1226" w:type="dxa"/>
          </w:tcPr>
          <w:p w14:paraId="712B0E73" w14:textId="77777777" w:rsidR="00F37A56" w:rsidRPr="00ED4D49" w:rsidRDefault="00F37A56" w:rsidP="00F37A56">
            <w:pPr>
              <w:pStyle w:val="ListParagraph"/>
              <w:widowControl w:val="0"/>
              <w:autoSpaceDE w:val="0"/>
              <w:autoSpaceDN w:val="0"/>
              <w:adjustRightInd w:val="0"/>
              <w:spacing w:beforeLines="60" w:before="144" w:afterLines="60" w:after="144" w:line="240" w:lineRule="auto"/>
              <w:ind w:left="0"/>
              <w:rPr>
                <w:rFonts w:asciiTheme="minorHAnsi" w:hAnsiTheme="minorHAnsi"/>
                <w:color w:val="0D0D0D" w:themeColor="text1" w:themeTint="F2"/>
                <w:sz w:val="16"/>
                <w:szCs w:val="16"/>
              </w:rPr>
            </w:pPr>
            <w:r w:rsidRPr="00ED4D49">
              <w:rPr>
                <w:rFonts w:asciiTheme="minorHAnsi" w:hAnsiTheme="minorHAnsi"/>
                <w:color w:val="0D0D0D" w:themeColor="text1" w:themeTint="F2"/>
                <w:sz w:val="16"/>
                <w:szCs w:val="16"/>
              </w:rPr>
              <w:t>-</w:t>
            </w:r>
          </w:p>
        </w:tc>
        <w:tc>
          <w:tcPr>
            <w:tcW w:w="1261" w:type="dxa"/>
          </w:tcPr>
          <w:p w14:paraId="1BD64ADD" w14:textId="77777777" w:rsidR="00F37A56" w:rsidRPr="00ED4D49" w:rsidRDefault="00F37A56" w:rsidP="00F37A56">
            <w:pPr>
              <w:spacing w:beforeLines="60" w:before="144" w:afterLines="60" w:after="144" w:line="240" w:lineRule="auto"/>
              <w:rPr>
                <w:sz w:val="16"/>
                <w:szCs w:val="16"/>
                <w:lang w:val="en-US"/>
              </w:rPr>
            </w:pPr>
            <w:r w:rsidRPr="00ED4D49">
              <w:rPr>
                <w:sz w:val="16"/>
                <w:szCs w:val="16"/>
                <w:lang w:val="en-US"/>
              </w:rPr>
              <w:t>-</w:t>
            </w:r>
          </w:p>
        </w:tc>
      </w:tr>
      <w:tr w:rsidR="00F37A56" w:rsidRPr="00ED4D49" w14:paraId="1FC9D490" w14:textId="77777777" w:rsidTr="00ED4D49">
        <w:trPr>
          <w:gridAfter w:val="1"/>
          <w:wAfter w:w="6" w:type="dxa"/>
        </w:trPr>
        <w:tc>
          <w:tcPr>
            <w:tcW w:w="2282" w:type="dxa"/>
          </w:tcPr>
          <w:p w14:paraId="10C4EE57" w14:textId="77777777" w:rsidR="00F37A56" w:rsidRPr="00ED4D49" w:rsidRDefault="00F37A56" w:rsidP="00F37A56">
            <w:pPr>
              <w:spacing w:beforeLines="60" w:before="144" w:afterLines="60" w:after="144" w:line="240" w:lineRule="auto"/>
              <w:rPr>
                <w:bCs/>
                <w:sz w:val="16"/>
                <w:szCs w:val="16"/>
                <w:lang w:val="en-US"/>
              </w:rPr>
            </w:pPr>
            <w:r w:rsidRPr="00ED4D49">
              <w:rPr>
                <w:bCs/>
                <w:sz w:val="16"/>
                <w:szCs w:val="16"/>
                <w:lang w:val="en-US"/>
              </w:rPr>
              <w:t xml:space="preserve">Development of regional studies for </w:t>
            </w:r>
            <w:proofErr w:type="gramStart"/>
            <w:r w:rsidRPr="00ED4D49">
              <w:rPr>
                <w:bCs/>
                <w:sz w:val="16"/>
                <w:szCs w:val="16"/>
                <w:lang w:val="en-US"/>
              </w:rPr>
              <w:t>Sava river</w:t>
            </w:r>
            <w:proofErr w:type="gramEnd"/>
            <w:r w:rsidRPr="00ED4D49">
              <w:rPr>
                <w:bCs/>
                <w:sz w:val="16"/>
                <w:szCs w:val="16"/>
                <w:lang w:val="en-US"/>
              </w:rPr>
              <w:t xml:space="preserve"> basin</w:t>
            </w:r>
          </w:p>
        </w:tc>
        <w:tc>
          <w:tcPr>
            <w:tcW w:w="1016" w:type="dxa"/>
          </w:tcPr>
          <w:p w14:paraId="6DF82A3D" w14:textId="77777777" w:rsidR="00F37A56" w:rsidRPr="00ED4D49" w:rsidRDefault="00F37A56" w:rsidP="00F37A56">
            <w:pPr>
              <w:spacing w:beforeLines="60" w:before="144" w:afterLines="60" w:after="144" w:line="240" w:lineRule="auto"/>
              <w:rPr>
                <w:bCs/>
                <w:sz w:val="16"/>
                <w:szCs w:val="16"/>
                <w:lang w:val="en-US"/>
              </w:rPr>
            </w:pPr>
            <w:r w:rsidRPr="00ED4D49">
              <w:rPr>
                <w:bCs/>
                <w:sz w:val="16"/>
                <w:szCs w:val="16"/>
                <w:lang w:val="en-US"/>
              </w:rPr>
              <w:t>Low risk</w:t>
            </w:r>
          </w:p>
        </w:tc>
        <w:tc>
          <w:tcPr>
            <w:tcW w:w="1827" w:type="dxa"/>
          </w:tcPr>
          <w:p w14:paraId="64794D8F" w14:textId="77777777" w:rsidR="00F37A56" w:rsidRPr="00ED4D49" w:rsidRDefault="00F37A56" w:rsidP="00F37A56">
            <w:pPr>
              <w:spacing w:beforeLines="60" w:before="144" w:afterLines="60" w:after="144" w:line="240" w:lineRule="auto"/>
              <w:rPr>
                <w:rFonts w:asciiTheme="minorHAnsi" w:hAnsiTheme="minorHAnsi"/>
                <w:color w:val="0D0D0D" w:themeColor="text1" w:themeTint="F2"/>
                <w:sz w:val="16"/>
                <w:szCs w:val="16"/>
                <w:lang w:val="en-US"/>
              </w:rPr>
            </w:pPr>
            <w:r w:rsidRPr="00ED4D49">
              <w:rPr>
                <w:rFonts w:asciiTheme="minorHAnsi" w:hAnsiTheme="minorHAnsi"/>
                <w:color w:val="0D0D0D" w:themeColor="text1" w:themeTint="F2"/>
                <w:sz w:val="16"/>
                <w:szCs w:val="16"/>
                <w:lang w:val="en-US"/>
              </w:rPr>
              <w:t xml:space="preserve">Strategic Environmental and Social Assessment </w:t>
            </w:r>
          </w:p>
        </w:tc>
        <w:tc>
          <w:tcPr>
            <w:tcW w:w="2544" w:type="dxa"/>
          </w:tcPr>
          <w:p w14:paraId="1CA15A44" w14:textId="77777777" w:rsidR="00F37A56" w:rsidRPr="00ED4D49" w:rsidRDefault="00F37A56" w:rsidP="00F37A56">
            <w:pPr>
              <w:spacing w:beforeLines="60" w:before="144" w:afterLines="60" w:after="144" w:line="240" w:lineRule="auto"/>
              <w:rPr>
                <w:sz w:val="16"/>
                <w:szCs w:val="16"/>
                <w:lang w:val="en-US"/>
              </w:rPr>
            </w:pPr>
            <w:r w:rsidRPr="00ED4D49">
              <w:rPr>
                <w:rFonts w:asciiTheme="minorHAnsi" w:hAnsiTheme="minorHAnsi"/>
                <w:color w:val="0D0D0D" w:themeColor="text1" w:themeTint="F2"/>
                <w:sz w:val="16"/>
                <w:szCs w:val="16"/>
                <w:lang w:val="en-US"/>
              </w:rPr>
              <w:t xml:space="preserve">Strategic Environmental Assessment </w:t>
            </w:r>
          </w:p>
        </w:tc>
        <w:tc>
          <w:tcPr>
            <w:tcW w:w="1226" w:type="dxa"/>
          </w:tcPr>
          <w:p w14:paraId="7510AB15" w14:textId="77777777" w:rsidR="00F37A56" w:rsidRPr="00ED4D49" w:rsidRDefault="00F37A56" w:rsidP="00F37A56">
            <w:pPr>
              <w:pStyle w:val="ListParagraph"/>
              <w:widowControl w:val="0"/>
              <w:autoSpaceDE w:val="0"/>
              <w:autoSpaceDN w:val="0"/>
              <w:adjustRightInd w:val="0"/>
              <w:spacing w:beforeLines="60" w:before="144" w:afterLines="60" w:after="144" w:line="240" w:lineRule="auto"/>
              <w:ind w:left="0"/>
              <w:rPr>
                <w:rFonts w:asciiTheme="minorHAnsi" w:hAnsiTheme="minorHAnsi"/>
                <w:color w:val="0D0D0D" w:themeColor="text1" w:themeTint="F2"/>
                <w:sz w:val="16"/>
                <w:szCs w:val="16"/>
              </w:rPr>
            </w:pPr>
            <w:r w:rsidRPr="00ED4D49">
              <w:rPr>
                <w:rFonts w:asciiTheme="minorHAnsi" w:hAnsiTheme="minorHAnsi"/>
                <w:color w:val="0D0D0D" w:themeColor="text1" w:themeTint="F2"/>
                <w:sz w:val="16"/>
                <w:szCs w:val="16"/>
              </w:rPr>
              <w:t>-</w:t>
            </w:r>
          </w:p>
        </w:tc>
        <w:tc>
          <w:tcPr>
            <w:tcW w:w="1261" w:type="dxa"/>
          </w:tcPr>
          <w:p w14:paraId="1B80304E" w14:textId="77777777" w:rsidR="00F37A56" w:rsidRPr="00ED4D49" w:rsidRDefault="00F37A56" w:rsidP="00F37A56">
            <w:pPr>
              <w:spacing w:beforeLines="60" w:before="144" w:afterLines="60" w:after="144" w:line="240" w:lineRule="auto"/>
              <w:rPr>
                <w:sz w:val="16"/>
                <w:szCs w:val="16"/>
                <w:lang w:val="en-US"/>
              </w:rPr>
            </w:pPr>
            <w:r w:rsidRPr="00ED4D49">
              <w:rPr>
                <w:sz w:val="16"/>
                <w:szCs w:val="16"/>
                <w:lang w:val="en-US"/>
              </w:rPr>
              <w:t>-</w:t>
            </w:r>
          </w:p>
        </w:tc>
      </w:tr>
    </w:tbl>
    <w:p w14:paraId="774A219E" w14:textId="5D146D7E" w:rsidR="00EB7402" w:rsidRPr="00ED4D49" w:rsidRDefault="00EB7402" w:rsidP="00C849B1">
      <w:pPr>
        <w:jc w:val="both"/>
        <w:rPr>
          <w:lang w:val="en-US" w:eastAsia="x-none"/>
        </w:rPr>
      </w:pPr>
      <w:r w:rsidRPr="00ED4D49">
        <w:rPr>
          <w:lang w:val="en-US" w:eastAsia="x-none"/>
        </w:rPr>
        <w:t>In case the Borrower propose</w:t>
      </w:r>
      <w:r w:rsidR="00C849B1" w:rsidRPr="00ED4D49">
        <w:rPr>
          <w:lang w:val="en-US" w:eastAsia="x-none"/>
        </w:rPr>
        <w:t>s</w:t>
      </w:r>
      <w:r w:rsidRPr="00ED4D49">
        <w:rPr>
          <w:lang w:val="en-US" w:eastAsia="x-none"/>
        </w:rPr>
        <w:t xml:space="preserve"> other type</w:t>
      </w:r>
      <w:r w:rsidR="00C849B1" w:rsidRPr="00ED4D49">
        <w:rPr>
          <w:lang w:val="en-US" w:eastAsia="x-none"/>
        </w:rPr>
        <w:t>s</w:t>
      </w:r>
      <w:r w:rsidRPr="00ED4D49">
        <w:rPr>
          <w:lang w:val="en-US" w:eastAsia="x-none"/>
        </w:rPr>
        <w:t xml:space="preserve"> of activit</w:t>
      </w:r>
      <w:r w:rsidR="00C849B1" w:rsidRPr="00ED4D49">
        <w:rPr>
          <w:lang w:val="en-US" w:eastAsia="x-none"/>
        </w:rPr>
        <w:t>ies</w:t>
      </w:r>
      <w:r w:rsidRPr="00ED4D49">
        <w:rPr>
          <w:lang w:val="en-US" w:eastAsia="x-none"/>
        </w:rPr>
        <w:t xml:space="preserve"> which </w:t>
      </w:r>
      <w:r w:rsidR="00C849B1" w:rsidRPr="00ED4D49">
        <w:rPr>
          <w:lang w:val="en-US" w:eastAsia="x-none"/>
        </w:rPr>
        <w:t>are</w:t>
      </w:r>
      <w:r w:rsidRPr="00ED4D49">
        <w:rPr>
          <w:lang w:val="en-US" w:eastAsia="x-none"/>
        </w:rPr>
        <w:t xml:space="preserve"> not mentioned in the table </w:t>
      </w:r>
      <w:r w:rsidR="00481A75" w:rsidRPr="00ED4D49">
        <w:rPr>
          <w:lang w:val="en-US" w:eastAsia="x-none"/>
        </w:rPr>
        <w:t>above, the</w:t>
      </w:r>
      <w:r w:rsidRPr="00ED4D49">
        <w:rPr>
          <w:lang w:val="en-US" w:eastAsia="x-none"/>
        </w:rPr>
        <w:t xml:space="preserve"> decision </w:t>
      </w:r>
      <w:r w:rsidR="00C849B1" w:rsidRPr="00ED4D49">
        <w:rPr>
          <w:lang w:val="en-US" w:eastAsia="x-none"/>
        </w:rPr>
        <w:t>to</w:t>
      </w:r>
      <w:r w:rsidRPr="00ED4D49">
        <w:rPr>
          <w:lang w:val="en-US" w:eastAsia="x-none"/>
        </w:rPr>
        <w:t xml:space="preserve"> financ</w:t>
      </w:r>
      <w:r w:rsidR="00C849B1" w:rsidRPr="00ED4D49">
        <w:rPr>
          <w:lang w:val="en-US" w:eastAsia="x-none"/>
        </w:rPr>
        <w:t>e such activities</w:t>
      </w:r>
      <w:r w:rsidRPr="00ED4D49">
        <w:rPr>
          <w:lang w:val="en-US" w:eastAsia="x-none"/>
        </w:rPr>
        <w:t xml:space="preserve"> will be made through </w:t>
      </w:r>
      <w:r w:rsidR="00C849B1" w:rsidRPr="00ED4D49">
        <w:rPr>
          <w:lang w:val="en-US" w:eastAsia="x-none"/>
        </w:rPr>
        <w:t xml:space="preserve">a </w:t>
      </w:r>
      <w:r w:rsidRPr="00ED4D49">
        <w:rPr>
          <w:lang w:val="en-US" w:eastAsia="x-none"/>
        </w:rPr>
        <w:t xml:space="preserve">dialogue with the Bank and based on project categorization and adequate due diligence. </w:t>
      </w:r>
    </w:p>
    <w:p w14:paraId="3F141D5F" w14:textId="4EB96614" w:rsidR="007D1D57" w:rsidRPr="00ED4D49" w:rsidRDefault="007D1D57" w:rsidP="00481A75">
      <w:pPr>
        <w:pStyle w:val="Heading2"/>
      </w:pPr>
      <w:bookmarkStart w:id="243" w:name="_Toc31811102"/>
      <w:r w:rsidRPr="00ED4D49">
        <w:t>Environmental and Social Screening Process (Step-by-Step)</w:t>
      </w:r>
      <w:bookmarkEnd w:id="243"/>
    </w:p>
    <w:p w14:paraId="0BCBB5EA" w14:textId="6DC4B7B6" w:rsidR="009F3A5D" w:rsidRPr="00ED4D49" w:rsidRDefault="00DD6C04" w:rsidP="009901AD">
      <w:pPr>
        <w:jc w:val="both"/>
        <w:rPr>
          <w:b/>
          <w:lang w:val="en-US" w:eastAsia="x-none"/>
        </w:rPr>
      </w:pPr>
      <w:bookmarkStart w:id="244" w:name="_Hlk25324975"/>
      <w:r w:rsidRPr="00ED4D49">
        <w:rPr>
          <w:color w:val="000000"/>
          <w:szCs w:val="23"/>
          <w:lang w:val="en-US"/>
        </w:rPr>
        <w:t xml:space="preserve">For the future implementation of the sub-components and related </w:t>
      </w:r>
      <w:r w:rsidR="00BB3655" w:rsidRPr="00ED4D49">
        <w:rPr>
          <w:color w:val="000000"/>
          <w:szCs w:val="23"/>
          <w:lang w:val="en-US"/>
        </w:rPr>
        <w:t>subprojects</w:t>
      </w:r>
      <w:r w:rsidRPr="00ED4D49">
        <w:rPr>
          <w:color w:val="000000"/>
          <w:szCs w:val="23"/>
          <w:lang w:val="en-US"/>
        </w:rPr>
        <w:t xml:space="preserve">, </w:t>
      </w:r>
      <w:r w:rsidR="00CD42CE" w:rsidRPr="00ED4D49">
        <w:rPr>
          <w:color w:val="000000"/>
          <w:szCs w:val="23"/>
          <w:lang w:val="en-US"/>
        </w:rPr>
        <w:t xml:space="preserve">the </w:t>
      </w:r>
      <w:r w:rsidRPr="00ED4D49">
        <w:rPr>
          <w:color w:val="000000"/>
          <w:szCs w:val="23"/>
          <w:lang w:val="en-US"/>
        </w:rPr>
        <w:t xml:space="preserve">following steps concerning </w:t>
      </w:r>
      <w:r w:rsidR="0060274D" w:rsidRPr="00ED4D49">
        <w:rPr>
          <w:color w:val="000000"/>
          <w:szCs w:val="23"/>
          <w:lang w:val="en-US"/>
        </w:rPr>
        <w:t xml:space="preserve">the </w:t>
      </w:r>
      <w:r w:rsidR="00CD42CE" w:rsidRPr="00ED4D49">
        <w:rPr>
          <w:color w:val="000000"/>
          <w:szCs w:val="23"/>
          <w:lang w:val="en-US"/>
        </w:rPr>
        <w:t>E&amp;S</w:t>
      </w:r>
      <w:r w:rsidRPr="00ED4D49">
        <w:rPr>
          <w:color w:val="000000"/>
          <w:szCs w:val="23"/>
          <w:lang w:val="en-US"/>
        </w:rPr>
        <w:t xml:space="preserve"> assessment process should be undertaken:</w:t>
      </w:r>
    </w:p>
    <w:p w14:paraId="1444A16A" w14:textId="3A22B988" w:rsidR="00995E1F" w:rsidRPr="00ED4D49" w:rsidRDefault="009F3A5D" w:rsidP="009901AD">
      <w:pPr>
        <w:jc w:val="both"/>
        <w:rPr>
          <w:b/>
          <w:lang w:val="en-US" w:eastAsia="x-none"/>
        </w:rPr>
      </w:pPr>
      <w:bookmarkStart w:id="245" w:name="_Hlk25324982"/>
      <w:bookmarkEnd w:id="244"/>
      <w:r w:rsidRPr="00ED4D49">
        <w:rPr>
          <w:b/>
          <w:lang w:val="en-US" w:eastAsia="x-none"/>
        </w:rPr>
        <w:lastRenderedPageBreak/>
        <w:t xml:space="preserve">Step 1. </w:t>
      </w:r>
      <w:r w:rsidR="009901AD" w:rsidRPr="00ED4D49">
        <w:rPr>
          <w:b/>
          <w:lang w:val="en-US" w:eastAsia="x-none"/>
        </w:rPr>
        <w:t>Confirm</w:t>
      </w:r>
      <w:r w:rsidR="00995E1F" w:rsidRPr="00ED4D49">
        <w:rPr>
          <w:b/>
          <w:lang w:val="en-US" w:eastAsia="x-none"/>
        </w:rPr>
        <w:t xml:space="preserve"> the </w:t>
      </w:r>
      <w:r w:rsidR="009901AD" w:rsidRPr="00ED4D49">
        <w:rPr>
          <w:b/>
          <w:lang w:val="en-US" w:eastAsia="x-none"/>
        </w:rPr>
        <w:t xml:space="preserve">preliminary determined </w:t>
      </w:r>
      <w:r w:rsidR="00995E1F" w:rsidRPr="00ED4D49">
        <w:rPr>
          <w:b/>
          <w:lang w:val="en-US" w:eastAsia="x-none"/>
        </w:rPr>
        <w:t>project risk and</w:t>
      </w:r>
      <w:r w:rsidR="009901AD" w:rsidRPr="00ED4D49">
        <w:rPr>
          <w:b/>
          <w:lang w:val="en-US" w:eastAsia="x-none"/>
        </w:rPr>
        <w:t xml:space="preserve"> carry out </w:t>
      </w:r>
      <w:r w:rsidR="0060274D" w:rsidRPr="00ED4D49">
        <w:rPr>
          <w:b/>
          <w:lang w:val="en-US" w:eastAsia="x-none"/>
        </w:rPr>
        <w:t xml:space="preserve">an </w:t>
      </w:r>
      <w:r w:rsidR="009901AD" w:rsidRPr="00ED4D49">
        <w:rPr>
          <w:b/>
          <w:lang w:val="en-US" w:eastAsia="x-none"/>
        </w:rPr>
        <w:t>E&amp;S assessment in line the WB requirements</w:t>
      </w:r>
    </w:p>
    <w:bookmarkEnd w:id="245"/>
    <w:p w14:paraId="05BB12AE" w14:textId="37163A9E" w:rsidR="00DD6C04" w:rsidRPr="00ED4D49" w:rsidRDefault="00995E1F" w:rsidP="009901AD">
      <w:pPr>
        <w:jc w:val="both"/>
        <w:rPr>
          <w:b/>
          <w:lang w:val="en-US" w:eastAsia="x-none"/>
        </w:rPr>
      </w:pPr>
      <w:r w:rsidRPr="00ED4D49">
        <w:rPr>
          <w:bCs/>
          <w:lang w:val="en-US" w:eastAsia="x-none"/>
        </w:rPr>
        <w:t>a)</w:t>
      </w:r>
      <w:r w:rsidRPr="00ED4D49">
        <w:rPr>
          <w:b/>
          <w:lang w:val="en-US" w:eastAsia="x-none"/>
        </w:rPr>
        <w:t xml:space="preserve"> </w:t>
      </w:r>
      <w:r w:rsidR="00DD6C04" w:rsidRPr="00ED4D49">
        <w:rPr>
          <w:bCs/>
          <w:lang w:val="en-US" w:eastAsia="x-none"/>
        </w:rPr>
        <w:t xml:space="preserve">For </w:t>
      </w:r>
      <w:r w:rsidR="00EF0942" w:rsidRPr="00ED4D49">
        <w:rPr>
          <w:bCs/>
          <w:lang w:val="en-US" w:eastAsia="x-none"/>
        </w:rPr>
        <w:t xml:space="preserve">substantial and </w:t>
      </w:r>
      <w:proofErr w:type="gramStart"/>
      <w:r w:rsidR="00DD6C04" w:rsidRPr="00ED4D49">
        <w:rPr>
          <w:bCs/>
          <w:lang w:val="en-US" w:eastAsia="x-none"/>
        </w:rPr>
        <w:t>high risk</w:t>
      </w:r>
      <w:proofErr w:type="gramEnd"/>
      <w:r w:rsidR="00DD6C04" w:rsidRPr="00ED4D49">
        <w:rPr>
          <w:bCs/>
          <w:lang w:val="en-US" w:eastAsia="x-none"/>
        </w:rPr>
        <w:t xml:space="preserve"> </w:t>
      </w:r>
      <w:r w:rsidR="00BB3655" w:rsidRPr="00ED4D49">
        <w:rPr>
          <w:bCs/>
          <w:lang w:val="en-US" w:eastAsia="x-none"/>
        </w:rPr>
        <w:t>subprojects</w:t>
      </w:r>
      <w:r w:rsidR="00DB7966" w:rsidRPr="00ED4D49">
        <w:rPr>
          <w:rStyle w:val="FootnoteReference"/>
          <w:bCs/>
          <w:lang w:val="en-US" w:eastAsia="x-none"/>
        </w:rPr>
        <w:footnoteReference w:id="74"/>
      </w:r>
      <w:r w:rsidR="00863DCD" w:rsidRPr="00ED4D49">
        <w:rPr>
          <w:bCs/>
          <w:lang w:val="en-US" w:eastAsia="x-none"/>
        </w:rPr>
        <w:t>,</w:t>
      </w:r>
      <w:r w:rsidR="00DD6C04" w:rsidRPr="00ED4D49">
        <w:rPr>
          <w:bCs/>
          <w:lang w:val="en-US" w:eastAsia="x-none"/>
        </w:rPr>
        <w:t xml:space="preserve"> p</w:t>
      </w:r>
      <w:r w:rsidR="009F3A5D" w:rsidRPr="00ED4D49">
        <w:rPr>
          <w:bCs/>
          <w:lang w:val="en-US" w:eastAsia="x-none"/>
        </w:rPr>
        <w:t>repare</w:t>
      </w:r>
      <w:r w:rsidR="00863DCD" w:rsidRPr="00ED4D49">
        <w:rPr>
          <w:bCs/>
          <w:lang w:val="en-US" w:eastAsia="x-none"/>
        </w:rPr>
        <w:t xml:space="preserve"> </w:t>
      </w:r>
      <w:bookmarkStart w:id="246" w:name="_Hlk25325004"/>
      <w:r w:rsidR="00863DCD" w:rsidRPr="00ED4D49">
        <w:rPr>
          <w:bCs/>
          <w:lang w:val="en-US" w:eastAsia="x-none"/>
        </w:rPr>
        <w:t>an</w:t>
      </w:r>
      <w:r w:rsidR="00DD6C04" w:rsidRPr="00ED4D49">
        <w:rPr>
          <w:bCs/>
          <w:lang w:val="en-US" w:eastAsia="x-none"/>
        </w:rPr>
        <w:t xml:space="preserve"> </w:t>
      </w:r>
      <w:r w:rsidR="00863DCD" w:rsidRPr="00ED4D49">
        <w:rPr>
          <w:b/>
          <w:lang w:val="en-US" w:eastAsia="x-none"/>
        </w:rPr>
        <w:t>ESIA Study</w:t>
      </w:r>
      <w:r w:rsidR="00DD6C04" w:rsidRPr="00ED4D49">
        <w:rPr>
          <w:b/>
          <w:lang w:val="en-US" w:eastAsia="x-none"/>
        </w:rPr>
        <w:t xml:space="preserve"> </w:t>
      </w:r>
      <w:bookmarkStart w:id="247" w:name="_Hlk25325024"/>
      <w:bookmarkEnd w:id="246"/>
      <w:r w:rsidR="00DD6C04" w:rsidRPr="00ED4D49">
        <w:rPr>
          <w:bCs/>
          <w:lang w:val="en-US" w:eastAsia="x-none"/>
        </w:rPr>
        <w:t xml:space="preserve">in line with the requirements of ESS1 and taking into account all </w:t>
      </w:r>
      <w:r w:rsidR="0060274D" w:rsidRPr="00ED4D49">
        <w:rPr>
          <w:bCs/>
          <w:lang w:val="en-US" w:eastAsia="x-none"/>
        </w:rPr>
        <w:t xml:space="preserve">the </w:t>
      </w:r>
      <w:r w:rsidR="00DD6C04" w:rsidRPr="00ED4D49">
        <w:rPr>
          <w:bCs/>
          <w:lang w:val="en-US" w:eastAsia="x-none"/>
        </w:rPr>
        <w:t>relevant ESS</w:t>
      </w:r>
      <w:r w:rsidR="0060274D" w:rsidRPr="00ED4D49">
        <w:rPr>
          <w:bCs/>
          <w:lang w:val="en-US" w:eastAsia="x-none"/>
        </w:rPr>
        <w:t xml:space="preserve"> requirements </w:t>
      </w:r>
      <w:bookmarkEnd w:id="247"/>
      <w:r w:rsidRPr="00ED4D49">
        <w:rPr>
          <w:bCs/>
          <w:lang w:val="en-US" w:eastAsia="x-none"/>
        </w:rPr>
        <w:t>(see</w:t>
      </w:r>
      <w:r w:rsidR="00DD6C04" w:rsidRPr="00ED4D49">
        <w:rPr>
          <w:bCs/>
          <w:lang w:val="en-US" w:eastAsia="x-none"/>
        </w:rPr>
        <w:t xml:space="preserve"> </w:t>
      </w:r>
      <w:r w:rsidRPr="00ED4D49">
        <w:rPr>
          <w:bCs/>
          <w:lang w:val="en-US" w:eastAsia="x-none"/>
        </w:rPr>
        <w:t>Chapter</w:t>
      </w:r>
      <w:r w:rsidR="00EC066C" w:rsidRPr="00ED4D49">
        <w:rPr>
          <w:bCs/>
          <w:lang w:val="en-US" w:eastAsia="x-none"/>
        </w:rPr>
        <w:t xml:space="preserve"> </w:t>
      </w:r>
      <w:r w:rsidR="00EC066C" w:rsidRPr="00ED4D49">
        <w:rPr>
          <w:bCs/>
          <w:lang w:val="en-US" w:eastAsia="x-none"/>
        </w:rPr>
        <w:fldChar w:fldCharType="begin"/>
      </w:r>
      <w:r w:rsidR="00EC066C" w:rsidRPr="00ED4D49">
        <w:rPr>
          <w:bCs/>
          <w:lang w:val="en-US" w:eastAsia="x-none"/>
        </w:rPr>
        <w:instrText xml:space="preserve"> REF _Ref22308656 \r \h  \* MERGEFORMAT </w:instrText>
      </w:r>
      <w:r w:rsidR="00EC066C" w:rsidRPr="00ED4D49">
        <w:rPr>
          <w:bCs/>
          <w:lang w:val="en-US" w:eastAsia="x-none"/>
        </w:rPr>
      </w:r>
      <w:r w:rsidR="00EC066C" w:rsidRPr="00ED4D49">
        <w:rPr>
          <w:bCs/>
          <w:lang w:val="en-US" w:eastAsia="x-none"/>
        </w:rPr>
        <w:fldChar w:fldCharType="separate"/>
      </w:r>
      <w:r w:rsidR="00F60130" w:rsidRPr="00ED4D49">
        <w:rPr>
          <w:bCs/>
          <w:lang w:val="en-US" w:eastAsia="x-none"/>
        </w:rPr>
        <w:t>7.1</w:t>
      </w:r>
      <w:r w:rsidR="00EC066C" w:rsidRPr="00ED4D49">
        <w:rPr>
          <w:bCs/>
          <w:lang w:val="en-US" w:eastAsia="x-none"/>
        </w:rPr>
        <w:fldChar w:fldCharType="end"/>
      </w:r>
      <w:r w:rsidRPr="00ED4D49">
        <w:rPr>
          <w:bCs/>
          <w:lang w:val="en-US" w:eastAsia="x-none"/>
        </w:rPr>
        <w:t>)</w:t>
      </w:r>
      <w:r w:rsidR="00DD6C04" w:rsidRPr="00ED4D49">
        <w:rPr>
          <w:bCs/>
          <w:lang w:val="en-US" w:eastAsia="x-none"/>
        </w:rPr>
        <w:t xml:space="preserve">. </w:t>
      </w:r>
      <w:bookmarkStart w:id="248" w:name="_Hlk25325031"/>
      <w:r w:rsidR="00863DCD" w:rsidRPr="00ED4D49">
        <w:rPr>
          <w:bCs/>
          <w:lang w:val="en-US" w:eastAsia="x-none"/>
        </w:rPr>
        <w:t>An i</w:t>
      </w:r>
      <w:r w:rsidR="00BA387E" w:rsidRPr="00ED4D49">
        <w:rPr>
          <w:bCs/>
          <w:lang w:val="en-US" w:eastAsia="x-none"/>
        </w:rPr>
        <w:t xml:space="preserve">ndicative outline </w:t>
      </w:r>
      <w:r w:rsidR="00DD6C04" w:rsidRPr="00ED4D49">
        <w:rPr>
          <w:bCs/>
          <w:lang w:val="en-US" w:eastAsia="x-none"/>
        </w:rPr>
        <w:t xml:space="preserve">of </w:t>
      </w:r>
      <w:r w:rsidR="00863DCD" w:rsidRPr="00ED4D49">
        <w:rPr>
          <w:bCs/>
          <w:lang w:val="en-US" w:eastAsia="x-none"/>
        </w:rPr>
        <w:t xml:space="preserve">the </w:t>
      </w:r>
      <w:r w:rsidR="00DD6C04" w:rsidRPr="00ED4D49">
        <w:rPr>
          <w:bCs/>
          <w:lang w:val="en-US" w:eastAsia="x-none"/>
        </w:rPr>
        <w:t>E</w:t>
      </w:r>
      <w:r w:rsidRPr="00ED4D49">
        <w:rPr>
          <w:bCs/>
          <w:lang w:val="en-US" w:eastAsia="x-none"/>
        </w:rPr>
        <w:t>SIA is given in Annex</w:t>
      </w:r>
      <w:r w:rsidR="00E41A9E" w:rsidRPr="00ED4D49">
        <w:rPr>
          <w:bCs/>
          <w:lang w:val="en-US" w:eastAsia="x-none"/>
        </w:rPr>
        <w:t xml:space="preserve"> </w:t>
      </w:r>
      <w:r w:rsidR="00E41A9E" w:rsidRPr="00ED4D49">
        <w:rPr>
          <w:bCs/>
          <w:lang w:val="en-US" w:eastAsia="x-none"/>
        </w:rPr>
        <w:fldChar w:fldCharType="begin"/>
      </w:r>
      <w:r w:rsidR="00E41A9E" w:rsidRPr="00ED4D49">
        <w:rPr>
          <w:bCs/>
          <w:lang w:val="en-US" w:eastAsia="x-none"/>
        </w:rPr>
        <w:instrText xml:space="preserve"> REF _Ref28445416 \r \h </w:instrText>
      </w:r>
      <w:r w:rsidR="00ED4D49">
        <w:rPr>
          <w:bCs/>
          <w:lang w:val="en-US" w:eastAsia="x-none"/>
        </w:rPr>
        <w:instrText xml:space="preserve"> \* MERGEFORMAT </w:instrText>
      </w:r>
      <w:r w:rsidR="00E41A9E" w:rsidRPr="00ED4D49">
        <w:rPr>
          <w:bCs/>
          <w:lang w:val="en-US" w:eastAsia="x-none"/>
        </w:rPr>
      </w:r>
      <w:r w:rsidR="00E41A9E" w:rsidRPr="00ED4D49">
        <w:rPr>
          <w:bCs/>
          <w:lang w:val="en-US" w:eastAsia="x-none"/>
        </w:rPr>
        <w:fldChar w:fldCharType="separate"/>
      </w:r>
      <w:r w:rsidR="00F60130" w:rsidRPr="00ED4D49">
        <w:rPr>
          <w:bCs/>
          <w:lang w:val="en-US" w:eastAsia="x-none"/>
        </w:rPr>
        <w:t>E</w:t>
      </w:r>
      <w:r w:rsidR="00E41A9E" w:rsidRPr="00ED4D49">
        <w:rPr>
          <w:bCs/>
          <w:lang w:val="en-US" w:eastAsia="x-none"/>
        </w:rPr>
        <w:fldChar w:fldCharType="end"/>
      </w:r>
      <w:r w:rsidRPr="00ED4D49">
        <w:rPr>
          <w:bCs/>
          <w:lang w:val="en-US" w:eastAsia="x-none"/>
        </w:rPr>
        <w:t>.</w:t>
      </w:r>
    </w:p>
    <w:bookmarkEnd w:id="248"/>
    <w:p w14:paraId="31D72DF8" w14:textId="6AD39843" w:rsidR="00995E1F" w:rsidRPr="00ED4D49" w:rsidRDefault="009901AD" w:rsidP="009901AD">
      <w:pPr>
        <w:jc w:val="both"/>
        <w:rPr>
          <w:bCs/>
          <w:lang w:val="en-US" w:eastAsia="x-none"/>
        </w:rPr>
      </w:pPr>
      <w:r w:rsidRPr="00ED4D49">
        <w:rPr>
          <w:bCs/>
          <w:lang w:val="en-US" w:eastAsia="x-none"/>
        </w:rPr>
        <w:t>b)</w:t>
      </w:r>
      <w:r w:rsidRPr="00ED4D49">
        <w:rPr>
          <w:b/>
          <w:lang w:val="en-US" w:eastAsia="x-none"/>
        </w:rPr>
        <w:t xml:space="preserve"> </w:t>
      </w:r>
      <w:r w:rsidR="00995E1F" w:rsidRPr="00ED4D49">
        <w:rPr>
          <w:bCs/>
          <w:lang w:val="en-US" w:eastAsia="x-none"/>
        </w:rPr>
        <w:t>For</w:t>
      </w:r>
      <w:r w:rsidR="00995E1F" w:rsidRPr="00ED4D49">
        <w:rPr>
          <w:bCs/>
          <w:lang w:val="en-US"/>
        </w:rPr>
        <w:t xml:space="preserve"> “moderate” and “low” risk </w:t>
      </w:r>
      <w:bookmarkStart w:id="249" w:name="_Hlk25325044"/>
      <w:r w:rsidR="00BB3655" w:rsidRPr="00ED4D49">
        <w:rPr>
          <w:bCs/>
          <w:lang w:val="en-US"/>
        </w:rPr>
        <w:t>subprojects</w:t>
      </w:r>
      <w:bookmarkEnd w:id="249"/>
      <w:r w:rsidR="00863DCD" w:rsidRPr="00ED4D49">
        <w:rPr>
          <w:bCs/>
          <w:lang w:val="en-US"/>
        </w:rPr>
        <w:t>,</w:t>
      </w:r>
      <w:r w:rsidR="0063606C" w:rsidRPr="00ED4D49">
        <w:rPr>
          <w:bCs/>
          <w:lang w:val="en-US"/>
        </w:rPr>
        <w:t xml:space="preserve"> </w:t>
      </w:r>
      <w:r w:rsidR="00995E1F" w:rsidRPr="00ED4D49">
        <w:rPr>
          <w:bCs/>
          <w:lang w:val="en-US" w:eastAsia="x-none"/>
        </w:rPr>
        <w:t>prepare</w:t>
      </w:r>
      <w:r w:rsidR="00863DCD" w:rsidRPr="00ED4D49">
        <w:rPr>
          <w:bCs/>
          <w:lang w:val="en-US" w:eastAsia="x-none"/>
        </w:rPr>
        <w:t xml:space="preserve"> a</w:t>
      </w:r>
      <w:r w:rsidR="00995E1F" w:rsidRPr="00ED4D49">
        <w:rPr>
          <w:b/>
          <w:lang w:val="en-US" w:eastAsia="x-none"/>
        </w:rPr>
        <w:t xml:space="preserve"> site-specific </w:t>
      </w:r>
      <w:r w:rsidR="00863DCD" w:rsidRPr="00ED4D49">
        <w:rPr>
          <w:b/>
          <w:lang w:val="en-US" w:eastAsia="x-none"/>
        </w:rPr>
        <w:t>ESMP</w:t>
      </w:r>
      <w:r w:rsidR="009F3A5D" w:rsidRPr="00ED4D49">
        <w:rPr>
          <w:lang w:val="en-US" w:eastAsia="x-none"/>
        </w:rPr>
        <w:t xml:space="preserve"> </w:t>
      </w:r>
      <w:r w:rsidR="00863DCD" w:rsidRPr="00ED4D49">
        <w:rPr>
          <w:lang w:val="en-US" w:eastAsia="x-none"/>
        </w:rPr>
        <w:t xml:space="preserve">in </w:t>
      </w:r>
      <w:r w:rsidR="00995E1F" w:rsidRPr="00ED4D49">
        <w:rPr>
          <w:bCs/>
          <w:lang w:val="en-US" w:eastAsia="x-none"/>
        </w:rPr>
        <w:t xml:space="preserve">line with the requirements of ESS1 and taking into account all requirements from relevant ESSs. </w:t>
      </w:r>
      <w:r w:rsidR="00863DCD" w:rsidRPr="00ED4D49">
        <w:rPr>
          <w:bCs/>
          <w:lang w:val="en-US" w:eastAsia="x-none"/>
        </w:rPr>
        <w:t>An i</w:t>
      </w:r>
      <w:r w:rsidR="00BA387E" w:rsidRPr="00ED4D49">
        <w:rPr>
          <w:bCs/>
          <w:lang w:val="en-US" w:eastAsia="x-none"/>
        </w:rPr>
        <w:t xml:space="preserve">ndicative outline of </w:t>
      </w:r>
      <w:r w:rsidRPr="00ED4D49">
        <w:rPr>
          <w:bCs/>
          <w:lang w:val="en-US" w:eastAsia="x-none"/>
        </w:rPr>
        <w:t>ESMP is given in Annex</w:t>
      </w:r>
      <w:r w:rsidR="00E41A9E" w:rsidRPr="00ED4D49">
        <w:rPr>
          <w:bCs/>
          <w:lang w:val="en-US" w:eastAsia="x-none"/>
        </w:rPr>
        <w:t xml:space="preserve"> </w:t>
      </w:r>
      <w:r w:rsidR="00E41A9E" w:rsidRPr="00ED4D49">
        <w:rPr>
          <w:bCs/>
          <w:lang w:val="en-US" w:eastAsia="x-none"/>
        </w:rPr>
        <w:fldChar w:fldCharType="begin"/>
      </w:r>
      <w:r w:rsidR="00E41A9E" w:rsidRPr="00ED4D49">
        <w:rPr>
          <w:bCs/>
          <w:lang w:val="en-US" w:eastAsia="x-none"/>
        </w:rPr>
        <w:instrText xml:space="preserve"> REF _Ref28445349 \r \h </w:instrText>
      </w:r>
      <w:r w:rsidR="00ED4D49">
        <w:rPr>
          <w:bCs/>
          <w:lang w:val="en-US" w:eastAsia="x-none"/>
        </w:rPr>
        <w:instrText xml:space="preserve"> \* MERGEFORMAT </w:instrText>
      </w:r>
      <w:r w:rsidR="00E41A9E" w:rsidRPr="00ED4D49">
        <w:rPr>
          <w:bCs/>
          <w:lang w:val="en-US" w:eastAsia="x-none"/>
        </w:rPr>
      </w:r>
      <w:r w:rsidR="00E41A9E" w:rsidRPr="00ED4D49">
        <w:rPr>
          <w:bCs/>
          <w:lang w:val="en-US" w:eastAsia="x-none"/>
        </w:rPr>
        <w:fldChar w:fldCharType="separate"/>
      </w:r>
      <w:r w:rsidR="00F60130" w:rsidRPr="00ED4D49">
        <w:rPr>
          <w:bCs/>
          <w:lang w:val="en-US" w:eastAsia="x-none"/>
        </w:rPr>
        <w:t>F</w:t>
      </w:r>
      <w:r w:rsidR="00E41A9E" w:rsidRPr="00ED4D49">
        <w:rPr>
          <w:bCs/>
          <w:lang w:val="en-US" w:eastAsia="x-none"/>
        </w:rPr>
        <w:fldChar w:fldCharType="end"/>
      </w:r>
      <w:r w:rsidRPr="00ED4D49">
        <w:rPr>
          <w:bCs/>
          <w:lang w:val="en-US" w:eastAsia="x-none"/>
        </w:rPr>
        <w:t>.</w:t>
      </w:r>
    </w:p>
    <w:p w14:paraId="15F8998D" w14:textId="11D06DB4" w:rsidR="00E80BB3" w:rsidRPr="00ED4D49" w:rsidRDefault="00D5710F" w:rsidP="00D5710F">
      <w:pPr>
        <w:spacing w:after="160"/>
        <w:jc w:val="both"/>
        <w:rPr>
          <w:lang w:val="en-US"/>
        </w:rPr>
      </w:pPr>
      <w:bookmarkStart w:id="250" w:name="_Hlk25325063"/>
      <w:r w:rsidRPr="00ED4D49">
        <w:rPr>
          <w:lang w:val="en-US"/>
        </w:rPr>
        <w:t>Any doubtful project risk assessment will be subject to the review and guidance by the World Bank team</w:t>
      </w:r>
      <w:r w:rsidR="00E80BB3" w:rsidRPr="00ED4D49">
        <w:rPr>
          <w:lang w:val="en-US"/>
        </w:rPr>
        <w:t xml:space="preserve"> </w:t>
      </w:r>
      <w:r w:rsidR="00603E6E" w:rsidRPr="00ED4D49">
        <w:rPr>
          <w:lang w:val="en-US"/>
        </w:rPr>
        <w:t>following</w:t>
      </w:r>
      <w:r w:rsidR="00E80BB3" w:rsidRPr="00ED4D49">
        <w:rPr>
          <w:lang w:val="en-US"/>
        </w:rPr>
        <w:t xml:space="preserve"> with the procedure illustrated in </w:t>
      </w:r>
      <w:r w:rsidR="00E80BB3" w:rsidRPr="00ED4D49">
        <w:rPr>
          <w:lang w:val="en-US"/>
        </w:rPr>
        <w:fldChar w:fldCharType="begin"/>
      </w:r>
      <w:r w:rsidR="00E80BB3" w:rsidRPr="00ED4D49">
        <w:rPr>
          <w:lang w:val="en-US"/>
        </w:rPr>
        <w:instrText xml:space="preserve"> REF _Ref25580809 \h  \* MERGEFORMAT </w:instrText>
      </w:r>
      <w:r w:rsidR="00E80BB3" w:rsidRPr="00ED4D49">
        <w:rPr>
          <w:lang w:val="en-US"/>
        </w:rPr>
      </w:r>
      <w:r w:rsidR="00E80BB3" w:rsidRPr="00ED4D49">
        <w:rPr>
          <w:lang w:val="en-US"/>
        </w:rPr>
        <w:fldChar w:fldCharType="separate"/>
      </w:r>
      <w:r w:rsidR="00F60130" w:rsidRPr="00ED4D49">
        <w:rPr>
          <w:lang w:val="en-US"/>
        </w:rPr>
        <w:t>Figure 9</w:t>
      </w:r>
      <w:r w:rsidR="00E80BB3" w:rsidRPr="00ED4D49">
        <w:rPr>
          <w:lang w:val="en-US"/>
        </w:rPr>
        <w:fldChar w:fldCharType="end"/>
      </w:r>
      <w:r w:rsidR="004D0E2A" w:rsidRPr="00ED4D49">
        <w:rPr>
          <w:lang w:val="en-US"/>
        </w:rPr>
        <w:t xml:space="preserve"> and taking into account all relevant ESS requirements (e.g. for activities on habitats, protected areas or sensitive areas include provisions of ESS6).</w:t>
      </w:r>
    </w:p>
    <w:p w14:paraId="040D4AF7" w14:textId="77777777" w:rsidR="00420C76" w:rsidRPr="00ED4D49" w:rsidRDefault="00420C76" w:rsidP="00D5710F">
      <w:pPr>
        <w:spacing w:after="160"/>
        <w:jc w:val="both"/>
        <w:rPr>
          <w:lang w:val="en-US"/>
        </w:rPr>
      </w:pPr>
    </w:p>
    <w:p w14:paraId="3463C676" w14:textId="420E1367" w:rsidR="00E80BB3" w:rsidRPr="00ED4D49" w:rsidRDefault="00EF0942" w:rsidP="00E80BB3">
      <w:pPr>
        <w:keepNext/>
        <w:spacing w:after="160"/>
        <w:jc w:val="center"/>
        <w:rPr>
          <w:lang w:val="en-US"/>
        </w:rPr>
      </w:pPr>
      <w:r w:rsidRPr="00ED4D49">
        <w:rPr>
          <w:noProof/>
          <w:lang w:val="bs-Latn-BA" w:eastAsia="bs-Latn-BA"/>
        </w:rPr>
        <w:drawing>
          <wp:inline distT="0" distB="0" distL="0" distR="0" wp14:anchorId="3B827B86" wp14:editId="309DFE7F">
            <wp:extent cx="5727700" cy="3485515"/>
            <wp:effectExtent l="0" t="0" r="635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27700" cy="3485515"/>
                    </a:xfrm>
                    <a:prstGeom prst="rect">
                      <a:avLst/>
                    </a:prstGeom>
                    <a:noFill/>
                    <a:ln>
                      <a:noFill/>
                    </a:ln>
                  </pic:spPr>
                </pic:pic>
              </a:graphicData>
            </a:graphic>
          </wp:inline>
        </w:drawing>
      </w:r>
    </w:p>
    <w:p w14:paraId="6FDD3DDB" w14:textId="131283BD" w:rsidR="00E80BB3" w:rsidRPr="00ED4D49" w:rsidRDefault="00E80BB3" w:rsidP="00E80BB3">
      <w:pPr>
        <w:pStyle w:val="Caption"/>
        <w:spacing w:line="276" w:lineRule="auto"/>
        <w:jc w:val="center"/>
        <w:rPr>
          <w:rFonts w:cs="Calibri"/>
          <w:b w:val="0"/>
          <w:i/>
          <w:color w:val="1F497D"/>
          <w:sz w:val="16"/>
        </w:rPr>
      </w:pPr>
      <w:bookmarkStart w:id="251" w:name="_Ref25580809"/>
      <w:bookmarkStart w:id="252" w:name="_Toc25582655"/>
      <w:r w:rsidRPr="00ED4D49">
        <w:rPr>
          <w:rFonts w:cs="Calibri"/>
          <w:b w:val="0"/>
          <w:i/>
          <w:color w:val="1F497D"/>
          <w:sz w:val="16"/>
        </w:rPr>
        <w:t xml:space="preserve">Figure </w:t>
      </w:r>
      <w:r w:rsidRPr="00ED4D49">
        <w:rPr>
          <w:rFonts w:cs="Calibri"/>
          <w:b w:val="0"/>
          <w:i/>
          <w:color w:val="1F497D"/>
          <w:sz w:val="16"/>
        </w:rPr>
        <w:fldChar w:fldCharType="begin"/>
      </w:r>
      <w:r w:rsidRPr="00ED4D49">
        <w:rPr>
          <w:rFonts w:cs="Calibri"/>
          <w:b w:val="0"/>
          <w:i/>
          <w:color w:val="1F497D"/>
          <w:sz w:val="16"/>
        </w:rPr>
        <w:instrText xml:space="preserve"> SEQ Figure \* ARABIC </w:instrText>
      </w:r>
      <w:r w:rsidRPr="00ED4D49">
        <w:rPr>
          <w:rFonts w:cs="Calibri"/>
          <w:b w:val="0"/>
          <w:i/>
          <w:color w:val="1F497D"/>
          <w:sz w:val="16"/>
        </w:rPr>
        <w:fldChar w:fldCharType="separate"/>
      </w:r>
      <w:r w:rsidR="00F60130" w:rsidRPr="00ED4D49">
        <w:rPr>
          <w:rFonts w:cs="Calibri"/>
          <w:b w:val="0"/>
          <w:i/>
          <w:noProof/>
          <w:color w:val="1F497D"/>
          <w:sz w:val="16"/>
        </w:rPr>
        <w:t>9</w:t>
      </w:r>
      <w:r w:rsidRPr="00ED4D49">
        <w:rPr>
          <w:rFonts w:cs="Calibri"/>
          <w:b w:val="0"/>
          <w:i/>
          <w:color w:val="1F497D"/>
          <w:sz w:val="16"/>
        </w:rPr>
        <w:fldChar w:fldCharType="end"/>
      </w:r>
      <w:bookmarkEnd w:id="251"/>
      <w:r w:rsidRPr="00ED4D49">
        <w:rPr>
          <w:rFonts w:cs="Calibri"/>
          <w:b w:val="0"/>
          <w:i/>
          <w:color w:val="1F497D"/>
          <w:sz w:val="16"/>
        </w:rPr>
        <w:t xml:space="preserve">: </w:t>
      </w:r>
      <w:r w:rsidRPr="00ED4D49">
        <w:rPr>
          <w:rFonts w:cs="Calibri"/>
          <w:b w:val="0"/>
          <w:i/>
          <w:color w:val="auto"/>
          <w:sz w:val="16"/>
        </w:rPr>
        <w:t>Assessing Due Diligence on Subprojects</w:t>
      </w:r>
      <w:bookmarkEnd w:id="252"/>
    </w:p>
    <w:p w14:paraId="00527609" w14:textId="159AEA6E" w:rsidR="00D5710F" w:rsidRPr="00ED4D49" w:rsidRDefault="00D5710F" w:rsidP="00D5710F">
      <w:pPr>
        <w:spacing w:after="160"/>
        <w:jc w:val="both"/>
        <w:rPr>
          <w:lang w:val="en-US"/>
        </w:rPr>
      </w:pPr>
    </w:p>
    <w:bookmarkEnd w:id="250"/>
    <w:p w14:paraId="56F47D53" w14:textId="3461D545" w:rsidR="00D5710F" w:rsidRPr="00ED4D49" w:rsidRDefault="00D5710F" w:rsidP="00D5710F">
      <w:pPr>
        <w:spacing w:after="160"/>
        <w:jc w:val="both"/>
        <w:rPr>
          <w:lang w:val="en-US"/>
        </w:rPr>
      </w:pPr>
      <w:r w:rsidRPr="00ED4D49">
        <w:rPr>
          <w:lang w:val="en-US"/>
        </w:rPr>
        <w:t xml:space="preserve">According to </w:t>
      </w:r>
      <w:r w:rsidR="00BA7E7A" w:rsidRPr="00ED4D49">
        <w:rPr>
          <w:lang w:val="en-US"/>
        </w:rPr>
        <w:t xml:space="preserve">the </w:t>
      </w:r>
      <w:r w:rsidRPr="00ED4D49">
        <w:rPr>
          <w:lang w:val="en-US"/>
        </w:rPr>
        <w:t xml:space="preserve">preliminary risk assessment, the following </w:t>
      </w:r>
      <w:r w:rsidR="00BA7E7A" w:rsidRPr="00ED4D49">
        <w:rPr>
          <w:lang w:val="en-US"/>
        </w:rPr>
        <w:t xml:space="preserve">actions </w:t>
      </w:r>
      <w:r w:rsidRPr="00ED4D49">
        <w:rPr>
          <w:lang w:val="en-US"/>
        </w:rPr>
        <w:t xml:space="preserve">will </w:t>
      </w:r>
      <w:r w:rsidR="00BA7E7A" w:rsidRPr="00ED4D49">
        <w:rPr>
          <w:lang w:val="en-US"/>
        </w:rPr>
        <w:t>be taken</w:t>
      </w:r>
      <w:r w:rsidRPr="00ED4D49">
        <w:rPr>
          <w:lang w:val="en-US"/>
        </w:rPr>
        <w:t>:</w:t>
      </w:r>
    </w:p>
    <w:tbl>
      <w:tblPr>
        <w:tblStyle w:val="TableGridLight1"/>
        <w:tblW w:w="9067" w:type="dxa"/>
        <w:tblLook w:val="04A0" w:firstRow="1" w:lastRow="0" w:firstColumn="1" w:lastColumn="0" w:noHBand="0" w:noVBand="1"/>
      </w:tblPr>
      <w:tblGrid>
        <w:gridCol w:w="2484"/>
        <w:gridCol w:w="4457"/>
        <w:gridCol w:w="2126"/>
      </w:tblGrid>
      <w:tr w:rsidR="004C3C6A" w:rsidRPr="00ED4D49" w14:paraId="075E4037" w14:textId="77777777" w:rsidTr="001229F1">
        <w:trPr>
          <w:tblHeader/>
        </w:trPr>
        <w:tc>
          <w:tcPr>
            <w:tcW w:w="2484" w:type="dxa"/>
          </w:tcPr>
          <w:p w14:paraId="48EFC40B" w14:textId="77777777" w:rsidR="004C3C6A" w:rsidRPr="00ED4D49" w:rsidRDefault="004C3C6A" w:rsidP="001229F1">
            <w:pPr>
              <w:spacing w:beforeLines="60" w:before="144" w:afterLines="60" w:after="144" w:line="240" w:lineRule="auto"/>
              <w:ind w:right="144"/>
              <w:rPr>
                <w:rFonts w:cs="Calibri"/>
                <w:color w:val="336699"/>
                <w:sz w:val="16"/>
                <w:szCs w:val="16"/>
                <w:lang w:val="en-US"/>
              </w:rPr>
            </w:pPr>
            <w:r w:rsidRPr="00ED4D49">
              <w:rPr>
                <w:rFonts w:cs="Calibri"/>
                <w:color w:val="336699"/>
                <w:sz w:val="16"/>
                <w:szCs w:val="16"/>
                <w:lang w:val="en-US"/>
              </w:rPr>
              <w:t>Type of activities</w:t>
            </w:r>
          </w:p>
        </w:tc>
        <w:tc>
          <w:tcPr>
            <w:tcW w:w="4457" w:type="dxa"/>
          </w:tcPr>
          <w:p w14:paraId="3140B7BC" w14:textId="77777777" w:rsidR="004C3C6A" w:rsidRPr="00ED4D49" w:rsidRDefault="004C3C6A" w:rsidP="001229F1">
            <w:pPr>
              <w:spacing w:beforeLines="60" w:before="144" w:afterLines="60" w:after="144" w:line="240" w:lineRule="auto"/>
              <w:ind w:right="144"/>
              <w:rPr>
                <w:rFonts w:cs="Calibri"/>
                <w:color w:val="336699"/>
                <w:sz w:val="16"/>
                <w:szCs w:val="16"/>
                <w:lang w:val="en-US"/>
              </w:rPr>
            </w:pPr>
            <w:r w:rsidRPr="00ED4D49">
              <w:rPr>
                <w:rFonts w:cs="Calibri"/>
                <w:color w:val="336699"/>
                <w:sz w:val="16"/>
                <w:szCs w:val="16"/>
                <w:lang w:val="en-US"/>
              </w:rPr>
              <w:t>Action to be taken</w:t>
            </w:r>
          </w:p>
        </w:tc>
        <w:tc>
          <w:tcPr>
            <w:tcW w:w="2126" w:type="dxa"/>
          </w:tcPr>
          <w:p w14:paraId="1AD563B1" w14:textId="77777777" w:rsidR="004C3C6A" w:rsidRPr="00ED4D49" w:rsidRDefault="004C3C6A" w:rsidP="001229F1">
            <w:pPr>
              <w:spacing w:beforeLines="60" w:before="144" w:afterLines="60" w:after="144" w:line="240" w:lineRule="auto"/>
              <w:ind w:right="144"/>
              <w:rPr>
                <w:rFonts w:cs="Calibri"/>
                <w:color w:val="336699"/>
                <w:sz w:val="16"/>
                <w:szCs w:val="16"/>
                <w:lang w:val="en-US"/>
              </w:rPr>
            </w:pPr>
            <w:r w:rsidRPr="00ED4D49">
              <w:rPr>
                <w:rFonts w:cs="Calibri"/>
                <w:color w:val="336699"/>
                <w:sz w:val="16"/>
                <w:szCs w:val="16"/>
                <w:lang w:val="en-US"/>
              </w:rPr>
              <w:t>Result of the action</w:t>
            </w:r>
          </w:p>
        </w:tc>
      </w:tr>
      <w:tr w:rsidR="004C3C6A" w:rsidRPr="00ED4D49" w14:paraId="03A7802E" w14:textId="77777777" w:rsidTr="001229F1">
        <w:tc>
          <w:tcPr>
            <w:tcW w:w="2484" w:type="dxa"/>
          </w:tcPr>
          <w:p w14:paraId="45D23953" w14:textId="77777777" w:rsidR="004C3C6A" w:rsidRPr="00ED4D49" w:rsidRDefault="004C3C6A" w:rsidP="001229F1">
            <w:pPr>
              <w:widowControl w:val="0"/>
              <w:autoSpaceDE w:val="0"/>
              <w:autoSpaceDN w:val="0"/>
              <w:adjustRightInd w:val="0"/>
              <w:spacing w:before="0" w:afterLines="60" w:after="144" w:line="240" w:lineRule="auto"/>
              <w:rPr>
                <w:rFonts w:asciiTheme="minorHAnsi" w:hAnsiTheme="minorHAnsi"/>
                <w:color w:val="0D0D0D" w:themeColor="text1" w:themeTint="F2"/>
                <w:sz w:val="16"/>
                <w:szCs w:val="16"/>
                <w:lang w:val="en-US"/>
              </w:rPr>
            </w:pPr>
            <w:r w:rsidRPr="00ED4D49">
              <w:rPr>
                <w:bCs/>
                <w:sz w:val="16"/>
                <w:szCs w:val="16"/>
                <w:lang w:val="en-US"/>
              </w:rPr>
              <w:t>Flood protection, bank stabilization, drainage control, dredging and river training works, and reservoir management in the Drina Corridor in FBiH and RS</w:t>
            </w:r>
          </w:p>
        </w:tc>
        <w:tc>
          <w:tcPr>
            <w:tcW w:w="4457" w:type="dxa"/>
          </w:tcPr>
          <w:p w14:paraId="2CEDF999" w14:textId="77777777" w:rsidR="004C3C6A" w:rsidRPr="00ED4D49" w:rsidRDefault="004C3C6A" w:rsidP="001229F1">
            <w:pPr>
              <w:pStyle w:val="ListParagraph"/>
              <w:widowControl w:val="0"/>
              <w:autoSpaceDE w:val="0"/>
              <w:autoSpaceDN w:val="0"/>
              <w:adjustRightInd w:val="0"/>
              <w:spacing w:before="0" w:afterLines="60" w:after="144" w:line="240" w:lineRule="auto"/>
              <w:ind w:left="0"/>
              <w:rPr>
                <w:rFonts w:asciiTheme="minorHAnsi" w:hAnsiTheme="minorHAnsi"/>
                <w:color w:val="0D0D0D" w:themeColor="text1" w:themeTint="F2"/>
                <w:sz w:val="16"/>
                <w:szCs w:val="16"/>
              </w:rPr>
            </w:pPr>
            <w:r w:rsidRPr="00ED4D49">
              <w:rPr>
                <w:rFonts w:asciiTheme="minorHAnsi" w:hAnsiTheme="minorHAnsi"/>
                <w:color w:val="0D0D0D" w:themeColor="text1" w:themeTint="F2"/>
                <w:sz w:val="16"/>
                <w:szCs w:val="16"/>
              </w:rPr>
              <w:t>Prepare an ESIA or site-specific ESMP (depending on the categorization and the requirements of the local permitting process) and follow guidance on disclosure and consultations. In the ESIA or site-specific ESMP, include sections related to all applicable ESSs.</w:t>
            </w:r>
          </w:p>
        </w:tc>
        <w:tc>
          <w:tcPr>
            <w:tcW w:w="2126" w:type="dxa"/>
          </w:tcPr>
          <w:p w14:paraId="408D3142" w14:textId="77777777" w:rsidR="004C3C6A" w:rsidRPr="00ED4D49" w:rsidRDefault="004C3C6A" w:rsidP="001229F1">
            <w:pPr>
              <w:pStyle w:val="ListParagraph"/>
              <w:widowControl w:val="0"/>
              <w:autoSpaceDE w:val="0"/>
              <w:autoSpaceDN w:val="0"/>
              <w:adjustRightInd w:val="0"/>
              <w:spacing w:before="0" w:afterLines="60" w:after="144" w:line="240" w:lineRule="auto"/>
              <w:ind w:left="0"/>
              <w:contextualSpacing w:val="0"/>
              <w:rPr>
                <w:rFonts w:asciiTheme="minorHAnsi" w:hAnsiTheme="minorHAnsi"/>
                <w:color w:val="0D0D0D" w:themeColor="text1" w:themeTint="F2"/>
                <w:sz w:val="16"/>
                <w:szCs w:val="16"/>
              </w:rPr>
            </w:pPr>
            <w:r w:rsidRPr="00ED4D49">
              <w:rPr>
                <w:rFonts w:asciiTheme="minorHAnsi" w:hAnsiTheme="minorHAnsi"/>
                <w:color w:val="0D0D0D" w:themeColor="text1" w:themeTint="F2"/>
                <w:sz w:val="16"/>
                <w:szCs w:val="16"/>
              </w:rPr>
              <w:t xml:space="preserve">WB requirements on E&amp;S impacts mitigation and monitoring included in the tender dossier. </w:t>
            </w:r>
          </w:p>
        </w:tc>
      </w:tr>
    </w:tbl>
    <w:tbl>
      <w:tblPr>
        <w:tblStyle w:val="TableGridLight"/>
        <w:tblW w:w="9067" w:type="dxa"/>
        <w:tblLook w:val="04A0" w:firstRow="1" w:lastRow="0" w:firstColumn="1" w:lastColumn="0" w:noHBand="0" w:noVBand="1"/>
      </w:tblPr>
      <w:tblGrid>
        <w:gridCol w:w="2484"/>
        <w:gridCol w:w="4457"/>
        <w:gridCol w:w="2126"/>
      </w:tblGrid>
      <w:tr w:rsidR="00F37A56" w:rsidRPr="00ED4D49" w14:paraId="54C9042D" w14:textId="77777777" w:rsidTr="002F3A28">
        <w:tc>
          <w:tcPr>
            <w:tcW w:w="2484" w:type="dxa"/>
          </w:tcPr>
          <w:p w14:paraId="422D7005" w14:textId="0C063816" w:rsidR="00F37A56" w:rsidRPr="00ED4D49" w:rsidRDefault="00F37A56" w:rsidP="00F37A56">
            <w:pPr>
              <w:widowControl w:val="0"/>
              <w:autoSpaceDE w:val="0"/>
              <w:autoSpaceDN w:val="0"/>
              <w:adjustRightInd w:val="0"/>
              <w:spacing w:before="0" w:afterLines="60" w:after="144" w:line="240" w:lineRule="auto"/>
              <w:rPr>
                <w:rFonts w:asciiTheme="minorHAnsi" w:hAnsiTheme="minorHAnsi"/>
                <w:color w:val="0D0D0D" w:themeColor="text1" w:themeTint="F2"/>
                <w:sz w:val="16"/>
                <w:szCs w:val="16"/>
                <w:lang w:val="en-US"/>
              </w:rPr>
            </w:pPr>
            <w:r w:rsidRPr="00ED4D49">
              <w:rPr>
                <w:bCs/>
                <w:sz w:val="16"/>
                <w:szCs w:val="16"/>
              </w:rPr>
              <w:t xml:space="preserve">An 100-year flooding protection, river bank stabilization, drainage </w:t>
            </w:r>
            <w:r w:rsidRPr="00ED4D49">
              <w:rPr>
                <w:bCs/>
                <w:sz w:val="16"/>
                <w:szCs w:val="16"/>
              </w:rPr>
              <w:lastRenderedPageBreak/>
              <w:t>control in the Brčko District of BIH</w:t>
            </w:r>
          </w:p>
        </w:tc>
        <w:tc>
          <w:tcPr>
            <w:tcW w:w="4457" w:type="dxa"/>
          </w:tcPr>
          <w:p w14:paraId="04BC489F" w14:textId="058110D9" w:rsidR="00F37A56" w:rsidRPr="00ED4D49" w:rsidRDefault="00F37A56" w:rsidP="00F37A56">
            <w:pPr>
              <w:pStyle w:val="ListParagraph"/>
              <w:widowControl w:val="0"/>
              <w:autoSpaceDE w:val="0"/>
              <w:autoSpaceDN w:val="0"/>
              <w:adjustRightInd w:val="0"/>
              <w:spacing w:before="0" w:afterLines="60" w:after="144" w:line="240" w:lineRule="auto"/>
              <w:ind w:left="0"/>
              <w:rPr>
                <w:rFonts w:asciiTheme="minorHAnsi" w:hAnsiTheme="minorHAnsi"/>
                <w:color w:val="0D0D0D" w:themeColor="text1" w:themeTint="F2"/>
                <w:sz w:val="16"/>
                <w:szCs w:val="16"/>
              </w:rPr>
            </w:pPr>
            <w:r w:rsidRPr="00ED4D49">
              <w:rPr>
                <w:rFonts w:asciiTheme="minorHAnsi" w:hAnsiTheme="minorHAnsi"/>
                <w:color w:val="0D0D0D" w:themeColor="text1" w:themeTint="F2"/>
                <w:sz w:val="16"/>
                <w:szCs w:val="16"/>
              </w:rPr>
              <w:lastRenderedPageBreak/>
              <w:t xml:space="preserve">Prepare an ESIA or site-specific ESMP (depending on the categorization and the requirements of the local permitting process) and follow guidance on disclosure and consultations. In </w:t>
            </w:r>
            <w:r w:rsidRPr="00ED4D49">
              <w:rPr>
                <w:rFonts w:asciiTheme="minorHAnsi" w:hAnsiTheme="minorHAnsi"/>
                <w:color w:val="0D0D0D" w:themeColor="text1" w:themeTint="F2"/>
                <w:sz w:val="16"/>
                <w:szCs w:val="16"/>
              </w:rPr>
              <w:lastRenderedPageBreak/>
              <w:t>the ESIA or site-specific ESMP, include sections related to all applicable ESSs.</w:t>
            </w:r>
          </w:p>
        </w:tc>
        <w:tc>
          <w:tcPr>
            <w:tcW w:w="2126" w:type="dxa"/>
          </w:tcPr>
          <w:p w14:paraId="463AB1EF" w14:textId="4370053C" w:rsidR="00F37A56" w:rsidRPr="00ED4D49" w:rsidRDefault="00F37A56" w:rsidP="00F37A56">
            <w:pPr>
              <w:pStyle w:val="ListParagraph"/>
              <w:widowControl w:val="0"/>
              <w:autoSpaceDE w:val="0"/>
              <w:autoSpaceDN w:val="0"/>
              <w:adjustRightInd w:val="0"/>
              <w:spacing w:before="0" w:afterLines="60" w:after="144" w:line="240" w:lineRule="auto"/>
              <w:ind w:left="0"/>
              <w:contextualSpacing w:val="0"/>
              <w:rPr>
                <w:rFonts w:asciiTheme="minorHAnsi" w:hAnsiTheme="minorHAnsi"/>
                <w:color w:val="0D0D0D" w:themeColor="text1" w:themeTint="F2"/>
                <w:sz w:val="16"/>
                <w:szCs w:val="16"/>
              </w:rPr>
            </w:pPr>
            <w:r w:rsidRPr="00ED4D49">
              <w:rPr>
                <w:rFonts w:asciiTheme="minorHAnsi" w:hAnsiTheme="minorHAnsi"/>
                <w:color w:val="0D0D0D" w:themeColor="text1" w:themeTint="F2"/>
                <w:sz w:val="16"/>
                <w:szCs w:val="16"/>
              </w:rPr>
              <w:lastRenderedPageBreak/>
              <w:t xml:space="preserve">WB requirements on E&amp;S impacts mitigation and monitoring included in the </w:t>
            </w:r>
            <w:r w:rsidRPr="00ED4D49">
              <w:rPr>
                <w:rFonts w:asciiTheme="minorHAnsi" w:hAnsiTheme="minorHAnsi"/>
                <w:color w:val="0D0D0D" w:themeColor="text1" w:themeTint="F2"/>
                <w:sz w:val="16"/>
                <w:szCs w:val="16"/>
              </w:rPr>
              <w:lastRenderedPageBreak/>
              <w:t xml:space="preserve">tender dossier. </w:t>
            </w:r>
          </w:p>
        </w:tc>
      </w:tr>
      <w:tr w:rsidR="008F4744" w:rsidRPr="00ED4D49" w14:paraId="27DB2976" w14:textId="77777777" w:rsidTr="002F3A28">
        <w:tc>
          <w:tcPr>
            <w:tcW w:w="2484" w:type="dxa"/>
          </w:tcPr>
          <w:p w14:paraId="198CB80C" w14:textId="7BEF7CC2" w:rsidR="008F4744" w:rsidRPr="00ED4D49" w:rsidRDefault="008F4744" w:rsidP="002F3A28">
            <w:pPr>
              <w:widowControl w:val="0"/>
              <w:autoSpaceDE w:val="0"/>
              <w:autoSpaceDN w:val="0"/>
              <w:adjustRightInd w:val="0"/>
              <w:spacing w:before="0" w:afterLines="60" w:after="144" w:line="240" w:lineRule="auto"/>
              <w:rPr>
                <w:bCs/>
                <w:sz w:val="16"/>
                <w:szCs w:val="16"/>
              </w:rPr>
            </w:pPr>
            <w:r w:rsidRPr="00ED4D49">
              <w:rPr>
                <w:bCs/>
                <w:sz w:val="16"/>
                <w:szCs w:val="16"/>
              </w:rPr>
              <w:lastRenderedPageBreak/>
              <w:t>Solid waste management and protection of air, water and soil of the Sava Corridor in the Brčko District</w:t>
            </w:r>
          </w:p>
        </w:tc>
        <w:tc>
          <w:tcPr>
            <w:tcW w:w="4457" w:type="dxa"/>
          </w:tcPr>
          <w:p w14:paraId="467D5822" w14:textId="79EE5C2E" w:rsidR="008F4744" w:rsidRPr="00ED4D49" w:rsidRDefault="008F4744" w:rsidP="002F3A28">
            <w:pPr>
              <w:pStyle w:val="ListParagraph"/>
              <w:widowControl w:val="0"/>
              <w:autoSpaceDE w:val="0"/>
              <w:autoSpaceDN w:val="0"/>
              <w:adjustRightInd w:val="0"/>
              <w:spacing w:before="0" w:afterLines="60" w:after="144" w:line="240" w:lineRule="auto"/>
              <w:ind w:left="0"/>
              <w:rPr>
                <w:rFonts w:asciiTheme="minorHAnsi" w:hAnsiTheme="minorHAnsi"/>
                <w:color w:val="0D0D0D" w:themeColor="text1" w:themeTint="F2"/>
                <w:sz w:val="16"/>
                <w:szCs w:val="16"/>
              </w:rPr>
            </w:pPr>
            <w:r w:rsidRPr="00ED4D49">
              <w:rPr>
                <w:rFonts w:asciiTheme="minorHAnsi" w:hAnsiTheme="minorHAnsi"/>
                <w:color w:val="0D0D0D" w:themeColor="text1" w:themeTint="F2"/>
                <w:sz w:val="16"/>
                <w:szCs w:val="16"/>
              </w:rPr>
              <w:t>Assess impacts against the generic ESMP given in this ESMF and follow guidance on disclosure and consultations.</w:t>
            </w:r>
            <w:r w:rsidR="00E3196D" w:rsidRPr="00ED4D49">
              <w:rPr>
                <w:rFonts w:asciiTheme="minorHAnsi" w:hAnsiTheme="minorHAnsi"/>
                <w:color w:val="0D0D0D" w:themeColor="text1" w:themeTint="F2"/>
                <w:sz w:val="16"/>
                <w:szCs w:val="16"/>
              </w:rPr>
              <w:t xml:space="preserve"> Supplement the ESMP as needed with site-specific details. </w:t>
            </w:r>
          </w:p>
        </w:tc>
        <w:tc>
          <w:tcPr>
            <w:tcW w:w="2126" w:type="dxa"/>
          </w:tcPr>
          <w:p w14:paraId="51AAFDE5" w14:textId="77777777" w:rsidR="008F4744" w:rsidRPr="00ED4D49" w:rsidRDefault="008F4744" w:rsidP="002F3A28">
            <w:pPr>
              <w:pStyle w:val="ListParagraph"/>
              <w:widowControl w:val="0"/>
              <w:autoSpaceDE w:val="0"/>
              <w:autoSpaceDN w:val="0"/>
              <w:adjustRightInd w:val="0"/>
              <w:spacing w:before="0" w:afterLines="60" w:after="144" w:line="240" w:lineRule="auto"/>
              <w:ind w:left="0"/>
              <w:contextualSpacing w:val="0"/>
              <w:rPr>
                <w:rFonts w:asciiTheme="minorHAnsi" w:hAnsiTheme="minorHAnsi"/>
                <w:color w:val="0D0D0D" w:themeColor="text1" w:themeTint="F2"/>
                <w:sz w:val="16"/>
                <w:szCs w:val="16"/>
              </w:rPr>
            </w:pPr>
            <w:r w:rsidRPr="00ED4D49">
              <w:rPr>
                <w:rFonts w:asciiTheme="minorHAnsi" w:hAnsiTheme="minorHAnsi"/>
                <w:color w:val="0D0D0D" w:themeColor="text1" w:themeTint="F2"/>
                <w:sz w:val="16"/>
                <w:szCs w:val="16"/>
              </w:rPr>
              <w:t>WB requirements on E&amp;S impacts mitigation and monitoring included in the tender dossier.</w:t>
            </w:r>
          </w:p>
        </w:tc>
      </w:tr>
      <w:tr w:rsidR="00F37A56" w:rsidRPr="00ED4D49" w14:paraId="39C3BE82" w14:textId="77777777" w:rsidTr="002F3A28">
        <w:tc>
          <w:tcPr>
            <w:tcW w:w="2484" w:type="dxa"/>
          </w:tcPr>
          <w:p w14:paraId="41B9D8ED" w14:textId="06F70A8B" w:rsidR="00F37A56" w:rsidRPr="00ED4D49" w:rsidRDefault="008F4744" w:rsidP="00F37A56">
            <w:pPr>
              <w:widowControl w:val="0"/>
              <w:autoSpaceDE w:val="0"/>
              <w:autoSpaceDN w:val="0"/>
              <w:adjustRightInd w:val="0"/>
              <w:spacing w:before="0" w:afterLines="60" w:after="144" w:line="240" w:lineRule="auto"/>
              <w:rPr>
                <w:bCs/>
                <w:sz w:val="16"/>
                <w:szCs w:val="16"/>
              </w:rPr>
            </w:pPr>
            <w:r w:rsidRPr="00ED4D49">
              <w:rPr>
                <w:bCs/>
                <w:sz w:val="16"/>
                <w:szCs w:val="16"/>
              </w:rPr>
              <w:t>C</w:t>
            </w:r>
            <w:r w:rsidR="00F37A56" w:rsidRPr="00ED4D49">
              <w:rPr>
                <w:bCs/>
                <w:sz w:val="16"/>
                <w:szCs w:val="16"/>
              </w:rPr>
              <w:t>ross-border cooperation through tourism promotion (cycling and pathway on the Sava River)</w:t>
            </w:r>
          </w:p>
        </w:tc>
        <w:tc>
          <w:tcPr>
            <w:tcW w:w="4457" w:type="dxa"/>
          </w:tcPr>
          <w:p w14:paraId="11C3C6BB" w14:textId="4BA33EF1" w:rsidR="00F37A56" w:rsidRPr="00ED4D49" w:rsidRDefault="00F37A56" w:rsidP="00F37A56">
            <w:pPr>
              <w:pStyle w:val="ListParagraph"/>
              <w:widowControl w:val="0"/>
              <w:autoSpaceDE w:val="0"/>
              <w:autoSpaceDN w:val="0"/>
              <w:adjustRightInd w:val="0"/>
              <w:spacing w:before="0" w:afterLines="60" w:after="144" w:line="240" w:lineRule="auto"/>
              <w:ind w:left="0"/>
              <w:rPr>
                <w:rFonts w:asciiTheme="minorHAnsi" w:hAnsiTheme="minorHAnsi"/>
                <w:color w:val="0D0D0D" w:themeColor="text1" w:themeTint="F2"/>
                <w:sz w:val="16"/>
                <w:szCs w:val="16"/>
              </w:rPr>
            </w:pPr>
            <w:r w:rsidRPr="00ED4D49">
              <w:rPr>
                <w:rFonts w:asciiTheme="minorHAnsi" w:hAnsiTheme="minorHAnsi"/>
                <w:color w:val="0D0D0D" w:themeColor="text1" w:themeTint="F2"/>
                <w:sz w:val="16"/>
                <w:szCs w:val="16"/>
              </w:rPr>
              <w:t>Assess impacts against the generic ESMP given in this ESMF and follow guidance on disclosure and consultations.</w:t>
            </w:r>
          </w:p>
        </w:tc>
        <w:tc>
          <w:tcPr>
            <w:tcW w:w="2126" w:type="dxa"/>
          </w:tcPr>
          <w:p w14:paraId="1EABA41D" w14:textId="68BB0B6E" w:rsidR="00F37A56" w:rsidRPr="00ED4D49" w:rsidRDefault="00F37A56" w:rsidP="00F37A56">
            <w:pPr>
              <w:pStyle w:val="ListParagraph"/>
              <w:widowControl w:val="0"/>
              <w:autoSpaceDE w:val="0"/>
              <w:autoSpaceDN w:val="0"/>
              <w:adjustRightInd w:val="0"/>
              <w:spacing w:before="0" w:afterLines="60" w:after="144" w:line="240" w:lineRule="auto"/>
              <w:ind w:left="0"/>
              <w:contextualSpacing w:val="0"/>
              <w:rPr>
                <w:rFonts w:asciiTheme="minorHAnsi" w:hAnsiTheme="minorHAnsi"/>
                <w:color w:val="0D0D0D" w:themeColor="text1" w:themeTint="F2"/>
                <w:sz w:val="16"/>
                <w:szCs w:val="16"/>
              </w:rPr>
            </w:pPr>
            <w:r w:rsidRPr="00ED4D49">
              <w:rPr>
                <w:rFonts w:asciiTheme="minorHAnsi" w:hAnsiTheme="minorHAnsi"/>
                <w:color w:val="0D0D0D" w:themeColor="text1" w:themeTint="F2"/>
                <w:sz w:val="16"/>
                <w:szCs w:val="16"/>
              </w:rPr>
              <w:t>WB requirements on E&amp;S impacts mitigation and monitoring included in the tender dossier.</w:t>
            </w:r>
          </w:p>
        </w:tc>
      </w:tr>
    </w:tbl>
    <w:tbl>
      <w:tblPr>
        <w:tblStyle w:val="TableGridLight1"/>
        <w:tblW w:w="9067" w:type="dxa"/>
        <w:tblLook w:val="04A0" w:firstRow="1" w:lastRow="0" w:firstColumn="1" w:lastColumn="0" w:noHBand="0" w:noVBand="1"/>
      </w:tblPr>
      <w:tblGrid>
        <w:gridCol w:w="2484"/>
        <w:gridCol w:w="4457"/>
        <w:gridCol w:w="2126"/>
      </w:tblGrid>
      <w:tr w:rsidR="004E6A8F" w:rsidRPr="00ED4D49" w14:paraId="2C457D79" w14:textId="77777777" w:rsidTr="001229F1">
        <w:tc>
          <w:tcPr>
            <w:tcW w:w="2484" w:type="dxa"/>
          </w:tcPr>
          <w:p w14:paraId="05A6680D" w14:textId="0792F564" w:rsidR="004E6A8F" w:rsidRPr="00ED4D49" w:rsidRDefault="004E6A8F" w:rsidP="001229F1">
            <w:pPr>
              <w:widowControl w:val="0"/>
              <w:autoSpaceDE w:val="0"/>
              <w:autoSpaceDN w:val="0"/>
              <w:adjustRightInd w:val="0"/>
              <w:spacing w:before="0" w:afterLines="60" w:after="144" w:line="240" w:lineRule="auto"/>
              <w:rPr>
                <w:bCs/>
                <w:sz w:val="16"/>
                <w:szCs w:val="16"/>
                <w:lang w:val="en-US"/>
              </w:rPr>
            </w:pPr>
            <w:r w:rsidRPr="00ED4D49">
              <w:rPr>
                <w:bCs/>
                <w:sz w:val="16"/>
                <w:szCs w:val="16"/>
                <w:lang w:val="en-US"/>
              </w:rPr>
              <w:t xml:space="preserve">Rehabilitation of </w:t>
            </w:r>
            <w:proofErr w:type="spellStart"/>
            <w:r w:rsidRPr="00ED4D49">
              <w:rPr>
                <w:bCs/>
                <w:sz w:val="16"/>
                <w:szCs w:val="16"/>
                <w:lang w:val="en-US"/>
              </w:rPr>
              <w:t>Modrac</w:t>
            </w:r>
            <w:proofErr w:type="spellEnd"/>
            <w:r w:rsidRPr="00ED4D49">
              <w:rPr>
                <w:bCs/>
                <w:sz w:val="16"/>
                <w:szCs w:val="16"/>
                <w:lang w:val="en-US"/>
              </w:rPr>
              <w:t xml:space="preserve"> lake dam – IV phase</w:t>
            </w:r>
          </w:p>
        </w:tc>
        <w:tc>
          <w:tcPr>
            <w:tcW w:w="4457" w:type="dxa"/>
          </w:tcPr>
          <w:p w14:paraId="5BF25B51" w14:textId="00EED6C8" w:rsidR="004E6A8F" w:rsidRPr="00ED4D49" w:rsidRDefault="004E6A8F" w:rsidP="004E6A8F">
            <w:pPr>
              <w:pStyle w:val="ListParagraph"/>
              <w:widowControl w:val="0"/>
              <w:autoSpaceDE w:val="0"/>
              <w:autoSpaceDN w:val="0"/>
              <w:adjustRightInd w:val="0"/>
              <w:spacing w:before="0" w:afterLines="60" w:after="144" w:line="240" w:lineRule="auto"/>
              <w:ind w:left="0"/>
              <w:rPr>
                <w:rFonts w:asciiTheme="minorHAnsi" w:hAnsiTheme="minorHAnsi"/>
                <w:color w:val="0D0D0D" w:themeColor="text1" w:themeTint="F2"/>
                <w:sz w:val="16"/>
                <w:szCs w:val="16"/>
              </w:rPr>
            </w:pPr>
            <w:r w:rsidRPr="00ED4D49">
              <w:rPr>
                <w:rFonts w:asciiTheme="minorHAnsi" w:hAnsiTheme="minorHAnsi"/>
                <w:color w:val="0D0D0D" w:themeColor="text1" w:themeTint="F2"/>
                <w:sz w:val="16"/>
                <w:szCs w:val="16"/>
              </w:rPr>
              <w:t>Develop site-specific ESMP and follow guidance on disclosure and consultations. In the site-specific ESMP, include sections related to ESS4.</w:t>
            </w:r>
          </w:p>
        </w:tc>
        <w:tc>
          <w:tcPr>
            <w:tcW w:w="2126" w:type="dxa"/>
          </w:tcPr>
          <w:p w14:paraId="7BA60CC9" w14:textId="3288F5FB" w:rsidR="004E6A8F" w:rsidRPr="00ED4D49" w:rsidRDefault="004E6A8F" w:rsidP="001229F1">
            <w:pPr>
              <w:pStyle w:val="ListParagraph"/>
              <w:widowControl w:val="0"/>
              <w:autoSpaceDE w:val="0"/>
              <w:autoSpaceDN w:val="0"/>
              <w:adjustRightInd w:val="0"/>
              <w:spacing w:before="0" w:afterLines="60" w:after="144" w:line="240" w:lineRule="auto"/>
              <w:ind w:left="0"/>
              <w:contextualSpacing w:val="0"/>
              <w:rPr>
                <w:rFonts w:asciiTheme="minorHAnsi" w:hAnsiTheme="minorHAnsi"/>
                <w:color w:val="0D0D0D" w:themeColor="text1" w:themeTint="F2"/>
                <w:sz w:val="16"/>
                <w:szCs w:val="16"/>
              </w:rPr>
            </w:pPr>
            <w:r w:rsidRPr="00ED4D49">
              <w:rPr>
                <w:rFonts w:asciiTheme="minorHAnsi" w:hAnsiTheme="minorHAnsi"/>
                <w:color w:val="0D0D0D" w:themeColor="text1" w:themeTint="F2"/>
                <w:sz w:val="16"/>
                <w:szCs w:val="16"/>
              </w:rPr>
              <w:t xml:space="preserve">The works will be carried out in line with ESS4 and the provisions on dam safety </w:t>
            </w:r>
            <w:proofErr w:type="gramStart"/>
            <w:r w:rsidRPr="00ED4D49">
              <w:rPr>
                <w:rFonts w:asciiTheme="minorHAnsi" w:hAnsiTheme="minorHAnsi"/>
                <w:color w:val="0D0D0D" w:themeColor="text1" w:themeTint="F2"/>
                <w:sz w:val="16"/>
                <w:szCs w:val="16"/>
              </w:rPr>
              <w:t>there</w:t>
            </w:r>
            <w:proofErr w:type="gramEnd"/>
            <w:r w:rsidRPr="00ED4D49">
              <w:rPr>
                <w:rFonts w:asciiTheme="minorHAnsi" w:hAnsiTheme="minorHAnsi"/>
                <w:color w:val="0D0D0D" w:themeColor="text1" w:themeTint="F2"/>
                <w:sz w:val="16"/>
                <w:szCs w:val="16"/>
              </w:rPr>
              <w:t xml:space="preserve"> in.</w:t>
            </w:r>
          </w:p>
        </w:tc>
      </w:tr>
      <w:tr w:rsidR="004C3C6A" w:rsidRPr="00ED4D49" w14:paraId="325F43EE" w14:textId="77777777" w:rsidTr="001229F1">
        <w:tc>
          <w:tcPr>
            <w:tcW w:w="2484" w:type="dxa"/>
          </w:tcPr>
          <w:p w14:paraId="4BED17F6" w14:textId="22C3CAFD" w:rsidR="004C3C6A" w:rsidRPr="00ED4D49" w:rsidRDefault="004C3C6A" w:rsidP="001229F1">
            <w:pPr>
              <w:widowControl w:val="0"/>
              <w:autoSpaceDE w:val="0"/>
              <w:autoSpaceDN w:val="0"/>
              <w:adjustRightInd w:val="0"/>
              <w:spacing w:before="0" w:afterLines="60" w:after="144" w:line="240" w:lineRule="auto"/>
              <w:rPr>
                <w:rFonts w:asciiTheme="minorHAnsi" w:hAnsiTheme="minorHAnsi"/>
                <w:color w:val="0D0D0D" w:themeColor="text1" w:themeTint="F2"/>
                <w:sz w:val="16"/>
                <w:szCs w:val="16"/>
                <w:lang w:val="en-US"/>
              </w:rPr>
            </w:pPr>
            <w:r w:rsidRPr="00ED4D49">
              <w:rPr>
                <w:bCs/>
                <w:sz w:val="16"/>
                <w:szCs w:val="16"/>
                <w:lang w:val="en-US"/>
              </w:rPr>
              <w:t>Nursery production, reforestation, arboretum establishment</w:t>
            </w:r>
          </w:p>
        </w:tc>
        <w:tc>
          <w:tcPr>
            <w:tcW w:w="4457" w:type="dxa"/>
          </w:tcPr>
          <w:p w14:paraId="61BD1B7F" w14:textId="77777777" w:rsidR="004C3C6A" w:rsidRPr="00ED4D49" w:rsidRDefault="004C3C6A" w:rsidP="001229F1">
            <w:pPr>
              <w:pStyle w:val="ListParagraph"/>
              <w:widowControl w:val="0"/>
              <w:autoSpaceDE w:val="0"/>
              <w:autoSpaceDN w:val="0"/>
              <w:adjustRightInd w:val="0"/>
              <w:spacing w:before="0" w:afterLines="60" w:after="144" w:line="240" w:lineRule="auto"/>
              <w:ind w:left="0"/>
              <w:rPr>
                <w:rFonts w:asciiTheme="minorHAnsi" w:hAnsiTheme="minorHAnsi"/>
                <w:color w:val="0D0D0D" w:themeColor="text1" w:themeTint="F2"/>
                <w:sz w:val="16"/>
                <w:szCs w:val="16"/>
              </w:rPr>
            </w:pPr>
            <w:r w:rsidRPr="00ED4D49">
              <w:rPr>
                <w:rFonts w:asciiTheme="minorHAnsi" w:hAnsiTheme="minorHAnsi"/>
                <w:color w:val="0D0D0D" w:themeColor="text1" w:themeTint="F2"/>
                <w:sz w:val="16"/>
                <w:szCs w:val="16"/>
              </w:rPr>
              <w:t>Assess impacts against the generic ESMP given in this ESMF and follow guidance on disclosure and consultations.</w:t>
            </w:r>
          </w:p>
        </w:tc>
        <w:tc>
          <w:tcPr>
            <w:tcW w:w="2126" w:type="dxa"/>
          </w:tcPr>
          <w:p w14:paraId="2ED4BCE4" w14:textId="77777777" w:rsidR="004C3C6A" w:rsidRPr="00ED4D49" w:rsidRDefault="004C3C6A" w:rsidP="001229F1">
            <w:pPr>
              <w:pStyle w:val="ListParagraph"/>
              <w:widowControl w:val="0"/>
              <w:autoSpaceDE w:val="0"/>
              <w:autoSpaceDN w:val="0"/>
              <w:adjustRightInd w:val="0"/>
              <w:spacing w:before="0" w:afterLines="60" w:after="144" w:line="240" w:lineRule="auto"/>
              <w:ind w:left="0"/>
              <w:contextualSpacing w:val="0"/>
              <w:rPr>
                <w:rFonts w:asciiTheme="minorHAnsi" w:hAnsiTheme="minorHAnsi"/>
                <w:color w:val="0D0D0D" w:themeColor="text1" w:themeTint="F2"/>
                <w:sz w:val="16"/>
                <w:szCs w:val="16"/>
              </w:rPr>
            </w:pPr>
            <w:r w:rsidRPr="00ED4D49">
              <w:rPr>
                <w:rFonts w:asciiTheme="minorHAnsi" w:hAnsiTheme="minorHAnsi"/>
                <w:color w:val="0D0D0D" w:themeColor="text1" w:themeTint="F2"/>
                <w:sz w:val="16"/>
                <w:szCs w:val="16"/>
              </w:rPr>
              <w:t>WB requirements on E&amp;S impacts mitigation and monitoring included in the tender dossier.</w:t>
            </w:r>
          </w:p>
        </w:tc>
      </w:tr>
      <w:tr w:rsidR="004C3C6A" w:rsidRPr="00ED4D49" w14:paraId="25AAF293" w14:textId="77777777" w:rsidTr="001229F1">
        <w:tc>
          <w:tcPr>
            <w:tcW w:w="2484" w:type="dxa"/>
          </w:tcPr>
          <w:p w14:paraId="0BBDD7C8" w14:textId="77777777" w:rsidR="004C3C6A" w:rsidRPr="00ED4D49" w:rsidRDefault="004C3C6A" w:rsidP="001229F1">
            <w:pPr>
              <w:widowControl w:val="0"/>
              <w:autoSpaceDE w:val="0"/>
              <w:autoSpaceDN w:val="0"/>
              <w:adjustRightInd w:val="0"/>
              <w:spacing w:before="0" w:afterLines="60" w:after="144" w:line="240" w:lineRule="auto"/>
              <w:rPr>
                <w:rFonts w:asciiTheme="minorHAnsi" w:hAnsiTheme="minorHAnsi"/>
                <w:color w:val="0D0D0D" w:themeColor="text1" w:themeTint="F2"/>
                <w:sz w:val="16"/>
                <w:szCs w:val="16"/>
                <w:lang w:val="en-US"/>
              </w:rPr>
            </w:pPr>
            <w:r w:rsidRPr="00ED4D49">
              <w:rPr>
                <w:bCs/>
                <w:sz w:val="16"/>
                <w:szCs w:val="16"/>
                <w:lang w:val="en-US"/>
              </w:rPr>
              <w:t>Demining activities along the Sava Right bank within BiH</w:t>
            </w:r>
          </w:p>
        </w:tc>
        <w:tc>
          <w:tcPr>
            <w:tcW w:w="4457" w:type="dxa"/>
          </w:tcPr>
          <w:p w14:paraId="0D0BD0BA" w14:textId="77777777" w:rsidR="004C3C6A" w:rsidRPr="00ED4D49" w:rsidRDefault="004C3C6A" w:rsidP="001229F1">
            <w:pPr>
              <w:pStyle w:val="ListParagraph"/>
              <w:widowControl w:val="0"/>
              <w:autoSpaceDE w:val="0"/>
              <w:autoSpaceDN w:val="0"/>
              <w:adjustRightInd w:val="0"/>
              <w:spacing w:before="0" w:afterLines="60" w:after="144" w:line="240" w:lineRule="auto"/>
              <w:ind w:left="0"/>
              <w:rPr>
                <w:rFonts w:asciiTheme="minorHAnsi" w:hAnsiTheme="minorHAnsi"/>
                <w:color w:val="0D0D0D" w:themeColor="text1" w:themeTint="F2"/>
                <w:sz w:val="16"/>
                <w:szCs w:val="16"/>
              </w:rPr>
            </w:pPr>
            <w:r w:rsidRPr="00ED4D49">
              <w:rPr>
                <w:rFonts w:asciiTheme="minorHAnsi" w:hAnsiTheme="minorHAnsi"/>
                <w:color w:val="0D0D0D" w:themeColor="text1" w:themeTint="F2"/>
                <w:sz w:val="16"/>
                <w:szCs w:val="16"/>
              </w:rPr>
              <w:t>Develop site-specific ESMP and follow guidance on disclosure and consultations. In the site-specific ESMP, include sections related to all applicable ESSs.</w:t>
            </w:r>
          </w:p>
        </w:tc>
        <w:tc>
          <w:tcPr>
            <w:tcW w:w="2126" w:type="dxa"/>
          </w:tcPr>
          <w:p w14:paraId="19532479" w14:textId="77777777" w:rsidR="004C3C6A" w:rsidRPr="00ED4D49" w:rsidRDefault="004C3C6A" w:rsidP="001229F1">
            <w:pPr>
              <w:pStyle w:val="ListParagraph"/>
              <w:widowControl w:val="0"/>
              <w:autoSpaceDE w:val="0"/>
              <w:autoSpaceDN w:val="0"/>
              <w:adjustRightInd w:val="0"/>
              <w:spacing w:before="0" w:afterLines="60" w:after="144" w:line="240" w:lineRule="auto"/>
              <w:ind w:left="0"/>
              <w:contextualSpacing w:val="0"/>
              <w:rPr>
                <w:rFonts w:asciiTheme="minorHAnsi" w:hAnsiTheme="minorHAnsi"/>
                <w:color w:val="0D0D0D" w:themeColor="text1" w:themeTint="F2"/>
                <w:sz w:val="16"/>
                <w:szCs w:val="16"/>
              </w:rPr>
            </w:pPr>
            <w:r w:rsidRPr="00ED4D49">
              <w:rPr>
                <w:rFonts w:asciiTheme="minorHAnsi" w:hAnsiTheme="minorHAnsi"/>
                <w:color w:val="0D0D0D" w:themeColor="text1" w:themeTint="F2"/>
                <w:sz w:val="16"/>
                <w:szCs w:val="16"/>
              </w:rPr>
              <w:t xml:space="preserve">WB requirements on E&amp;S impacts mitigation and monitoring included in the tender dossier. </w:t>
            </w:r>
          </w:p>
        </w:tc>
      </w:tr>
      <w:tr w:rsidR="004C3C6A" w:rsidRPr="00ED4D49" w14:paraId="1ACF2E7D" w14:textId="77777777" w:rsidTr="001229F1">
        <w:tc>
          <w:tcPr>
            <w:tcW w:w="2484" w:type="dxa"/>
          </w:tcPr>
          <w:p w14:paraId="2A28C938" w14:textId="77777777" w:rsidR="004C3C6A" w:rsidRPr="00ED4D49" w:rsidRDefault="004C3C6A" w:rsidP="001229F1">
            <w:pPr>
              <w:widowControl w:val="0"/>
              <w:autoSpaceDE w:val="0"/>
              <w:autoSpaceDN w:val="0"/>
              <w:adjustRightInd w:val="0"/>
              <w:spacing w:before="0" w:afterLines="60" w:after="144" w:line="240" w:lineRule="auto"/>
              <w:rPr>
                <w:bCs/>
                <w:sz w:val="16"/>
                <w:szCs w:val="16"/>
                <w:lang w:val="en-US"/>
              </w:rPr>
            </w:pPr>
            <w:r w:rsidRPr="00ED4D49">
              <w:rPr>
                <w:bCs/>
                <w:sz w:val="16"/>
                <w:szCs w:val="16"/>
                <w:lang w:val="en-US"/>
              </w:rPr>
              <w:t xml:space="preserve">Development of regional studies for </w:t>
            </w:r>
            <w:proofErr w:type="gramStart"/>
            <w:r w:rsidRPr="00ED4D49">
              <w:rPr>
                <w:bCs/>
                <w:sz w:val="16"/>
                <w:szCs w:val="16"/>
                <w:lang w:val="en-US"/>
              </w:rPr>
              <w:t>Sava river</w:t>
            </w:r>
            <w:proofErr w:type="gramEnd"/>
            <w:r w:rsidRPr="00ED4D49">
              <w:rPr>
                <w:bCs/>
                <w:sz w:val="16"/>
                <w:szCs w:val="16"/>
                <w:lang w:val="en-US"/>
              </w:rPr>
              <w:t xml:space="preserve"> basin</w:t>
            </w:r>
          </w:p>
        </w:tc>
        <w:tc>
          <w:tcPr>
            <w:tcW w:w="4457" w:type="dxa"/>
          </w:tcPr>
          <w:p w14:paraId="79BC3EAF" w14:textId="77777777" w:rsidR="004C3C6A" w:rsidRPr="00ED4D49" w:rsidRDefault="004C3C6A" w:rsidP="001229F1">
            <w:pPr>
              <w:pStyle w:val="ListParagraph"/>
              <w:widowControl w:val="0"/>
              <w:autoSpaceDE w:val="0"/>
              <w:autoSpaceDN w:val="0"/>
              <w:adjustRightInd w:val="0"/>
              <w:spacing w:before="0" w:afterLines="60" w:after="144" w:line="240" w:lineRule="auto"/>
              <w:ind w:left="0"/>
              <w:rPr>
                <w:rFonts w:asciiTheme="minorHAnsi" w:hAnsiTheme="minorHAnsi"/>
                <w:color w:val="0D0D0D" w:themeColor="text1" w:themeTint="F2"/>
                <w:sz w:val="16"/>
                <w:szCs w:val="16"/>
              </w:rPr>
            </w:pPr>
            <w:r w:rsidRPr="00ED4D49">
              <w:rPr>
                <w:rFonts w:asciiTheme="minorHAnsi" w:hAnsiTheme="minorHAnsi"/>
                <w:color w:val="0D0D0D" w:themeColor="text1" w:themeTint="F2"/>
                <w:sz w:val="16"/>
                <w:szCs w:val="16"/>
              </w:rPr>
              <w:t>Prepare Strategic Environmental and Social Assessment (SESA) for each study considering the full range of environmental and social risks and impacts incorporated in ESS1 through 10</w:t>
            </w:r>
          </w:p>
        </w:tc>
        <w:tc>
          <w:tcPr>
            <w:tcW w:w="2126" w:type="dxa"/>
          </w:tcPr>
          <w:p w14:paraId="45BDBB81" w14:textId="4181D406" w:rsidR="004C3C6A" w:rsidRPr="00ED4D49" w:rsidRDefault="004C3C6A" w:rsidP="001229F1">
            <w:pPr>
              <w:pStyle w:val="ListParagraph"/>
              <w:widowControl w:val="0"/>
              <w:autoSpaceDE w:val="0"/>
              <w:autoSpaceDN w:val="0"/>
              <w:adjustRightInd w:val="0"/>
              <w:spacing w:before="0" w:afterLines="60" w:after="144" w:line="240" w:lineRule="auto"/>
              <w:ind w:left="0"/>
              <w:contextualSpacing w:val="0"/>
              <w:rPr>
                <w:rFonts w:asciiTheme="minorHAnsi" w:hAnsiTheme="minorHAnsi"/>
                <w:color w:val="0D0D0D" w:themeColor="text1" w:themeTint="F2"/>
                <w:sz w:val="16"/>
                <w:szCs w:val="16"/>
              </w:rPr>
            </w:pPr>
            <w:r w:rsidRPr="00ED4D49">
              <w:rPr>
                <w:rFonts w:asciiTheme="minorHAnsi" w:hAnsiTheme="minorHAnsi"/>
                <w:color w:val="0D0D0D" w:themeColor="text1" w:themeTint="F2"/>
                <w:sz w:val="16"/>
                <w:szCs w:val="16"/>
              </w:rPr>
              <w:t>Improve</w:t>
            </w:r>
            <w:r w:rsidR="00420C76" w:rsidRPr="00ED4D49">
              <w:rPr>
                <w:rFonts w:asciiTheme="minorHAnsi" w:hAnsiTheme="minorHAnsi"/>
                <w:color w:val="0D0D0D" w:themeColor="text1" w:themeTint="F2"/>
                <w:sz w:val="16"/>
                <w:szCs w:val="16"/>
              </w:rPr>
              <w:t>d</w:t>
            </w:r>
            <w:r w:rsidRPr="00ED4D49">
              <w:rPr>
                <w:rFonts w:asciiTheme="minorHAnsi" w:hAnsiTheme="minorHAnsi"/>
                <w:color w:val="0D0D0D" w:themeColor="text1" w:themeTint="F2"/>
                <w:sz w:val="16"/>
                <w:szCs w:val="16"/>
              </w:rPr>
              <w:t xml:space="preserve"> regional studies based on the conclusions from </w:t>
            </w:r>
            <w:r w:rsidR="00420C76" w:rsidRPr="00ED4D49">
              <w:rPr>
                <w:rFonts w:asciiTheme="minorHAnsi" w:hAnsiTheme="minorHAnsi"/>
                <w:color w:val="0D0D0D" w:themeColor="text1" w:themeTint="F2"/>
                <w:sz w:val="16"/>
                <w:szCs w:val="16"/>
              </w:rPr>
              <w:t xml:space="preserve">the </w:t>
            </w:r>
            <w:r w:rsidRPr="00ED4D49">
              <w:rPr>
                <w:rFonts w:asciiTheme="minorHAnsi" w:hAnsiTheme="minorHAnsi"/>
                <w:color w:val="0D0D0D" w:themeColor="text1" w:themeTint="F2"/>
                <w:sz w:val="16"/>
                <w:szCs w:val="16"/>
              </w:rPr>
              <w:t>SESA.</w:t>
            </w:r>
          </w:p>
        </w:tc>
      </w:tr>
    </w:tbl>
    <w:p w14:paraId="39E7776D" w14:textId="77777777" w:rsidR="00E80BB3" w:rsidRPr="00ED4D49" w:rsidRDefault="00E80BB3" w:rsidP="007320A9">
      <w:pPr>
        <w:jc w:val="both"/>
        <w:rPr>
          <w:rFonts w:cs="Calibri"/>
          <w:lang w:val="en-US" w:eastAsia="x-none"/>
        </w:rPr>
      </w:pPr>
    </w:p>
    <w:p w14:paraId="16B7D329" w14:textId="7F88B07C" w:rsidR="007320A9" w:rsidRPr="00ED4D49" w:rsidRDefault="007320A9" w:rsidP="007320A9">
      <w:pPr>
        <w:jc w:val="both"/>
        <w:rPr>
          <w:rFonts w:cs="Calibri"/>
          <w:lang w:val="en-US" w:eastAsia="x-none"/>
        </w:rPr>
      </w:pPr>
      <w:r w:rsidRPr="00ED4D49">
        <w:rPr>
          <w:rFonts w:cs="Calibri"/>
          <w:lang w:val="en-US" w:eastAsia="x-none"/>
        </w:rPr>
        <w:t xml:space="preserve">Additionally, PIUs will be </w:t>
      </w:r>
      <w:r w:rsidR="0094013B" w:rsidRPr="00ED4D49">
        <w:rPr>
          <w:rFonts w:cs="Calibri"/>
          <w:lang w:val="en-US" w:eastAsia="x-none"/>
        </w:rPr>
        <w:t>required</w:t>
      </w:r>
      <w:r w:rsidRPr="00ED4D49">
        <w:rPr>
          <w:rFonts w:cs="Calibri"/>
          <w:lang w:val="en-US" w:eastAsia="x-none"/>
        </w:rPr>
        <w:t xml:space="preserve"> to: </w:t>
      </w:r>
    </w:p>
    <w:p w14:paraId="252C801F" w14:textId="241EA7A4" w:rsidR="007320A9" w:rsidRPr="00ED4D49" w:rsidRDefault="007320A9" w:rsidP="007320A9">
      <w:pPr>
        <w:pStyle w:val="ListParagraph"/>
        <w:numPr>
          <w:ilvl w:val="0"/>
          <w:numId w:val="10"/>
        </w:numPr>
        <w:spacing w:after="160"/>
        <w:jc w:val="both"/>
        <w:rPr>
          <w:rFonts w:cs="Calibri"/>
          <w:sz w:val="20"/>
          <w:szCs w:val="20"/>
        </w:rPr>
      </w:pPr>
      <w:r w:rsidRPr="00ED4D49">
        <w:rPr>
          <w:rFonts w:cs="Calibri"/>
          <w:sz w:val="20"/>
          <w:szCs w:val="20"/>
        </w:rPr>
        <w:t xml:space="preserve">in case of any land acquisition issues identified, prepare </w:t>
      </w:r>
      <w:r w:rsidR="0094013B" w:rsidRPr="00ED4D49">
        <w:rPr>
          <w:rFonts w:cs="Calibri"/>
          <w:sz w:val="20"/>
          <w:szCs w:val="20"/>
        </w:rPr>
        <w:t>a</w:t>
      </w:r>
      <w:r w:rsidRPr="00ED4D49">
        <w:rPr>
          <w:rFonts w:cs="Calibri"/>
          <w:sz w:val="20"/>
          <w:szCs w:val="20"/>
        </w:rPr>
        <w:t xml:space="preserve"> site-specific Resettlement Plan in line with the guidance given in the Resettlement Framework developed for the </w:t>
      </w:r>
      <w:r w:rsidR="0094013B" w:rsidRPr="00ED4D49">
        <w:rPr>
          <w:rFonts w:cs="Calibri"/>
          <w:sz w:val="20"/>
          <w:szCs w:val="20"/>
        </w:rPr>
        <w:t>SDIP</w:t>
      </w:r>
      <w:r w:rsidRPr="00ED4D49">
        <w:rPr>
          <w:rFonts w:cs="Calibri"/>
          <w:sz w:val="20"/>
          <w:szCs w:val="20"/>
        </w:rPr>
        <w:t xml:space="preserve"> project</w:t>
      </w:r>
      <w:r w:rsidR="0094013B" w:rsidRPr="00ED4D49">
        <w:rPr>
          <w:rFonts w:cs="Calibri"/>
          <w:sz w:val="20"/>
          <w:szCs w:val="20"/>
        </w:rPr>
        <w:t>,</w:t>
      </w:r>
    </w:p>
    <w:p w14:paraId="373BEFE4" w14:textId="47120C94" w:rsidR="007320A9" w:rsidRPr="00ED4D49" w:rsidRDefault="007320A9" w:rsidP="007320A9">
      <w:pPr>
        <w:pStyle w:val="ListParagraph"/>
        <w:numPr>
          <w:ilvl w:val="0"/>
          <w:numId w:val="10"/>
        </w:numPr>
        <w:spacing w:after="160"/>
        <w:jc w:val="both"/>
        <w:rPr>
          <w:rFonts w:cs="Calibri"/>
          <w:sz w:val="20"/>
          <w:szCs w:val="20"/>
        </w:rPr>
      </w:pPr>
      <w:r w:rsidRPr="00ED4D49">
        <w:rPr>
          <w:rFonts w:cs="Calibri"/>
          <w:sz w:val="20"/>
          <w:szCs w:val="20"/>
        </w:rPr>
        <w:t xml:space="preserve">implement the </w:t>
      </w:r>
      <w:r w:rsidR="0094013B" w:rsidRPr="00ED4D49">
        <w:rPr>
          <w:rFonts w:cs="Calibri"/>
          <w:sz w:val="20"/>
          <w:szCs w:val="20"/>
        </w:rPr>
        <w:t xml:space="preserve">developed </w:t>
      </w:r>
      <w:r w:rsidRPr="00ED4D49">
        <w:rPr>
          <w:rFonts w:cs="Calibri"/>
          <w:sz w:val="20"/>
          <w:szCs w:val="20"/>
        </w:rPr>
        <w:t>Labor Management Procedure, and update it as necessary</w:t>
      </w:r>
      <w:r w:rsidR="0094013B" w:rsidRPr="00ED4D49">
        <w:rPr>
          <w:rFonts w:cs="Calibri"/>
          <w:sz w:val="20"/>
          <w:szCs w:val="20"/>
        </w:rPr>
        <w:t>,</w:t>
      </w:r>
    </w:p>
    <w:p w14:paraId="116ED460" w14:textId="437A33A9" w:rsidR="007320A9" w:rsidRPr="00ED4D49" w:rsidRDefault="007320A9" w:rsidP="007320A9">
      <w:pPr>
        <w:pStyle w:val="ListParagraph"/>
        <w:numPr>
          <w:ilvl w:val="0"/>
          <w:numId w:val="10"/>
        </w:numPr>
        <w:spacing w:after="160"/>
        <w:jc w:val="both"/>
        <w:rPr>
          <w:rFonts w:cs="Calibri"/>
          <w:sz w:val="20"/>
          <w:szCs w:val="20"/>
        </w:rPr>
      </w:pPr>
      <w:r w:rsidRPr="00ED4D49">
        <w:rPr>
          <w:rFonts w:cs="Calibri"/>
          <w:sz w:val="20"/>
          <w:szCs w:val="20"/>
        </w:rPr>
        <w:t xml:space="preserve">undertake stakeholder engagement and disclose appropriate information in accordance with </w:t>
      </w:r>
      <w:r w:rsidR="0094013B" w:rsidRPr="00ED4D49">
        <w:rPr>
          <w:rFonts w:cs="Calibri"/>
          <w:sz w:val="20"/>
          <w:szCs w:val="20"/>
        </w:rPr>
        <w:t xml:space="preserve">the </w:t>
      </w:r>
      <w:r w:rsidRPr="00ED4D49">
        <w:rPr>
          <w:rFonts w:cs="Calibri"/>
          <w:sz w:val="20"/>
          <w:szCs w:val="20"/>
        </w:rPr>
        <w:t xml:space="preserve">Stakeholder Engagement Plan developed for the </w:t>
      </w:r>
      <w:r w:rsidR="0094013B" w:rsidRPr="00ED4D49">
        <w:rPr>
          <w:rFonts w:cs="Calibri"/>
          <w:sz w:val="20"/>
          <w:szCs w:val="20"/>
        </w:rPr>
        <w:t>SDIP</w:t>
      </w:r>
      <w:r w:rsidRPr="00ED4D49">
        <w:rPr>
          <w:rFonts w:cs="Calibri"/>
          <w:sz w:val="20"/>
          <w:szCs w:val="20"/>
        </w:rPr>
        <w:t xml:space="preserve"> project,</w:t>
      </w:r>
    </w:p>
    <w:p w14:paraId="63D6127B" w14:textId="68CC52AE" w:rsidR="007320A9" w:rsidRPr="00ED4D49" w:rsidRDefault="007320A9" w:rsidP="007320A9">
      <w:pPr>
        <w:pStyle w:val="ListParagraph"/>
        <w:numPr>
          <w:ilvl w:val="0"/>
          <w:numId w:val="10"/>
        </w:numPr>
        <w:spacing w:after="160"/>
        <w:jc w:val="both"/>
        <w:rPr>
          <w:rFonts w:cs="Calibri"/>
          <w:sz w:val="20"/>
          <w:szCs w:val="20"/>
        </w:rPr>
      </w:pPr>
      <w:r w:rsidRPr="00ED4D49">
        <w:rPr>
          <w:rFonts w:cs="Calibri"/>
          <w:sz w:val="20"/>
          <w:szCs w:val="20"/>
        </w:rPr>
        <w:t xml:space="preserve">conduct monitoring and reporting on the </w:t>
      </w:r>
      <w:r w:rsidR="00FC05BD" w:rsidRPr="00ED4D49">
        <w:rPr>
          <w:rFonts w:cs="Calibri"/>
          <w:sz w:val="20"/>
          <w:szCs w:val="20"/>
        </w:rPr>
        <w:t>E&amp;S</w:t>
      </w:r>
      <w:r w:rsidRPr="00ED4D49">
        <w:rPr>
          <w:rFonts w:cs="Calibri"/>
          <w:sz w:val="20"/>
          <w:szCs w:val="20"/>
        </w:rPr>
        <w:t xml:space="preserve"> performance of the </w:t>
      </w:r>
      <w:r w:rsidR="00FC05BD" w:rsidRPr="00ED4D49">
        <w:rPr>
          <w:rFonts w:cs="Calibri"/>
          <w:sz w:val="20"/>
          <w:szCs w:val="20"/>
        </w:rPr>
        <w:t xml:space="preserve">SDIP </w:t>
      </w:r>
      <w:r w:rsidRPr="00ED4D49">
        <w:rPr>
          <w:rFonts w:cs="Calibri"/>
          <w:sz w:val="20"/>
          <w:szCs w:val="20"/>
        </w:rPr>
        <w:t xml:space="preserve">project against the </w:t>
      </w:r>
      <w:r w:rsidR="0063606C" w:rsidRPr="00ED4D49">
        <w:rPr>
          <w:rFonts w:cs="Calibri"/>
          <w:sz w:val="20"/>
          <w:szCs w:val="20"/>
        </w:rPr>
        <w:t>program</w:t>
      </w:r>
      <w:r w:rsidRPr="00ED4D49">
        <w:rPr>
          <w:rFonts w:cs="Calibri"/>
          <w:sz w:val="20"/>
          <w:szCs w:val="20"/>
        </w:rPr>
        <w:t>-specific ESMF, RPF</w:t>
      </w:r>
      <w:r w:rsidR="00FC05BD" w:rsidRPr="00ED4D49">
        <w:rPr>
          <w:rFonts w:cs="Calibri"/>
          <w:sz w:val="20"/>
          <w:szCs w:val="20"/>
        </w:rPr>
        <w:t>,</w:t>
      </w:r>
      <w:r w:rsidRPr="00ED4D49">
        <w:rPr>
          <w:rFonts w:cs="Calibri"/>
          <w:sz w:val="20"/>
          <w:szCs w:val="20"/>
        </w:rPr>
        <w:t xml:space="preserve"> SEP</w:t>
      </w:r>
      <w:r w:rsidR="00FC05BD" w:rsidRPr="00ED4D49">
        <w:rPr>
          <w:rFonts w:cs="Calibri"/>
          <w:sz w:val="20"/>
          <w:szCs w:val="20"/>
        </w:rPr>
        <w:t xml:space="preserve"> and</w:t>
      </w:r>
      <w:r w:rsidRPr="00ED4D49">
        <w:rPr>
          <w:rFonts w:cs="Calibri"/>
          <w:sz w:val="20"/>
          <w:szCs w:val="20"/>
        </w:rPr>
        <w:t xml:space="preserve"> LMP.</w:t>
      </w:r>
    </w:p>
    <w:p w14:paraId="6EA9E620" w14:textId="34EFDEBE" w:rsidR="001F2008" w:rsidRPr="00ED4D49" w:rsidRDefault="001F2008" w:rsidP="001F2008">
      <w:pPr>
        <w:jc w:val="both"/>
        <w:rPr>
          <w:b/>
          <w:lang w:val="en-US" w:eastAsia="x-none"/>
        </w:rPr>
      </w:pPr>
      <w:r w:rsidRPr="00ED4D49">
        <w:rPr>
          <w:b/>
          <w:lang w:val="en-US" w:eastAsia="x-none"/>
        </w:rPr>
        <w:t>Step 2. Carry out</w:t>
      </w:r>
      <w:r w:rsidR="00677FAF" w:rsidRPr="00ED4D49">
        <w:rPr>
          <w:b/>
          <w:lang w:val="en-US" w:eastAsia="x-none"/>
        </w:rPr>
        <w:t xml:space="preserve"> an</w:t>
      </w:r>
      <w:r w:rsidRPr="00ED4D49">
        <w:rPr>
          <w:b/>
          <w:lang w:val="en-US" w:eastAsia="x-none"/>
        </w:rPr>
        <w:t xml:space="preserve"> environmental assessment in line with the </w:t>
      </w:r>
      <w:r w:rsidR="000C755A" w:rsidRPr="00ED4D49">
        <w:rPr>
          <w:b/>
          <w:lang w:val="en-US" w:eastAsia="x-none"/>
        </w:rPr>
        <w:t>FBiH, RS or BD</w:t>
      </w:r>
      <w:r w:rsidRPr="00ED4D49">
        <w:rPr>
          <w:b/>
          <w:lang w:val="en-US" w:eastAsia="x-none"/>
        </w:rPr>
        <w:t xml:space="preserve"> requirements</w:t>
      </w:r>
    </w:p>
    <w:p w14:paraId="6AA817C5" w14:textId="68A9E96B" w:rsidR="00193EC7" w:rsidRPr="00ED4D49" w:rsidRDefault="001F2008" w:rsidP="001F2008">
      <w:pPr>
        <w:jc w:val="both"/>
        <w:rPr>
          <w:bCs/>
          <w:lang w:val="en-US" w:eastAsia="x-none"/>
        </w:rPr>
      </w:pPr>
      <w:r w:rsidRPr="00ED4D49">
        <w:rPr>
          <w:bCs/>
          <w:lang w:val="en-US" w:eastAsia="x-none"/>
        </w:rPr>
        <w:t>For the activities listed in the table below</w:t>
      </w:r>
      <w:r w:rsidR="00E610AB" w:rsidRPr="00ED4D49">
        <w:rPr>
          <w:bCs/>
          <w:lang w:val="en-US" w:eastAsia="x-none"/>
        </w:rPr>
        <w:t>,</w:t>
      </w:r>
      <w:r w:rsidRPr="00ED4D49">
        <w:rPr>
          <w:bCs/>
          <w:lang w:val="en-US" w:eastAsia="x-none"/>
        </w:rPr>
        <w:t xml:space="preserve"> carry out </w:t>
      </w:r>
      <w:r w:rsidR="00E610AB" w:rsidRPr="00ED4D49">
        <w:rPr>
          <w:bCs/>
          <w:lang w:val="en-US" w:eastAsia="x-none"/>
        </w:rPr>
        <w:t>an</w:t>
      </w:r>
      <w:r w:rsidRPr="00ED4D49">
        <w:rPr>
          <w:bCs/>
          <w:lang w:val="en-US" w:eastAsia="x-none"/>
        </w:rPr>
        <w:t xml:space="preserve"> </w:t>
      </w:r>
      <w:r w:rsidR="000D3A67" w:rsidRPr="00ED4D49">
        <w:rPr>
          <w:bCs/>
          <w:lang w:val="en-US" w:eastAsia="x-none"/>
        </w:rPr>
        <w:t>environmental</w:t>
      </w:r>
      <w:r w:rsidRPr="00ED4D49">
        <w:rPr>
          <w:bCs/>
          <w:lang w:val="en-US" w:eastAsia="x-none"/>
        </w:rPr>
        <w:t xml:space="preserve"> assessment </w:t>
      </w:r>
      <w:r w:rsidR="000D3A67" w:rsidRPr="00ED4D49">
        <w:rPr>
          <w:bCs/>
          <w:lang w:val="en-US" w:eastAsia="x-none"/>
        </w:rPr>
        <w:t>in FBIH, RS or BD</w:t>
      </w:r>
      <w:r w:rsidR="000C755A" w:rsidRPr="00ED4D49">
        <w:rPr>
          <w:bCs/>
          <w:lang w:val="en-US" w:eastAsia="x-none"/>
        </w:rPr>
        <w:t>,</w:t>
      </w:r>
      <w:r w:rsidR="000D3A67" w:rsidRPr="00ED4D49">
        <w:rPr>
          <w:bCs/>
          <w:lang w:val="en-US" w:eastAsia="x-none"/>
        </w:rPr>
        <w:t xml:space="preserve"> depending on the </w:t>
      </w:r>
      <w:r w:rsidR="0099422A" w:rsidRPr="00ED4D49">
        <w:rPr>
          <w:bCs/>
          <w:lang w:val="en-US" w:eastAsia="x-none"/>
        </w:rPr>
        <w:t>subproject</w:t>
      </w:r>
      <w:r w:rsidR="00E610AB" w:rsidRPr="00ED4D49">
        <w:rPr>
          <w:bCs/>
          <w:lang w:val="en-US" w:eastAsia="x-none"/>
        </w:rPr>
        <w:t xml:space="preserve"> </w:t>
      </w:r>
      <w:r w:rsidR="000D3A67" w:rsidRPr="00ED4D49">
        <w:rPr>
          <w:bCs/>
          <w:lang w:val="en-US" w:eastAsia="x-none"/>
        </w:rPr>
        <w:t>location</w:t>
      </w:r>
      <w:r w:rsidR="000C755A" w:rsidRPr="00ED4D49">
        <w:rPr>
          <w:bCs/>
          <w:lang w:val="en-US" w:eastAsia="x-none"/>
        </w:rPr>
        <w:t>,</w:t>
      </w:r>
      <w:r w:rsidR="000D3A67" w:rsidRPr="00ED4D49">
        <w:rPr>
          <w:bCs/>
          <w:lang w:val="en-US" w:eastAsia="x-none"/>
        </w:rPr>
        <w:t xml:space="preserve"> </w:t>
      </w:r>
      <w:r w:rsidRPr="00ED4D49">
        <w:rPr>
          <w:bCs/>
          <w:lang w:val="en-US" w:eastAsia="x-none"/>
        </w:rPr>
        <w:t xml:space="preserve">as explained in </w:t>
      </w:r>
      <w:r w:rsidRPr="00ED4D49">
        <w:rPr>
          <w:bCs/>
          <w:i/>
          <w:iCs/>
          <w:lang w:val="en-US" w:eastAsia="x-none"/>
        </w:rPr>
        <w:t xml:space="preserve">Chapter </w:t>
      </w:r>
      <w:r w:rsidRPr="00ED4D49">
        <w:rPr>
          <w:bCs/>
          <w:i/>
          <w:iCs/>
          <w:lang w:val="en-US" w:eastAsia="x-none"/>
        </w:rPr>
        <w:fldChar w:fldCharType="begin"/>
      </w:r>
      <w:r w:rsidRPr="00ED4D49">
        <w:rPr>
          <w:bCs/>
          <w:i/>
          <w:iCs/>
          <w:lang w:val="en-US" w:eastAsia="x-none"/>
        </w:rPr>
        <w:instrText xml:space="preserve"> REF _Ref22298726 \r \h </w:instrText>
      </w:r>
      <w:r w:rsidR="00E610AB" w:rsidRPr="00ED4D49">
        <w:rPr>
          <w:bCs/>
          <w:i/>
          <w:iCs/>
          <w:lang w:val="en-US" w:eastAsia="x-none"/>
        </w:rPr>
        <w:instrText xml:space="preserve"> \* MERGEFORMAT </w:instrText>
      </w:r>
      <w:r w:rsidRPr="00ED4D49">
        <w:rPr>
          <w:bCs/>
          <w:i/>
          <w:iCs/>
          <w:lang w:val="en-US" w:eastAsia="x-none"/>
        </w:rPr>
      </w:r>
      <w:r w:rsidRPr="00ED4D49">
        <w:rPr>
          <w:bCs/>
          <w:i/>
          <w:iCs/>
          <w:lang w:val="en-US" w:eastAsia="x-none"/>
        </w:rPr>
        <w:fldChar w:fldCharType="separate"/>
      </w:r>
      <w:r w:rsidR="00F60130" w:rsidRPr="00ED4D49">
        <w:rPr>
          <w:bCs/>
          <w:i/>
          <w:iCs/>
          <w:lang w:val="en-US" w:eastAsia="x-none"/>
        </w:rPr>
        <w:t>5.2.1</w:t>
      </w:r>
      <w:r w:rsidRPr="00ED4D49">
        <w:rPr>
          <w:bCs/>
          <w:i/>
          <w:iCs/>
          <w:lang w:val="en-US" w:eastAsia="x-none"/>
        </w:rPr>
        <w:fldChar w:fldCharType="end"/>
      </w:r>
      <w:r w:rsidRPr="00ED4D49">
        <w:rPr>
          <w:bCs/>
          <w:i/>
          <w:iCs/>
          <w:lang w:val="en-US" w:eastAsia="x-none"/>
        </w:rPr>
        <w:t xml:space="preserve"> </w:t>
      </w:r>
      <w:r w:rsidRPr="00ED4D49">
        <w:rPr>
          <w:bCs/>
          <w:i/>
          <w:iCs/>
          <w:lang w:val="en-US" w:eastAsia="x-none"/>
        </w:rPr>
        <w:fldChar w:fldCharType="begin"/>
      </w:r>
      <w:r w:rsidRPr="00ED4D49">
        <w:rPr>
          <w:bCs/>
          <w:i/>
          <w:iCs/>
          <w:lang w:val="en-US" w:eastAsia="x-none"/>
        </w:rPr>
        <w:instrText xml:space="preserve"> REF _Ref22298730 \h </w:instrText>
      </w:r>
      <w:r w:rsidR="00E610AB" w:rsidRPr="00ED4D49">
        <w:rPr>
          <w:bCs/>
          <w:i/>
          <w:iCs/>
          <w:lang w:val="en-US" w:eastAsia="x-none"/>
        </w:rPr>
        <w:instrText xml:space="preserve"> \* MERGEFORMAT </w:instrText>
      </w:r>
      <w:r w:rsidRPr="00ED4D49">
        <w:rPr>
          <w:bCs/>
          <w:i/>
          <w:iCs/>
          <w:lang w:val="en-US" w:eastAsia="x-none"/>
        </w:rPr>
      </w:r>
      <w:r w:rsidRPr="00ED4D49">
        <w:rPr>
          <w:bCs/>
          <w:i/>
          <w:iCs/>
          <w:lang w:val="en-US" w:eastAsia="x-none"/>
        </w:rPr>
        <w:fldChar w:fldCharType="separate"/>
      </w:r>
      <w:r w:rsidR="00F60130" w:rsidRPr="00ED4D49">
        <w:rPr>
          <w:i/>
          <w:iCs/>
          <w:lang w:val="en-US"/>
        </w:rPr>
        <w:t>Environmental Assessment Procedure</w:t>
      </w:r>
      <w:r w:rsidRPr="00ED4D49">
        <w:rPr>
          <w:bCs/>
          <w:i/>
          <w:iCs/>
          <w:lang w:val="en-US" w:eastAsia="x-none"/>
        </w:rPr>
        <w:fldChar w:fldCharType="end"/>
      </w:r>
      <w:r w:rsidR="000D3A67" w:rsidRPr="00ED4D49">
        <w:rPr>
          <w:bCs/>
          <w:lang w:val="en-US" w:eastAsia="x-none"/>
        </w:rPr>
        <w:t>.</w:t>
      </w:r>
    </w:p>
    <w:p w14:paraId="145C9E52" w14:textId="334BFA20" w:rsidR="00193EC7" w:rsidRPr="00ED4D49" w:rsidRDefault="000C755A" w:rsidP="001F2008">
      <w:pPr>
        <w:jc w:val="both"/>
        <w:rPr>
          <w:bCs/>
          <w:lang w:val="en-US" w:eastAsia="x-none"/>
        </w:rPr>
      </w:pPr>
      <w:r w:rsidRPr="00ED4D49">
        <w:rPr>
          <w:bCs/>
          <w:lang w:val="en-US" w:eastAsia="x-none"/>
        </w:rPr>
        <w:t xml:space="preserve">If </w:t>
      </w:r>
      <w:r w:rsidR="00E610AB" w:rsidRPr="00ED4D49">
        <w:rPr>
          <w:bCs/>
          <w:lang w:val="en-US" w:eastAsia="x-none"/>
        </w:rPr>
        <w:t>the</w:t>
      </w:r>
      <w:r w:rsidRPr="00ED4D49">
        <w:rPr>
          <w:bCs/>
          <w:lang w:val="en-US" w:eastAsia="x-none"/>
        </w:rPr>
        <w:t xml:space="preserve"> assessment indicate</w:t>
      </w:r>
      <w:r w:rsidR="00193EC7" w:rsidRPr="00ED4D49">
        <w:rPr>
          <w:bCs/>
          <w:lang w:val="en-US" w:eastAsia="x-none"/>
        </w:rPr>
        <w:t>s</w:t>
      </w:r>
      <w:r w:rsidRPr="00ED4D49">
        <w:rPr>
          <w:bCs/>
          <w:lang w:val="en-US" w:eastAsia="x-none"/>
        </w:rPr>
        <w:t xml:space="preserve"> that a</w:t>
      </w:r>
      <w:r w:rsidR="0063606C" w:rsidRPr="00ED4D49">
        <w:rPr>
          <w:bCs/>
          <w:lang w:val="en-US" w:eastAsia="x-none"/>
        </w:rPr>
        <w:t xml:space="preserve"> </w:t>
      </w:r>
      <w:r w:rsidR="0099422A" w:rsidRPr="00ED4D49">
        <w:rPr>
          <w:bCs/>
          <w:lang w:val="en-US" w:eastAsia="x-none"/>
        </w:rPr>
        <w:t>subproject</w:t>
      </w:r>
      <w:r w:rsidR="00E610AB" w:rsidRPr="00ED4D49">
        <w:rPr>
          <w:bCs/>
          <w:lang w:val="en-US" w:eastAsia="x-none"/>
        </w:rPr>
        <w:t xml:space="preserve"> </w:t>
      </w:r>
      <w:r w:rsidRPr="00ED4D49">
        <w:rPr>
          <w:bCs/>
          <w:lang w:val="en-US" w:eastAsia="x-none"/>
        </w:rPr>
        <w:t>is high risk and requires</w:t>
      </w:r>
      <w:r w:rsidR="00E610AB" w:rsidRPr="00ED4D49">
        <w:rPr>
          <w:bCs/>
          <w:lang w:val="en-US" w:eastAsia="x-none"/>
        </w:rPr>
        <w:t xml:space="preserve"> the</w:t>
      </w:r>
      <w:r w:rsidRPr="00ED4D49">
        <w:rPr>
          <w:bCs/>
          <w:lang w:val="en-US" w:eastAsia="x-none"/>
        </w:rPr>
        <w:t xml:space="preserve"> development of an ESIA according to WB standards (Step 1), the WB ESIA study can be used in the entity/BD EIA procedure.</w:t>
      </w:r>
      <w:r w:rsidR="00193EC7" w:rsidRPr="00ED4D49">
        <w:rPr>
          <w:bCs/>
          <w:lang w:val="en-US" w:eastAsia="x-none"/>
        </w:rPr>
        <w:t xml:space="preserve"> </w:t>
      </w:r>
    </w:p>
    <w:p w14:paraId="2C311CF1" w14:textId="73B948CF" w:rsidR="001F2008" w:rsidRPr="00ED4D49" w:rsidRDefault="00193EC7" w:rsidP="001F2008">
      <w:pPr>
        <w:jc w:val="both"/>
        <w:rPr>
          <w:bCs/>
          <w:lang w:val="en-US" w:eastAsia="x-none"/>
        </w:rPr>
      </w:pPr>
      <w:r w:rsidRPr="00ED4D49">
        <w:rPr>
          <w:bCs/>
          <w:lang w:val="en-US" w:eastAsia="x-none"/>
        </w:rPr>
        <w:t xml:space="preserve">For </w:t>
      </w:r>
      <w:r w:rsidR="00BB3655" w:rsidRPr="00ED4D49">
        <w:rPr>
          <w:bCs/>
          <w:lang w:val="en-US" w:eastAsia="x-none"/>
        </w:rPr>
        <w:t>subprojects</w:t>
      </w:r>
      <w:r w:rsidRPr="00ED4D49">
        <w:rPr>
          <w:bCs/>
          <w:lang w:val="en-US" w:eastAsia="x-none"/>
        </w:rPr>
        <w:t xml:space="preserve"> </w:t>
      </w:r>
      <w:r w:rsidR="00E610AB" w:rsidRPr="00ED4D49">
        <w:rPr>
          <w:bCs/>
          <w:lang w:val="en-US" w:eastAsia="x-none"/>
        </w:rPr>
        <w:t>for which</w:t>
      </w:r>
      <w:r w:rsidRPr="00ED4D49">
        <w:rPr>
          <w:bCs/>
          <w:lang w:val="en-US" w:eastAsia="x-none"/>
        </w:rPr>
        <w:t xml:space="preserve"> the Bank requires </w:t>
      </w:r>
      <w:r w:rsidR="00E610AB" w:rsidRPr="00ED4D49">
        <w:rPr>
          <w:bCs/>
          <w:lang w:val="en-US" w:eastAsia="x-none"/>
        </w:rPr>
        <w:t xml:space="preserve">the </w:t>
      </w:r>
      <w:r w:rsidRPr="00ED4D49">
        <w:rPr>
          <w:bCs/>
          <w:lang w:val="en-US" w:eastAsia="x-none"/>
        </w:rPr>
        <w:t xml:space="preserve">development of </w:t>
      </w:r>
      <w:r w:rsidR="00E610AB" w:rsidRPr="00ED4D49">
        <w:rPr>
          <w:bCs/>
          <w:lang w:val="en-US" w:eastAsia="x-none"/>
        </w:rPr>
        <w:t>a</w:t>
      </w:r>
      <w:r w:rsidRPr="00ED4D49">
        <w:rPr>
          <w:bCs/>
          <w:lang w:val="en-US" w:eastAsia="x-none"/>
        </w:rPr>
        <w:t xml:space="preserve"> site-specific ESMP, the ESMP requirements shall be integrated in</w:t>
      </w:r>
      <w:r w:rsidR="00E610AB" w:rsidRPr="00ED4D49">
        <w:rPr>
          <w:bCs/>
          <w:lang w:val="en-US" w:eastAsia="x-none"/>
        </w:rPr>
        <w:t xml:space="preserve"> the</w:t>
      </w:r>
      <w:r w:rsidRPr="00ED4D49">
        <w:rPr>
          <w:bCs/>
          <w:lang w:val="en-US" w:eastAsia="x-none"/>
        </w:rPr>
        <w:t xml:space="preserve"> environmental documentation submitted to responsible authorities.</w:t>
      </w:r>
    </w:p>
    <w:p w14:paraId="262B2E01" w14:textId="77777777" w:rsidR="00420C76" w:rsidRPr="00ED4D49" w:rsidRDefault="00420C76" w:rsidP="001F2008">
      <w:pPr>
        <w:jc w:val="both"/>
        <w:rPr>
          <w:bCs/>
          <w:lang w:val="en-US" w:eastAsia="x-none"/>
        </w:rPr>
      </w:pPr>
    </w:p>
    <w:tbl>
      <w:tblPr>
        <w:tblStyle w:val="TableGridLight"/>
        <w:tblW w:w="9067" w:type="dxa"/>
        <w:tblLook w:val="04A0" w:firstRow="1" w:lastRow="0" w:firstColumn="1" w:lastColumn="0" w:noHBand="0" w:noVBand="1"/>
      </w:tblPr>
      <w:tblGrid>
        <w:gridCol w:w="2484"/>
        <w:gridCol w:w="4457"/>
        <w:gridCol w:w="2126"/>
      </w:tblGrid>
      <w:tr w:rsidR="004C3C6A" w:rsidRPr="00ED4D49" w14:paraId="3132FB61" w14:textId="77777777" w:rsidTr="001229F1">
        <w:trPr>
          <w:tblHeader/>
        </w:trPr>
        <w:tc>
          <w:tcPr>
            <w:tcW w:w="2484" w:type="dxa"/>
          </w:tcPr>
          <w:p w14:paraId="32649392" w14:textId="77777777" w:rsidR="004C3C6A" w:rsidRPr="00ED4D49" w:rsidRDefault="004C3C6A" w:rsidP="001229F1">
            <w:pPr>
              <w:spacing w:beforeLines="60" w:before="144" w:afterLines="60" w:after="144" w:line="240" w:lineRule="auto"/>
              <w:ind w:right="144"/>
              <w:rPr>
                <w:rFonts w:cs="Calibri"/>
                <w:color w:val="336699"/>
                <w:sz w:val="16"/>
                <w:szCs w:val="16"/>
                <w:lang w:val="en-US"/>
              </w:rPr>
            </w:pPr>
            <w:r w:rsidRPr="00ED4D49">
              <w:rPr>
                <w:rFonts w:cs="Calibri"/>
                <w:color w:val="336699"/>
                <w:sz w:val="16"/>
                <w:szCs w:val="16"/>
                <w:lang w:val="en-US"/>
              </w:rPr>
              <w:t>Type of activities</w:t>
            </w:r>
          </w:p>
        </w:tc>
        <w:tc>
          <w:tcPr>
            <w:tcW w:w="4457" w:type="dxa"/>
          </w:tcPr>
          <w:p w14:paraId="577E24B9" w14:textId="77777777" w:rsidR="004C3C6A" w:rsidRPr="00ED4D49" w:rsidRDefault="004C3C6A" w:rsidP="001229F1">
            <w:pPr>
              <w:spacing w:beforeLines="60" w:before="144" w:afterLines="60" w:after="144" w:line="240" w:lineRule="auto"/>
              <w:ind w:right="144"/>
              <w:rPr>
                <w:rFonts w:cs="Calibri"/>
                <w:color w:val="336699"/>
                <w:sz w:val="16"/>
                <w:szCs w:val="16"/>
                <w:lang w:val="en-US"/>
              </w:rPr>
            </w:pPr>
            <w:r w:rsidRPr="00ED4D49">
              <w:rPr>
                <w:rFonts w:cs="Calibri"/>
                <w:color w:val="336699"/>
                <w:sz w:val="16"/>
                <w:szCs w:val="16"/>
                <w:lang w:val="en-US"/>
              </w:rPr>
              <w:t>Action to be taken</w:t>
            </w:r>
          </w:p>
        </w:tc>
        <w:tc>
          <w:tcPr>
            <w:tcW w:w="2126" w:type="dxa"/>
          </w:tcPr>
          <w:p w14:paraId="1D53C180" w14:textId="77777777" w:rsidR="004C3C6A" w:rsidRPr="00ED4D49" w:rsidRDefault="004C3C6A" w:rsidP="001229F1">
            <w:pPr>
              <w:spacing w:beforeLines="60" w:before="144" w:afterLines="60" w:after="144" w:line="240" w:lineRule="auto"/>
              <w:ind w:right="144"/>
              <w:rPr>
                <w:rFonts w:cs="Calibri"/>
                <w:color w:val="336699"/>
                <w:sz w:val="16"/>
                <w:szCs w:val="16"/>
                <w:lang w:val="en-US"/>
              </w:rPr>
            </w:pPr>
            <w:r w:rsidRPr="00ED4D49">
              <w:rPr>
                <w:rFonts w:cs="Calibri"/>
                <w:color w:val="336699"/>
                <w:sz w:val="16"/>
                <w:szCs w:val="16"/>
                <w:lang w:val="en-US"/>
              </w:rPr>
              <w:t>Result of the action</w:t>
            </w:r>
          </w:p>
        </w:tc>
      </w:tr>
      <w:tr w:rsidR="004C3C6A" w:rsidRPr="00ED4D49" w14:paraId="04F70740" w14:textId="77777777" w:rsidTr="001229F1">
        <w:tc>
          <w:tcPr>
            <w:tcW w:w="2484" w:type="dxa"/>
          </w:tcPr>
          <w:p w14:paraId="0BE294B4" w14:textId="77777777" w:rsidR="004C3C6A" w:rsidRPr="00ED4D49" w:rsidRDefault="004C3C6A" w:rsidP="001229F1">
            <w:pPr>
              <w:widowControl w:val="0"/>
              <w:autoSpaceDE w:val="0"/>
              <w:autoSpaceDN w:val="0"/>
              <w:adjustRightInd w:val="0"/>
              <w:spacing w:before="0" w:afterLines="60" w:after="144" w:line="240" w:lineRule="auto"/>
              <w:rPr>
                <w:rFonts w:asciiTheme="minorHAnsi" w:hAnsiTheme="minorHAnsi"/>
                <w:color w:val="0D0D0D" w:themeColor="text1" w:themeTint="F2"/>
                <w:sz w:val="16"/>
                <w:szCs w:val="16"/>
                <w:lang w:val="en-US"/>
              </w:rPr>
            </w:pPr>
            <w:r w:rsidRPr="00ED4D49">
              <w:rPr>
                <w:rFonts w:asciiTheme="minorHAnsi" w:hAnsiTheme="minorHAnsi"/>
                <w:color w:val="0D0D0D" w:themeColor="text1" w:themeTint="F2"/>
                <w:sz w:val="16"/>
                <w:szCs w:val="16"/>
                <w:lang w:val="en-US"/>
              </w:rPr>
              <w:t>Flood protection structures</w:t>
            </w:r>
          </w:p>
        </w:tc>
        <w:tc>
          <w:tcPr>
            <w:tcW w:w="4457" w:type="dxa"/>
          </w:tcPr>
          <w:p w14:paraId="0E6F766A" w14:textId="77777777" w:rsidR="004C3C6A" w:rsidRPr="00ED4D49" w:rsidRDefault="004C3C6A" w:rsidP="001229F1">
            <w:pPr>
              <w:pStyle w:val="ListParagraph"/>
              <w:widowControl w:val="0"/>
              <w:autoSpaceDE w:val="0"/>
              <w:autoSpaceDN w:val="0"/>
              <w:adjustRightInd w:val="0"/>
              <w:spacing w:before="0" w:afterLines="60" w:after="144" w:line="240" w:lineRule="auto"/>
              <w:ind w:left="0"/>
              <w:rPr>
                <w:rFonts w:asciiTheme="minorHAnsi" w:hAnsiTheme="minorHAnsi"/>
                <w:color w:val="0D0D0D" w:themeColor="text1" w:themeTint="F2"/>
                <w:sz w:val="16"/>
                <w:szCs w:val="16"/>
              </w:rPr>
            </w:pPr>
            <w:r w:rsidRPr="00ED4D49">
              <w:rPr>
                <w:rFonts w:asciiTheme="minorHAnsi" w:hAnsiTheme="minorHAnsi"/>
                <w:color w:val="0D0D0D" w:themeColor="text1" w:themeTint="F2"/>
                <w:sz w:val="16"/>
                <w:szCs w:val="16"/>
              </w:rPr>
              <w:t>In FBiH and BD, prepare a Request for environmental permit and submit it to FMET or DSPPA BD, depending on the project location. Based on the Request, the responsible institution will decide on the necessity to conduct a full EIA in case of which an EIA study will be requested. The responsible institution will issue the environmental permit based on the Request or full EIA study, whichever is required by the procedure.</w:t>
            </w:r>
          </w:p>
          <w:p w14:paraId="651E7CC0" w14:textId="77777777" w:rsidR="004C3C6A" w:rsidRPr="00ED4D49" w:rsidRDefault="004C3C6A" w:rsidP="001229F1">
            <w:pPr>
              <w:pStyle w:val="ListParagraph"/>
              <w:widowControl w:val="0"/>
              <w:autoSpaceDE w:val="0"/>
              <w:autoSpaceDN w:val="0"/>
              <w:adjustRightInd w:val="0"/>
              <w:spacing w:before="0" w:afterLines="60" w:after="144" w:line="240" w:lineRule="auto"/>
              <w:ind w:left="0"/>
              <w:rPr>
                <w:rFonts w:asciiTheme="minorHAnsi" w:hAnsiTheme="minorHAnsi"/>
                <w:color w:val="0D0D0D" w:themeColor="text1" w:themeTint="F2"/>
                <w:sz w:val="16"/>
                <w:szCs w:val="16"/>
              </w:rPr>
            </w:pPr>
          </w:p>
          <w:p w14:paraId="5DA4AD16" w14:textId="77777777" w:rsidR="004C3C6A" w:rsidRPr="00ED4D49" w:rsidRDefault="004C3C6A" w:rsidP="001229F1">
            <w:pPr>
              <w:pStyle w:val="ListParagraph"/>
              <w:widowControl w:val="0"/>
              <w:autoSpaceDE w:val="0"/>
              <w:autoSpaceDN w:val="0"/>
              <w:adjustRightInd w:val="0"/>
              <w:spacing w:before="0" w:afterLines="60" w:after="144" w:line="240" w:lineRule="auto"/>
              <w:ind w:left="0"/>
              <w:rPr>
                <w:rFonts w:asciiTheme="minorHAnsi" w:hAnsiTheme="minorHAnsi"/>
                <w:color w:val="0D0D0D" w:themeColor="text1" w:themeTint="F2"/>
                <w:sz w:val="16"/>
                <w:szCs w:val="16"/>
              </w:rPr>
            </w:pPr>
            <w:r w:rsidRPr="00ED4D49">
              <w:rPr>
                <w:rFonts w:asciiTheme="minorHAnsi" w:hAnsiTheme="minorHAnsi"/>
                <w:color w:val="0D0D0D" w:themeColor="text1" w:themeTint="F2"/>
                <w:sz w:val="16"/>
                <w:szCs w:val="16"/>
              </w:rPr>
              <w:lastRenderedPageBreak/>
              <w:t xml:space="preserve">In RS, prepare an </w:t>
            </w:r>
            <w:proofErr w:type="gramStart"/>
            <w:r w:rsidRPr="00ED4D49">
              <w:rPr>
                <w:rFonts w:asciiTheme="minorHAnsi" w:hAnsiTheme="minorHAnsi"/>
                <w:color w:val="0D0D0D" w:themeColor="text1" w:themeTint="F2"/>
                <w:sz w:val="16"/>
                <w:szCs w:val="16"/>
              </w:rPr>
              <w:t>Application</w:t>
            </w:r>
            <w:proofErr w:type="gramEnd"/>
            <w:r w:rsidRPr="00ED4D49">
              <w:rPr>
                <w:rFonts w:asciiTheme="minorHAnsi" w:hAnsiTheme="minorHAnsi"/>
                <w:color w:val="0D0D0D" w:themeColor="text1" w:themeTint="F2"/>
                <w:sz w:val="16"/>
                <w:szCs w:val="16"/>
              </w:rPr>
              <w:t xml:space="preserve"> for preliminary EIA and submit it to RS MPPCEE. Based on the Application, the ministry will decide on the necessity to conduct a full EIA in case of which an EIA study will be requested. The responsible institution will issue the environmental permit based on the Request or full EIA study, whichever is required by the procedure.</w:t>
            </w:r>
          </w:p>
        </w:tc>
        <w:tc>
          <w:tcPr>
            <w:tcW w:w="2126" w:type="dxa"/>
          </w:tcPr>
          <w:p w14:paraId="11910EF2" w14:textId="77777777" w:rsidR="004C3C6A" w:rsidRPr="00ED4D49" w:rsidRDefault="004C3C6A" w:rsidP="001229F1">
            <w:pPr>
              <w:pStyle w:val="ListParagraph"/>
              <w:widowControl w:val="0"/>
              <w:autoSpaceDE w:val="0"/>
              <w:autoSpaceDN w:val="0"/>
              <w:adjustRightInd w:val="0"/>
              <w:spacing w:before="0" w:afterLines="60" w:after="144" w:line="240" w:lineRule="auto"/>
              <w:ind w:left="0"/>
              <w:contextualSpacing w:val="0"/>
              <w:rPr>
                <w:rFonts w:asciiTheme="minorHAnsi" w:hAnsiTheme="minorHAnsi"/>
                <w:color w:val="0D0D0D" w:themeColor="text1" w:themeTint="F2"/>
                <w:sz w:val="16"/>
                <w:szCs w:val="16"/>
              </w:rPr>
            </w:pPr>
            <w:r w:rsidRPr="00ED4D49">
              <w:rPr>
                <w:rFonts w:asciiTheme="minorHAnsi" w:hAnsiTheme="minorHAnsi"/>
                <w:color w:val="0D0D0D" w:themeColor="text1" w:themeTint="F2"/>
                <w:sz w:val="16"/>
                <w:szCs w:val="16"/>
              </w:rPr>
              <w:lastRenderedPageBreak/>
              <w:t>Obtained environmental permit</w:t>
            </w:r>
          </w:p>
        </w:tc>
      </w:tr>
      <w:tr w:rsidR="008542DC" w:rsidRPr="00ED4D49" w14:paraId="061CB4A3" w14:textId="77777777" w:rsidTr="001229F1">
        <w:tc>
          <w:tcPr>
            <w:tcW w:w="2484" w:type="dxa"/>
          </w:tcPr>
          <w:p w14:paraId="40148A2A" w14:textId="77777777" w:rsidR="00E3196D" w:rsidRPr="00ED4D49" w:rsidRDefault="008542DC" w:rsidP="008542DC">
            <w:pPr>
              <w:widowControl w:val="0"/>
              <w:autoSpaceDE w:val="0"/>
              <w:autoSpaceDN w:val="0"/>
              <w:adjustRightInd w:val="0"/>
              <w:spacing w:before="0" w:afterLines="60" w:after="144" w:line="240" w:lineRule="auto"/>
              <w:rPr>
                <w:bCs/>
                <w:sz w:val="16"/>
                <w:szCs w:val="16"/>
              </w:rPr>
            </w:pPr>
            <w:r w:rsidRPr="00ED4D49">
              <w:rPr>
                <w:bCs/>
                <w:sz w:val="16"/>
                <w:szCs w:val="16"/>
              </w:rPr>
              <w:t>Solid waste management and protection of air, water and soil of the Sava Corridor in the Brčko District</w:t>
            </w:r>
          </w:p>
          <w:p w14:paraId="46C7ABAE" w14:textId="400DEF47" w:rsidR="008542DC" w:rsidRPr="00ED4D49" w:rsidRDefault="008542DC" w:rsidP="008542DC">
            <w:pPr>
              <w:widowControl w:val="0"/>
              <w:autoSpaceDE w:val="0"/>
              <w:autoSpaceDN w:val="0"/>
              <w:adjustRightInd w:val="0"/>
              <w:spacing w:before="0" w:afterLines="60" w:after="144" w:line="240" w:lineRule="auto"/>
              <w:rPr>
                <w:rFonts w:asciiTheme="minorHAnsi" w:hAnsiTheme="minorHAnsi"/>
                <w:color w:val="0D0D0D" w:themeColor="text1" w:themeTint="F2"/>
                <w:sz w:val="16"/>
                <w:szCs w:val="16"/>
                <w:lang w:val="en-US"/>
              </w:rPr>
            </w:pPr>
            <w:r w:rsidRPr="00ED4D49">
              <w:rPr>
                <w:bCs/>
                <w:sz w:val="16"/>
                <w:szCs w:val="16"/>
              </w:rPr>
              <w:t xml:space="preserve"> </w:t>
            </w:r>
            <w:r w:rsidR="00E3196D" w:rsidRPr="00ED4D49">
              <w:rPr>
                <w:bCs/>
                <w:sz w:val="16"/>
                <w:szCs w:val="16"/>
              </w:rPr>
              <w:t>C</w:t>
            </w:r>
            <w:r w:rsidRPr="00ED4D49">
              <w:rPr>
                <w:bCs/>
                <w:sz w:val="16"/>
                <w:szCs w:val="16"/>
              </w:rPr>
              <w:t>ross-border cooperation through tourism promotion (cycling and pathway on the Sava River)</w:t>
            </w:r>
          </w:p>
        </w:tc>
        <w:tc>
          <w:tcPr>
            <w:tcW w:w="4457" w:type="dxa"/>
          </w:tcPr>
          <w:p w14:paraId="7511FF62" w14:textId="712122EF" w:rsidR="008542DC" w:rsidRPr="00ED4D49" w:rsidRDefault="008542DC" w:rsidP="008542DC">
            <w:pPr>
              <w:pStyle w:val="ListParagraph"/>
              <w:widowControl w:val="0"/>
              <w:autoSpaceDE w:val="0"/>
              <w:autoSpaceDN w:val="0"/>
              <w:adjustRightInd w:val="0"/>
              <w:spacing w:before="0" w:afterLines="60" w:after="144" w:line="240" w:lineRule="auto"/>
              <w:ind w:left="0"/>
              <w:rPr>
                <w:rFonts w:asciiTheme="minorHAnsi" w:hAnsiTheme="minorHAnsi"/>
                <w:color w:val="0D0D0D" w:themeColor="text1" w:themeTint="F2"/>
                <w:sz w:val="16"/>
                <w:szCs w:val="16"/>
              </w:rPr>
            </w:pPr>
            <w:r w:rsidRPr="00ED4D49">
              <w:rPr>
                <w:rFonts w:asciiTheme="minorHAnsi" w:hAnsiTheme="minorHAnsi"/>
                <w:color w:val="0D0D0D" w:themeColor="text1" w:themeTint="F2"/>
                <w:sz w:val="16"/>
                <w:szCs w:val="16"/>
              </w:rPr>
              <w:t>In Brčko District, prepare a Request for environmental permit and submit it to DSPPA BD, depending on the project location. Based on the Request, the responsible institution will decide on the necessity to conduct a full EIA in case of which an EIA study will be requested. The responsible institution will issue the environmental permit based on the Request or full EIA study, whichever is required by the procedure.</w:t>
            </w:r>
          </w:p>
        </w:tc>
        <w:tc>
          <w:tcPr>
            <w:tcW w:w="2126" w:type="dxa"/>
          </w:tcPr>
          <w:p w14:paraId="4E7F5640" w14:textId="4E694B9F" w:rsidR="008542DC" w:rsidRPr="00ED4D49" w:rsidRDefault="008542DC" w:rsidP="008542DC">
            <w:pPr>
              <w:pStyle w:val="ListParagraph"/>
              <w:widowControl w:val="0"/>
              <w:autoSpaceDE w:val="0"/>
              <w:autoSpaceDN w:val="0"/>
              <w:adjustRightInd w:val="0"/>
              <w:spacing w:before="0" w:afterLines="60" w:after="144" w:line="240" w:lineRule="auto"/>
              <w:ind w:left="0"/>
              <w:contextualSpacing w:val="0"/>
              <w:rPr>
                <w:rFonts w:asciiTheme="minorHAnsi" w:hAnsiTheme="minorHAnsi"/>
                <w:color w:val="0D0D0D" w:themeColor="text1" w:themeTint="F2"/>
                <w:sz w:val="16"/>
                <w:szCs w:val="16"/>
              </w:rPr>
            </w:pPr>
            <w:r w:rsidRPr="00ED4D49">
              <w:rPr>
                <w:rFonts w:asciiTheme="minorHAnsi" w:hAnsiTheme="minorHAnsi"/>
                <w:color w:val="0D0D0D" w:themeColor="text1" w:themeTint="F2"/>
                <w:sz w:val="16"/>
                <w:szCs w:val="16"/>
              </w:rPr>
              <w:t>Obtained environmental permit</w:t>
            </w:r>
          </w:p>
        </w:tc>
      </w:tr>
      <w:tr w:rsidR="004E6A8F" w:rsidRPr="00ED4D49" w14:paraId="6A6057E5" w14:textId="77777777" w:rsidTr="001229F1">
        <w:tc>
          <w:tcPr>
            <w:tcW w:w="2484" w:type="dxa"/>
          </w:tcPr>
          <w:p w14:paraId="07302DC3" w14:textId="6688B410" w:rsidR="004E6A8F" w:rsidRPr="00ED4D49" w:rsidRDefault="004E6A8F" w:rsidP="008542DC">
            <w:pPr>
              <w:widowControl w:val="0"/>
              <w:autoSpaceDE w:val="0"/>
              <w:autoSpaceDN w:val="0"/>
              <w:adjustRightInd w:val="0"/>
              <w:spacing w:before="0" w:afterLines="60" w:after="144" w:line="240" w:lineRule="auto"/>
              <w:rPr>
                <w:bCs/>
                <w:sz w:val="16"/>
                <w:szCs w:val="16"/>
                <w:lang w:val="en-US"/>
              </w:rPr>
            </w:pPr>
            <w:r w:rsidRPr="00ED4D49">
              <w:rPr>
                <w:bCs/>
                <w:sz w:val="16"/>
                <w:szCs w:val="16"/>
                <w:lang w:val="en-US"/>
              </w:rPr>
              <w:t xml:space="preserve">Rehabilitation of </w:t>
            </w:r>
            <w:proofErr w:type="spellStart"/>
            <w:r w:rsidRPr="00ED4D49">
              <w:rPr>
                <w:bCs/>
                <w:sz w:val="16"/>
                <w:szCs w:val="16"/>
                <w:lang w:val="en-US"/>
              </w:rPr>
              <w:t>Modrac</w:t>
            </w:r>
            <w:proofErr w:type="spellEnd"/>
            <w:r w:rsidRPr="00ED4D49">
              <w:rPr>
                <w:bCs/>
                <w:sz w:val="16"/>
                <w:szCs w:val="16"/>
                <w:lang w:val="en-US"/>
              </w:rPr>
              <w:t xml:space="preserve"> lake dam – IV phase</w:t>
            </w:r>
          </w:p>
        </w:tc>
        <w:tc>
          <w:tcPr>
            <w:tcW w:w="4457" w:type="dxa"/>
          </w:tcPr>
          <w:p w14:paraId="5E584DEE" w14:textId="77777777" w:rsidR="004E6A8F" w:rsidRPr="00ED4D49" w:rsidRDefault="004E6A8F" w:rsidP="008542DC">
            <w:pPr>
              <w:pStyle w:val="ListParagraph"/>
              <w:widowControl w:val="0"/>
              <w:autoSpaceDE w:val="0"/>
              <w:autoSpaceDN w:val="0"/>
              <w:adjustRightInd w:val="0"/>
              <w:spacing w:before="0" w:afterLines="60" w:after="144" w:line="240" w:lineRule="auto"/>
              <w:ind w:left="0"/>
              <w:rPr>
                <w:rFonts w:asciiTheme="minorHAnsi" w:hAnsiTheme="minorHAnsi"/>
                <w:color w:val="0D0D0D" w:themeColor="text1" w:themeTint="F2"/>
                <w:sz w:val="16"/>
                <w:szCs w:val="16"/>
              </w:rPr>
            </w:pPr>
          </w:p>
        </w:tc>
        <w:tc>
          <w:tcPr>
            <w:tcW w:w="2126" w:type="dxa"/>
          </w:tcPr>
          <w:p w14:paraId="7CB29739" w14:textId="0CB3F407" w:rsidR="004E6A8F" w:rsidRPr="00ED4D49" w:rsidRDefault="004E6A8F" w:rsidP="008542DC">
            <w:pPr>
              <w:pStyle w:val="ListParagraph"/>
              <w:widowControl w:val="0"/>
              <w:autoSpaceDE w:val="0"/>
              <w:autoSpaceDN w:val="0"/>
              <w:adjustRightInd w:val="0"/>
              <w:spacing w:before="0" w:afterLines="60" w:after="144" w:line="240" w:lineRule="auto"/>
              <w:ind w:left="0"/>
              <w:contextualSpacing w:val="0"/>
              <w:rPr>
                <w:rFonts w:asciiTheme="minorHAnsi" w:hAnsiTheme="minorHAnsi"/>
                <w:color w:val="0D0D0D" w:themeColor="text1" w:themeTint="F2"/>
                <w:sz w:val="16"/>
                <w:szCs w:val="16"/>
              </w:rPr>
            </w:pPr>
            <w:r w:rsidRPr="00ED4D49">
              <w:rPr>
                <w:rFonts w:asciiTheme="minorHAnsi" w:hAnsiTheme="minorHAnsi"/>
                <w:color w:val="0D0D0D" w:themeColor="text1" w:themeTint="F2"/>
                <w:sz w:val="16"/>
                <w:szCs w:val="16"/>
              </w:rPr>
              <w:t>Obtained environmental permit</w:t>
            </w:r>
          </w:p>
        </w:tc>
      </w:tr>
      <w:tr w:rsidR="008542DC" w:rsidRPr="00ED4D49" w14:paraId="33647D15" w14:textId="77777777" w:rsidTr="001229F1">
        <w:tc>
          <w:tcPr>
            <w:tcW w:w="2484" w:type="dxa"/>
          </w:tcPr>
          <w:p w14:paraId="13DDD19C" w14:textId="77777777" w:rsidR="008542DC" w:rsidRPr="00ED4D49" w:rsidRDefault="008542DC" w:rsidP="008542DC">
            <w:pPr>
              <w:widowControl w:val="0"/>
              <w:autoSpaceDE w:val="0"/>
              <w:autoSpaceDN w:val="0"/>
              <w:adjustRightInd w:val="0"/>
              <w:spacing w:before="0" w:afterLines="60" w:after="144" w:line="240" w:lineRule="auto"/>
              <w:rPr>
                <w:rFonts w:asciiTheme="minorHAnsi" w:hAnsiTheme="minorHAnsi"/>
                <w:color w:val="0D0D0D" w:themeColor="text1" w:themeTint="F2"/>
                <w:sz w:val="16"/>
                <w:szCs w:val="16"/>
                <w:lang w:val="en-US"/>
              </w:rPr>
            </w:pPr>
            <w:r w:rsidRPr="00ED4D49">
              <w:rPr>
                <w:bCs/>
                <w:sz w:val="16"/>
                <w:szCs w:val="16"/>
                <w:lang w:val="en-US"/>
              </w:rPr>
              <w:t>Nursery production, reforestation, arboretum establishment</w:t>
            </w:r>
          </w:p>
        </w:tc>
        <w:tc>
          <w:tcPr>
            <w:tcW w:w="4457" w:type="dxa"/>
          </w:tcPr>
          <w:p w14:paraId="3FBEF95B" w14:textId="77777777" w:rsidR="008542DC" w:rsidRPr="00ED4D49" w:rsidRDefault="008542DC" w:rsidP="008542DC">
            <w:pPr>
              <w:pStyle w:val="ListParagraph"/>
              <w:widowControl w:val="0"/>
              <w:autoSpaceDE w:val="0"/>
              <w:autoSpaceDN w:val="0"/>
              <w:adjustRightInd w:val="0"/>
              <w:spacing w:before="0" w:afterLines="60" w:after="144" w:line="240" w:lineRule="auto"/>
              <w:ind w:left="0"/>
              <w:rPr>
                <w:rFonts w:asciiTheme="minorHAnsi" w:hAnsiTheme="minorHAnsi"/>
                <w:color w:val="0D0D0D" w:themeColor="text1" w:themeTint="F2"/>
                <w:sz w:val="16"/>
                <w:szCs w:val="16"/>
              </w:rPr>
            </w:pPr>
            <w:r w:rsidRPr="00ED4D49">
              <w:rPr>
                <w:rFonts w:asciiTheme="minorHAnsi" w:hAnsiTheme="minorHAnsi"/>
                <w:color w:val="0D0D0D" w:themeColor="text1" w:themeTint="F2"/>
                <w:sz w:val="16"/>
                <w:szCs w:val="16"/>
              </w:rPr>
              <w:t>No action needed</w:t>
            </w:r>
          </w:p>
        </w:tc>
        <w:tc>
          <w:tcPr>
            <w:tcW w:w="2126" w:type="dxa"/>
          </w:tcPr>
          <w:p w14:paraId="1C70EDEE" w14:textId="77777777" w:rsidR="008542DC" w:rsidRPr="00ED4D49" w:rsidRDefault="008542DC" w:rsidP="008542DC">
            <w:pPr>
              <w:pStyle w:val="ListParagraph"/>
              <w:widowControl w:val="0"/>
              <w:autoSpaceDE w:val="0"/>
              <w:autoSpaceDN w:val="0"/>
              <w:adjustRightInd w:val="0"/>
              <w:spacing w:before="0" w:afterLines="60" w:after="144" w:line="240" w:lineRule="auto"/>
              <w:ind w:left="0"/>
              <w:contextualSpacing w:val="0"/>
              <w:rPr>
                <w:rFonts w:asciiTheme="minorHAnsi" w:hAnsiTheme="minorHAnsi"/>
                <w:color w:val="0D0D0D" w:themeColor="text1" w:themeTint="F2"/>
                <w:sz w:val="16"/>
                <w:szCs w:val="16"/>
              </w:rPr>
            </w:pPr>
            <w:r w:rsidRPr="00ED4D49">
              <w:rPr>
                <w:rFonts w:asciiTheme="minorHAnsi" w:hAnsiTheme="minorHAnsi"/>
                <w:color w:val="0D0D0D" w:themeColor="text1" w:themeTint="F2"/>
                <w:sz w:val="16"/>
                <w:szCs w:val="16"/>
              </w:rPr>
              <w:t>-</w:t>
            </w:r>
          </w:p>
        </w:tc>
      </w:tr>
      <w:tr w:rsidR="008542DC" w:rsidRPr="00ED4D49" w14:paraId="76B8F4E4" w14:textId="77777777" w:rsidTr="001229F1">
        <w:tc>
          <w:tcPr>
            <w:tcW w:w="2484" w:type="dxa"/>
          </w:tcPr>
          <w:p w14:paraId="311F5C41" w14:textId="77777777" w:rsidR="008542DC" w:rsidRPr="00ED4D49" w:rsidRDefault="008542DC" w:rsidP="008542DC">
            <w:pPr>
              <w:widowControl w:val="0"/>
              <w:autoSpaceDE w:val="0"/>
              <w:autoSpaceDN w:val="0"/>
              <w:adjustRightInd w:val="0"/>
              <w:spacing w:before="0" w:afterLines="60" w:after="144" w:line="240" w:lineRule="auto"/>
              <w:rPr>
                <w:rFonts w:asciiTheme="minorHAnsi" w:hAnsiTheme="minorHAnsi"/>
                <w:color w:val="0D0D0D" w:themeColor="text1" w:themeTint="F2"/>
                <w:sz w:val="16"/>
                <w:szCs w:val="16"/>
                <w:lang w:val="en-US"/>
              </w:rPr>
            </w:pPr>
            <w:r w:rsidRPr="00ED4D49">
              <w:rPr>
                <w:bCs/>
                <w:sz w:val="16"/>
                <w:szCs w:val="16"/>
                <w:lang w:val="en-US"/>
              </w:rPr>
              <w:t>Demining activities along the Sava Right bank within BiH</w:t>
            </w:r>
          </w:p>
        </w:tc>
        <w:tc>
          <w:tcPr>
            <w:tcW w:w="4457" w:type="dxa"/>
          </w:tcPr>
          <w:p w14:paraId="1B230A59" w14:textId="77777777" w:rsidR="008542DC" w:rsidRPr="00ED4D49" w:rsidRDefault="008542DC" w:rsidP="008542DC">
            <w:pPr>
              <w:pStyle w:val="ListParagraph"/>
              <w:widowControl w:val="0"/>
              <w:autoSpaceDE w:val="0"/>
              <w:autoSpaceDN w:val="0"/>
              <w:adjustRightInd w:val="0"/>
              <w:spacing w:before="0" w:afterLines="60" w:after="144" w:line="240" w:lineRule="auto"/>
              <w:ind w:left="0"/>
              <w:rPr>
                <w:rFonts w:asciiTheme="minorHAnsi" w:hAnsiTheme="minorHAnsi"/>
                <w:color w:val="0D0D0D" w:themeColor="text1" w:themeTint="F2"/>
                <w:sz w:val="16"/>
                <w:szCs w:val="16"/>
              </w:rPr>
            </w:pPr>
            <w:r w:rsidRPr="00ED4D49">
              <w:rPr>
                <w:rFonts w:asciiTheme="minorHAnsi" w:hAnsiTheme="minorHAnsi"/>
                <w:color w:val="0D0D0D" w:themeColor="text1" w:themeTint="F2"/>
                <w:sz w:val="16"/>
                <w:szCs w:val="16"/>
              </w:rPr>
              <w:t>No action needed</w:t>
            </w:r>
          </w:p>
        </w:tc>
        <w:tc>
          <w:tcPr>
            <w:tcW w:w="2126" w:type="dxa"/>
          </w:tcPr>
          <w:p w14:paraId="2A50BEEB" w14:textId="77777777" w:rsidR="008542DC" w:rsidRPr="00ED4D49" w:rsidRDefault="008542DC" w:rsidP="008542DC">
            <w:pPr>
              <w:pStyle w:val="ListParagraph"/>
              <w:widowControl w:val="0"/>
              <w:autoSpaceDE w:val="0"/>
              <w:autoSpaceDN w:val="0"/>
              <w:adjustRightInd w:val="0"/>
              <w:spacing w:before="0" w:afterLines="60" w:after="144" w:line="240" w:lineRule="auto"/>
              <w:ind w:left="0"/>
              <w:contextualSpacing w:val="0"/>
              <w:rPr>
                <w:rFonts w:asciiTheme="minorHAnsi" w:hAnsiTheme="minorHAnsi"/>
                <w:color w:val="0D0D0D" w:themeColor="text1" w:themeTint="F2"/>
                <w:sz w:val="16"/>
                <w:szCs w:val="16"/>
              </w:rPr>
            </w:pPr>
            <w:r w:rsidRPr="00ED4D49">
              <w:rPr>
                <w:rFonts w:asciiTheme="minorHAnsi" w:hAnsiTheme="minorHAnsi"/>
                <w:color w:val="0D0D0D" w:themeColor="text1" w:themeTint="F2"/>
                <w:sz w:val="16"/>
                <w:szCs w:val="16"/>
              </w:rPr>
              <w:t>-</w:t>
            </w:r>
          </w:p>
        </w:tc>
      </w:tr>
      <w:tr w:rsidR="008542DC" w:rsidRPr="00ED4D49" w14:paraId="3BC5ACC9" w14:textId="77777777" w:rsidTr="001229F1">
        <w:tc>
          <w:tcPr>
            <w:tcW w:w="2484" w:type="dxa"/>
          </w:tcPr>
          <w:p w14:paraId="3097BF86" w14:textId="77777777" w:rsidR="008542DC" w:rsidRPr="00ED4D49" w:rsidRDefault="008542DC" w:rsidP="008542DC">
            <w:pPr>
              <w:widowControl w:val="0"/>
              <w:autoSpaceDE w:val="0"/>
              <w:autoSpaceDN w:val="0"/>
              <w:adjustRightInd w:val="0"/>
              <w:spacing w:before="0" w:afterLines="60" w:after="144" w:line="240" w:lineRule="auto"/>
              <w:rPr>
                <w:bCs/>
                <w:sz w:val="16"/>
                <w:szCs w:val="16"/>
                <w:lang w:val="en-US"/>
              </w:rPr>
            </w:pPr>
            <w:r w:rsidRPr="00ED4D49">
              <w:rPr>
                <w:bCs/>
                <w:sz w:val="16"/>
                <w:szCs w:val="16"/>
                <w:lang w:val="en-US"/>
              </w:rPr>
              <w:t xml:space="preserve">Development of regional studies for </w:t>
            </w:r>
            <w:proofErr w:type="gramStart"/>
            <w:r w:rsidRPr="00ED4D49">
              <w:rPr>
                <w:bCs/>
                <w:sz w:val="16"/>
                <w:szCs w:val="16"/>
                <w:lang w:val="en-US"/>
              </w:rPr>
              <w:t>Sava river</w:t>
            </w:r>
            <w:proofErr w:type="gramEnd"/>
            <w:r w:rsidRPr="00ED4D49">
              <w:rPr>
                <w:bCs/>
                <w:sz w:val="16"/>
                <w:szCs w:val="16"/>
                <w:lang w:val="en-US"/>
              </w:rPr>
              <w:t xml:space="preserve"> basin</w:t>
            </w:r>
          </w:p>
        </w:tc>
        <w:tc>
          <w:tcPr>
            <w:tcW w:w="4457" w:type="dxa"/>
          </w:tcPr>
          <w:p w14:paraId="489B3259" w14:textId="77777777" w:rsidR="008542DC" w:rsidRPr="00ED4D49" w:rsidRDefault="008542DC" w:rsidP="008542DC">
            <w:pPr>
              <w:pStyle w:val="ListParagraph"/>
              <w:widowControl w:val="0"/>
              <w:autoSpaceDE w:val="0"/>
              <w:autoSpaceDN w:val="0"/>
              <w:adjustRightInd w:val="0"/>
              <w:spacing w:before="0" w:afterLines="60" w:after="144" w:line="240" w:lineRule="auto"/>
              <w:ind w:left="0"/>
              <w:rPr>
                <w:rFonts w:asciiTheme="minorHAnsi" w:hAnsiTheme="minorHAnsi"/>
                <w:color w:val="0D0D0D" w:themeColor="text1" w:themeTint="F2"/>
                <w:sz w:val="16"/>
                <w:szCs w:val="16"/>
              </w:rPr>
            </w:pPr>
            <w:r w:rsidRPr="00ED4D49">
              <w:rPr>
                <w:rFonts w:asciiTheme="minorHAnsi" w:hAnsiTheme="minorHAnsi"/>
                <w:color w:val="0D0D0D" w:themeColor="text1" w:themeTint="F2"/>
                <w:sz w:val="16"/>
                <w:szCs w:val="16"/>
              </w:rPr>
              <w:t>Translate SESA prepared from the Bank and carry out the entity SEA procedure including public consultation.</w:t>
            </w:r>
          </w:p>
        </w:tc>
        <w:tc>
          <w:tcPr>
            <w:tcW w:w="2126" w:type="dxa"/>
          </w:tcPr>
          <w:p w14:paraId="04E762CB" w14:textId="5977982D" w:rsidR="008542DC" w:rsidRPr="00ED4D49" w:rsidRDefault="008542DC" w:rsidP="008542DC">
            <w:pPr>
              <w:pStyle w:val="ListParagraph"/>
              <w:widowControl w:val="0"/>
              <w:autoSpaceDE w:val="0"/>
              <w:autoSpaceDN w:val="0"/>
              <w:adjustRightInd w:val="0"/>
              <w:spacing w:before="0" w:afterLines="60" w:after="144" w:line="240" w:lineRule="auto"/>
              <w:ind w:left="0"/>
              <w:contextualSpacing w:val="0"/>
              <w:rPr>
                <w:rFonts w:asciiTheme="minorHAnsi" w:hAnsiTheme="minorHAnsi"/>
                <w:color w:val="0D0D0D" w:themeColor="text1" w:themeTint="F2"/>
                <w:sz w:val="16"/>
                <w:szCs w:val="16"/>
              </w:rPr>
            </w:pPr>
            <w:r w:rsidRPr="00ED4D49">
              <w:rPr>
                <w:rFonts w:asciiTheme="minorHAnsi" w:hAnsiTheme="minorHAnsi"/>
                <w:color w:val="0D0D0D" w:themeColor="text1" w:themeTint="F2"/>
                <w:sz w:val="16"/>
                <w:szCs w:val="16"/>
              </w:rPr>
              <w:t>Improved regional studies based on the conclusions from the SESA.</w:t>
            </w:r>
          </w:p>
        </w:tc>
      </w:tr>
    </w:tbl>
    <w:p w14:paraId="4743343E" w14:textId="77777777" w:rsidR="001F2008" w:rsidRPr="00ED4D49" w:rsidRDefault="001F2008" w:rsidP="009901AD">
      <w:pPr>
        <w:jc w:val="both"/>
        <w:rPr>
          <w:bCs/>
          <w:lang w:val="en-US" w:eastAsia="x-none"/>
        </w:rPr>
      </w:pPr>
    </w:p>
    <w:p w14:paraId="3343D800" w14:textId="7EC6A5DB" w:rsidR="001F2008" w:rsidRPr="00ED4D49" w:rsidRDefault="009F3A5D" w:rsidP="00E12B16">
      <w:pPr>
        <w:jc w:val="both"/>
        <w:rPr>
          <w:lang w:val="en-US" w:eastAsia="x-none"/>
        </w:rPr>
      </w:pPr>
      <w:r w:rsidRPr="00ED4D49">
        <w:rPr>
          <w:b/>
          <w:lang w:val="en-US" w:eastAsia="x-none"/>
        </w:rPr>
        <w:t xml:space="preserve">Step </w:t>
      </w:r>
      <w:r w:rsidR="000C755A" w:rsidRPr="00ED4D49">
        <w:rPr>
          <w:b/>
          <w:lang w:val="en-US" w:eastAsia="x-none"/>
        </w:rPr>
        <w:t>3</w:t>
      </w:r>
      <w:r w:rsidRPr="00ED4D49">
        <w:rPr>
          <w:b/>
          <w:lang w:val="en-US" w:eastAsia="x-none"/>
        </w:rPr>
        <w:t>. Organize consultation</w:t>
      </w:r>
      <w:r w:rsidR="004244D5" w:rsidRPr="00ED4D49">
        <w:rPr>
          <w:b/>
          <w:lang w:val="en-US" w:eastAsia="x-none"/>
        </w:rPr>
        <w:t>s</w:t>
      </w:r>
      <w:r w:rsidRPr="00ED4D49">
        <w:rPr>
          <w:b/>
          <w:lang w:val="en-US" w:eastAsia="x-none"/>
        </w:rPr>
        <w:t xml:space="preserve"> with stakeholders </w:t>
      </w:r>
      <w:r w:rsidRPr="00ED4D49">
        <w:rPr>
          <w:lang w:val="en-US" w:eastAsia="x-none"/>
        </w:rPr>
        <w:t>at the location closest to the project implementation site</w:t>
      </w:r>
      <w:r w:rsidR="00E12B16" w:rsidRPr="00ED4D49">
        <w:rPr>
          <w:lang w:val="en-US" w:eastAsia="x-none"/>
        </w:rPr>
        <w:t xml:space="preserve"> in line with the requirements </w:t>
      </w:r>
      <w:r w:rsidR="004244D5" w:rsidRPr="00ED4D49">
        <w:rPr>
          <w:lang w:val="en-US" w:eastAsia="x-none"/>
        </w:rPr>
        <w:t>of the SEP</w:t>
      </w:r>
      <w:r w:rsidR="00E12B16" w:rsidRPr="00ED4D49">
        <w:rPr>
          <w:lang w:val="en-US" w:eastAsia="x-none"/>
        </w:rPr>
        <w:t xml:space="preserve"> developed for the SDIP.</w:t>
      </w:r>
      <w:r w:rsidR="00C6478C" w:rsidRPr="00ED4D49">
        <w:rPr>
          <w:lang w:val="en-US" w:eastAsia="x-none"/>
        </w:rPr>
        <w:t xml:space="preserve"> </w:t>
      </w:r>
      <w:r w:rsidR="001F2008" w:rsidRPr="00ED4D49">
        <w:rPr>
          <w:color w:val="000000"/>
          <w:szCs w:val="23"/>
          <w:lang w:val="en-US"/>
        </w:rPr>
        <w:t xml:space="preserve">If the </w:t>
      </w:r>
      <w:r w:rsidR="00BB3655" w:rsidRPr="00ED4D49">
        <w:rPr>
          <w:color w:val="000000"/>
          <w:szCs w:val="23"/>
          <w:lang w:val="en-US"/>
        </w:rPr>
        <w:t>subprojects</w:t>
      </w:r>
      <w:r w:rsidR="001F2008" w:rsidRPr="00ED4D49">
        <w:rPr>
          <w:color w:val="000000"/>
          <w:szCs w:val="23"/>
          <w:lang w:val="en-US"/>
        </w:rPr>
        <w:t xml:space="preserve"> require</w:t>
      </w:r>
      <w:r w:rsidR="004244D5" w:rsidRPr="00ED4D49">
        <w:rPr>
          <w:color w:val="000000"/>
          <w:szCs w:val="23"/>
          <w:lang w:val="en-US"/>
        </w:rPr>
        <w:t xml:space="preserve"> the</w:t>
      </w:r>
      <w:r w:rsidR="001F2008" w:rsidRPr="00ED4D49">
        <w:rPr>
          <w:color w:val="000000"/>
          <w:szCs w:val="23"/>
          <w:lang w:val="en-US"/>
        </w:rPr>
        <w:t xml:space="preserve"> development of </w:t>
      </w:r>
      <w:r w:rsidR="004244D5" w:rsidRPr="00ED4D49">
        <w:rPr>
          <w:color w:val="000000"/>
          <w:szCs w:val="23"/>
          <w:lang w:val="en-US"/>
        </w:rPr>
        <w:t>a</w:t>
      </w:r>
      <w:r w:rsidR="001F2008" w:rsidRPr="00ED4D49">
        <w:rPr>
          <w:color w:val="000000"/>
          <w:szCs w:val="23"/>
          <w:lang w:val="en-US"/>
        </w:rPr>
        <w:t xml:space="preserve"> nationally required and regulated EIA, such process </w:t>
      </w:r>
      <w:r w:rsidR="004244D5" w:rsidRPr="00ED4D49">
        <w:rPr>
          <w:color w:val="000000"/>
          <w:szCs w:val="23"/>
          <w:lang w:val="en-US"/>
        </w:rPr>
        <w:t>also includes</w:t>
      </w:r>
      <w:r w:rsidR="001F2008" w:rsidRPr="00ED4D49">
        <w:rPr>
          <w:color w:val="000000"/>
          <w:szCs w:val="23"/>
          <w:lang w:val="en-US"/>
        </w:rPr>
        <w:t xml:space="preserve"> public involvement, public hearings and </w:t>
      </w:r>
      <w:r w:rsidR="004244D5" w:rsidRPr="00ED4D49">
        <w:rPr>
          <w:color w:val="000000"/>
          <w:szCs w:val="23"/>
          <w:lang w:val="en-US"/>
        </w:rPr>
        <w:t xml:space="preserve">a </w:t>
      </w:r>
      <w:r w:rsidR="001F2008" w:rsidRPr="00ED4D49">
        <w:rPr>
          <w:color w:val="000000"/>
          <w:szCs w:val="23"/>
          <w:lang w:val="en-US"/>
        </w:rPr>
        <w:t xml:space="preserve">publicly disclosed study in the manner prescribed by </w:t>
      </w:r>
      <w:r w:rsidR="004244D5" w:rsidRPr="00ED4D49">
        <w:rPr>
          <w:color w:val="000000"/>
          <w:szCs w:val="23"/>
          <w:lang w:val="en-US"/>
        </w:rPr>
        <w:t xml:space="preserve">the </w:t>
      </w:r>
      <w:r w:rsidR="001F2008" w:rsidRPr="00ED4D49">
        <w:rPr>
          <w:color w:val="000000"/>
          <w:szCs w:val="23"/>
          <w:lang w:val="en-US"/>
        </w:rPr>
        <w:t xml:space="preserve">legislation of each </w:t>
      </w:r>
      <w:r w:rsidR="00E12B16" w:rsidRPr="00ED4D49">
        <w:rPr>
          <w:color w:val="000000"/>
          <w:szCs w:val="23"/>
          <w:lang w:val="en-US"/>
        </w:rPr>
        <w:t>entity/BD</w:t>
      </w:r>
      <w:r w:rsidR="00C6478C" w:rsidRPr="00ED4D49">
        <w:rPr>
          <w:color w:val="000000"/>
          <w:szCs w:val="23"/>
          <w:lang w:val="en-US"/>
        </w:rPr>
        <w:t xml:space="preserve"> </w:t>
      </w:r>
      <w:r w:rsidR="001F2008" w:rsidRPr="00ED4D49">
        <w:rPr>
          <w:color w:val="000000"/>
          <w:szCs w:val="23"/>
          <w:lang w:val="en-US"/>
        </w:rPr>
        <w:t xml:space="preserve">(comments on public document recorded and </w:t>
      </w:r>
      <w:r w:rsidR="004244D5" w:rsidRPr="00ED4D49">
        <w:rPr>
          <w:color w:val="000000"/>
          <w:szCs w:val="23"/>
          <w:lang w:val="en-US"/>
        </w:rPr>
        <w:t>responses</w:t>
      </w:r>
      <w:r w:rsidR="001F2008" w:rsidRPr="00ED4D49">
        <w:rPr>
          <w:color w:val="000000"/>
          <w:szCs w:val="23"/>
          <w:lang w:val="en-US"/>
        </w:rPr>
        <w:t xml:space="preserve"> provided by the institution/organization responsible for preparing the EIA). </w:t>
      </w:r>
      <w:r w:rsidR="00755164" w:rsidRPr="00ED4D49">
        <w:rPr>
          <w:color w:val="000000"/>
          <w:szCs w:val="23"/>
          <w:lang w:val="en-US"/>
        </w:rPr>
        <w:t xml:space="preserve">Ensure such public consultations are also in line with the requirements of </w:t>
      </w:r>
      <w:r w:rsidR="004244D5" w:rsidRPr="00ED4D49">
        <w:rPr>
          <w:color w:val="000000"/>
          <w:szCs w:val="23"/>
          <w:lang w:val="en-US"/>
        </w:rPr>
        <w:t>WB</w:t>
      </w:r>
      <w:r w:rsidR="00755164" w:rsidRPr="00ED4D49">
        <w:rPr>
          <w:color w:val="000000"/>
          <w:szCs w:val="23"/>
          <w:lang w:val="en-US"/>
        </w:rPr>
        <w:t xml:space="preserve"> and the SEP. </w:t>
      </w:r>
      <w:r w:rsidR="001F2008" w:rsidRPr="00ED4D49">
        <w:rPr>
          <w:color w:val="000000"/>
          <w:szCs w:val="23"/>
          <w:lang w:val="en-US"/>
        </w:rPr>
        <w:t xml:space="preserve">For certain </w:t>
      </w:r>
      <w:r w:rsidR="00E12B16" w:rsidRPr="00ED4D49">
        <w:rPr>
          <w:color w:val="000000"/>
          <w:szCs w:val="23"/>
          <w:lang w:val="en-US"/>
        </w:rPr>
        <w:t>activities</w:t>
      </w:r>
      <w:r w:rsidR="004244D5" w:rsidRPr="00ED4D49">
        <w:rPr>
          <w:color w:val="000000"/>
          <w:szCs w:val="23"/>
          <w:lang w:val="en-US"/>
        </w:rPr>
        <w:t>,</w:t>
      </w:r>
      <w:r w:rsidR="001F2008" w:rsidRPr="00ED4D49">
        <w:rPr>
          <w:color w:val="000000"/>
          <w:szCs w:val="23"/>
          <w:lang w:val="en-US"/>
        </w:rPr>
        <w:t xml:space="preserve"> a decision on the necessity </w:t>
      </w:r>
      <w:r w:rsidR="00E12B16" w:rsidRPr="00ED4D49">
        <w:rPr>
          <w:szCs w:val="23"/>
          <w:lang w:val="en-US"/>
        </w:rPr>
        <w:t>to</w:t>
      </w:r>
      <w:r w:rsidR="001F2008" w:rsidRPr="00ED4D49">
        <w:rPr>
          <w:szCs w:val="23"/>
          <w:lang w:val="en-US"/>
        </w:rPr>
        <w:t xml:space="preserve"> undertake </w:t>
      </w:r>
      <w:r w:rsidR="004244D5" w:rsidRPr="00ED4D49">
        <w:rPr>
          <w:szCs w:val="23"/>
          <w:lang w:val="en-US"/>
        </w:rPr>
        <w:t xml:space="preserve">an </w:t>
      </w:r>
      <w:r w:rsidR="001F2008" w:rsidRPr="00ED4D49">
        <w:rPr>
          <w:szCs w:val="23"/>
          <w:lang w:val="en-US"/>
        </w:rPr>
        <w:t xml:space="preserve">EIA procedure shall be </w:t>
      </w:r>
      <w:r w:rsidR="004244D5" w:rsidRPr="00ED4D49">
        <w:rPr>
          <w:szCs w:val="23"/>
          <w:lang w:val="en-US"/>
        </w:rPr>
        <w:t>requested</w:t>
      </w:r>
      <w:r w:rsidR="001F2008" w:rsidRPr="00ED4D49">
        <w:rPr>
          <w:szCs w:val="23"/>
          <w:lang w:val="en-US"/>
        </w:rPr>
        <w:t xml:space="preserve"> by the relevant national authority</w:t>
      </w:r>
      <w:r w:rsidR="004244D5" w:rsidRPr="00ED4D49">
        <w:rPr>
          <w:szCs w:val="23"/>
          <w:lang w:val="en-US"/>
        </w:rPr>
        <w:t>.</w:t>
      </w:r>
    </w:p>
    <w:p w14:paraId="6615C07D" w14:textId="525AE054" w:rsidR="007320A9" w:rsidRPr="00ED4D49" w:rsidRDefault="009F3A5D" w:rsidP="007320A9">
      <w:pPr>
        <w:jc w:val="both"/>
        <w:rPr>
          <w:b/>
          <w:lang w:val="en-US" w:eastAsia="x-none"/>
        </w:rPr>
      </w:pPr>
      <w:r w:rsidRPr="00ED4D49">
        <w:rPr>
          <w:b/>
          <w:lang w:val="en-US" w:eastAsia="x-none"/>
        </w:rPr>
        <w:t xml:space="preserve">Step </w:t>
      </w:r>
      <w:r w:rsidR="00E12B16" w:rsidRPr="00ED4D49">
        <w:rPr>
          <w:b/>
          <w:lang w:val="en-US" w:eastAsia="x-none"/>
        </w:rPr>
        <w:t>4</w:t>
      </w:r>
      <w:r w:rsidRPr="00ED4D49">
        <w:rPr>
          <w:b/>
          <w:lang w:val="en-US" w:eastAsia="x-none"/>
        </w:rPr>
        <w:t>.</w:t>
      </w:r>
      <w:r w:rsidR="007320A9" w:rsidRPr="00ED4D49">
        <w:rPr>
          <w:b/>
          <w:lang w:val="en-US" w:eastAsia="x-none"/>
        </w:rPr>
        <w:t xml:space="preserve"> (</w:t>
      </w:r>
      <w:r w:rsidR="007320A9" w:rsidRPr="00ED4D49">
        <w:rPr>
          <w:b/>
          <w:i/>
          <w:iCs/>
          <w:lang w:val="en-US" w:eastAsia="x-none"/>
        </w:rPr>
        <w:t>If needed and where applicable</w:t>
      </w:r>
      <w:r w:rsidR="007320A9" w:rsidRPr="00ED4D49">
        <w:rPr>
          <w:b/>
          <w:lang w:val="en-US" w:eastAsia="x-none"/>
        </w:rPr>
        <w:t xml:space="preserve">) Obtain </w:t>
      </w:r>
      <w:r w:rsidR="004244D5" w:rsidRPr="00ED4D49">
        <w:rPr>
          <w:b/>
          <w:lang w:val="en-US" w:eastAsia="x-none"/>
        </w:rPr>
        <w:t>v</w:t>
      </w:r>
      <w:r w:rsidR="007320A9" w:rsidRPr="00ED4D49">
        <w:rPr>
          <w:b/>
          <w:lang w:val="en-US" w:eastAsia="x-none"/>
        </w:rPr>
        <w:t xml:space="preserve">arious </w:t>
      </w:r>
      <w:r w:rsidR="004244D5" w:rsidRPr="00ED4D49">
        <w:rPr>
          <w:b/>
          <w:lang w:val="en-US" w:eastAsia="x-none"/>
        </w:rPr>
        <w:t>p</w:t>
      </w:r>
      <w:r w:rsidR="007320A9" w:rsidRPr="00ED4D49">
        <w:rPr>
          <w:b/>
          <w:lang w:val="en-US" w:eastAsia="x-none"/>
        </w:rPr>
        <w:t>ermits and approval</w:t>
      </w:r>
      <w:r w:rsidR="004244D5" w:rsidRPr="00ED4D49">
        <w:rPr>
          <w:b/>
          <w:lang w:val="en-US" w:eastAsia="x-none"/>
        </w:rPr>
        <w:t>s</w:t>
      </w:r>
      <w:r w:rsidR="007320A9" w:rsidRPr="00ED4D49">
        <w:rPr>
          <w:b/>
          <w:lang w:val="en-US" w:eastAsia="x-none"/>
        </w:rPr>
        <w:t xml:space="preserve"> </w:t>
      </w:r>
    </w:p>
    <w:p w14:paraId="7FA31734" w14:textId="52852C83" w:rsidR="00B354A6" w:rsidRPr="00ED4D49" w:rsidRDefault="00B354A6" w:rsidP="008D64BA">
      <w:pPr>
        <w:pStyle w:val="Bullets"/>
      </w:pPr>
      <w:bookmarkStart w:id="253" w:name="_Ref22303733"/>
      <w:bookmarkStart w:id="254" w:name="_Ref22303741"/>
      <w:r w:rsidRPr="00ED4D49">
        <w:rPr>
          <w:bCs/>
          <w:i/>
        </w:rPr>
        <w:t xml:space="preserve">Water Management Acts </w:t>
      </w:r>
      <w:r w:rsidRPr="00ED4D49">
        <w:t xml:space="preserve">in line with the requirements of the Water Law as described in Chapter </w:t>
      </w:r>
      <w:r w:rsidRPr="00ED4D49">
        <w:fldChar w:fldCharType="begin"/>
      </w:r>
      <w:r w:rsidRPr="00ED4D49">
        <w:instrText xml:space="preserve"> REF _Ref22331381 \r \h </w:instrText>
      </w:r>
      <w:r w:rsidR="00ED4D49">
        <w:instrText xml:space="preserve"> \* MERGEFORMAT </w:instrText>
      </w:r>
      <w:r w:rsidRPr="00ED4D49">
        <w:fldChar w:fldCharType="separate"/>
      </w:r>
      <w:r w:rsidR="00F60130" w:rsidRPr="00ED4D49">
        <w:t>5.2.3</w:t>
      </w:r>
      <w:r w:rsidRPr="00ED4D49">
        <w:fldChar w:fldCharType="end"/>
      </w:r>
      <w:r w:rsidR="00CC0185" w:rsidRPr="00ED4D49">
        <w:t>,</w:t>
      </w:r>
    </w:p>
    <w:p w14:paraId="2EBE2F89" w14:textId="5A098643" w:rsidR="00B354A6" w:rsidRPr="00ED4D49" w:rsidRDefault="00B354A6" w:rsidP="008D64BA">
      <w:pPr>
        <w:pStyle w:val="Bullets"/>
      </w:pPr>
      <w:r w:rsidRPr="00ED4D49">
        <w:rPr>
          <w:i/>
        </w:rPr>
        <w:t>Construction related acts</w:t>
      </w:r>
      <w:r w:rsidRPr="00ED4D49">
        <w:t xml:space="preserve"> in line with the requirements of the construction regulations as described in Chapter </w:t>
      </w:r>
      <w:r w:rsidRPr="00ED4D49">
        <w:fldChar w:fldCharType="begin"/>
      </w:r>
      <w:r w:rsidRPr="00ED4D49">
        <w:instrText xml:space="preserve"> REF _Ref22331403 \r \h </w:instrText>
      </w:r>
      <w:r w:rsidR="00ED4D49">
        <w:instrText xml:space="preserve"> \* MERGEFORMAT </w:instrText>
      </w:r>
      <w:r w:rsidRPr="00ED4D49">
        <w:fldChar w:fldCharType="separate"/>
      </w:r>
      <w:r w:rsidR="00F60130" w:rsidRPr="00ED4D49">
        <w:t>5.2.4</w:t>
      </w:r>
      <w:r w:rsidRPr="00ED4D49">
        <w:fldChar w:fldCharType="end"/>
      </w:r>
      <w:r w:rsidRPr="00ED4D49">
        <w:t>.</w:t>
      </w:r>
    </w:p>
    <w:p w14:paraId="1CFF6B87" w14:textId="77777777" w:rsidR="00214451" w:rsidRPr="00ED4D49" w:rsidRDefault="00214451" w:rsidP="0063606C">
      <w:pPr>
        <w:pStyle w:val="Heading2"/>
      </w:pPr>
      <w:bookmarkStart w:id="255" w:name="_Toc31811103"/>
      <w:r w:rsidRPr="00ED4D49">
        <w:t>Labor Management</w:t>
      </w:r>
      <w:bookmarkEnd w:id="255"/>
      <w:r w:rsidRPr="00ED4D49">
        <w:tab/>
      </w:r>
    </w:p>
    <w:p w14:paraId="0DCCDBC2" w14:textId="371DF0B7" w:rsidR="00214451" w:rsidRPr="00ED4D49" w:rsidRDefault="00214451" w:rsidP="00214451">
      <w:pPr>
        <w:jc w:val="both"/>
        <w:rPr>
          <w:lang w:val="en-US" w:eastAsia="x-none"/>
        </w:rPr>
      </w:pPr>
      <w:r w:rsidRPr="00ED4D49">
        <w:rPr>
          <w:lang w:val="en-US" w:eastAsia="x-none"/>
        </w:rPr>
        <w:t xml:space="preserve">The labor categorization within projects financed by the </w:t>
      </w:r>
      <w:r w:rsidR="00DE5475" w:rsidRPr="00ED4D49">
        <w:rPr>
          <w:lang w:val="en-US" w:eastAsia="x-none"/>
        </w:rPr>
        <w:t>WB</w:t>
      </w:r>
      <w:r w:rsidRPr="00ED4D49">
        <w:rPr>
          <w:lang w:val="en-US" w:eastAsia="x-none"/>
        </w:rPr>
        <w:t xml:space="preserve"> is described in </w:t>
      </w:r>
      <w:r w:rsidRPr="00ED4D49">
        <w:rPr>
          <w:i/>
          <w:iCs/>
          <w:lang w:val="en-US" w:eastAsia="x-none"/>
        </w:rPr>
        <w:t xml:space="preserve">Chapter </w:t>
      </w:r>
      <w:r w:rsidRPr="00ED4D49">
        <w:rPr>
          <w:i/>
          <w:iCs/>
          <w:lang w:val="en-US" w:eastAsia="x-none"/>
        </w:rPr>
        <w:fldChar w:fldCharType="begin"/>
      </w:r>
      <w:r w:rsidRPr="00ED4D49">
        <w:rPr>
          <w:i/>
          <w:iCs/>
          <w:lang w:val="en-US" w:eastAsia="x-none"/>
        </w:rPr>
        <w:instrText xml:space="preserve"> REF _Ref22295154 \r \h </w:instrText>
      </w:r>
      <w:r w:rsidR="00DE5475" w:rsidRPr="00ED4D49">
        <w:rPr>
          <w:i/>
          <w:iCs/>
          <w:lang w:val="en-US" w:eastAsia="x-none"/>
        </w:rPr>
        <w:instrText xml:space="preserve"> \* MERGEFORMAT </w:instrText>
      </w:r>
      <w:r w:rsidRPr="00ED4D49">
        <w:rPr>
          <w:i/>
          <w:iCs/>
          <w:lang w:val="en-US" w:eastAsia="x-none"/>
        </w:rPr>
      </w:r>
      <w:r w:rsidRPr="00ED4D49">
        <w:rPr>
          <w:i/>
          <w:iCs/>
          <w:lang w:val="en-US" w:eastAsia="x-none"/>
        </w:rPr>
        <w:fldChar w:fldCharType="separate"/>
      </w:r>
      <w:r w:rsidR="00F60130" w:rsidRPr="00ED4D49">
        <w:rPr>
          <w:i/>
          <w:iCs/>
          <w:lang w:val="en-US" w:eastAsia="x-none"/>
        </w:rPr>
        <w:t>5.1</w:t>
      </w:r>
      <w:r w:rsidRPr="00ED4D49">
        <w:rPr>
          <w:i/>
          <w:iCs/>
          <w:lang w:val="en-US" w:eastAsia="x-none"/>
        </w:rPr>
        <w:fldChar w:fldCharType="end"/>
      </w:r>
      <w:r w:rsidRPr="00ED4D49">
        <w:rPr>
          <w:i/>
          <w:iCs/>
          <w:lang w:val="en-US" w:eastAsia="x-none"/>
        </w:rPr>
        <w:t xml:space="preserve"> The World Bank Requirements</w:t>
      </w:r>
      <w:r w:rsidRPr="00ED4D49">
        <w:rPr>
          <w:lang w:val="en-US" w:eastAsia="x-none"/>
        </w:rPr>
        <w:t xml:space="preserve">. According to </w:t>
      </w:r>
      <w:r w:rsidR="00DE5475" w:rsidRPr="00ED4D49">
        <w:rPr>
          <w:lang w:val="en-US" w:eastAsia="x-none"/>
        </w:rPr>
        <w:t>such</w:t>
      </w:r>
      <w:r w:rsidRPr="00ED4D49">
        <w:rPr>
          <w:lang w:val="en-US" w:eastAsia="x-none"/>
        </w:rPr>
        <w:t xml:space="preserve"> categorization, project workers include:</w:t>
      </w:r>
      <w:r w:rsidR="00C6478C" w:rsidRPr="00ED4D49">
        <w:rPr>
          <w:lang w:val="en-US" w:eastAsia="x-none"/>
        </w:rPr>
        <w:t xml:space="preserve"> </w:t>
      </w:r>
    </w:p>
    <w:p w14:paraId="0717606C" w14:textId="0D440BA4" w:rsidR="00214451" w:rsidRPr="00ED4D49" w:rsidRDefault="00214451" w:rsidP="00214451">
      <w:pPr>
        <w:pStyle w:val="ListParagraph"/>
        <w:numPr>
          <w:ilvl w:val="0"/>
          <w:numId w:val="4"/>
        </w:numPr>
        <w:spacing w:after="160"/>
        <w:jc w:val="both"/>
        <w:rPr>
          <w:sz w:val="20"/>
          <w:szCs w:val="20"/>
          <w:lang w:eastAsia="x-none"/>
        </w:rPr>
      </w:pPr>
      <w:r w:rsidRPr="00ED4D49">
        <w:rPr>
          <w:rFonts w:cs="Calibri"/>
          <w:b/>
          <w:bCs/>
          <w:sz w:val="20"/>
          <w:szCs w:val="20"/>
        </w:rPr>
        <w:t xml:space="preserve">Direct workers </w:t>
      </w:r>
      <w:r w:rsidRPr="00ED4D49">
        <w:rPr>
          <w:rFonts w:cs="Calibri"/>
          <w:bCs/>
          <w:sz w:val="20"/>
          <w:szCs w:val="20"/>
        </w:rPr>
        <w:t xml:space="preserve">(Entity Ministries’ staff involved in the project (civil servants) and external consultants for </w:t>
      </w:r>
      <w:r w:rsidR="00DE5475" w:rsidRPr="00ED4D49">
        <w:rPr>
          <w:rFonts w:cs="Calibri"/>
          <w:bCs/>
          <w:sz w:val="20"/>
          <w:szCs w:val="20"/>
        </w:rPr>
        <w:t>E&amp;S</w:t>
      </w:r>
      <w:r w:rsidRPr="00ED4D49">
        <w:rPr>
          <w:rFonts w:cs="Calibri"/>
          <w:bCs/>
          <w:sz w:val="20"/>
          <w:szCs w:val="20"/>
        </w:rPr>
        <w:t xml:space="preserve"> issues, to be hired for Project purposes) </w:t>
      </w:r>
    </w:p>
    <w:p w14:paraId="26DAB287" w14:textId="77777777" w:rsidR="00214451" w:rsidRPr="00ED4D49" w:rsidRDefault="00214451" w:rsidP="00214451">
      <w:pPr>
        <w:pStyle w:val="ListParagraph"/>
        <w:numPr>
          <w:ilvl w:val="0"/>
          <w:numId w:val="4"/>
        </w:numPr>
        <w:spacing w:after="160"/>
        <w:jc w:val="both"/>
        <w:rPr>
          <w:sz w:val="20"/>
          <w:szCs w:val="20"/>
          <w:lang w:eastAsia="x-none"/>
        </w:rPr>
      </w:pPr>
      <w:r w:rsidRPr="00ED4D49">
        <w:rPr>
          <w:b/>
          <w:bCs/>
          <w:sz w:val="20"/>
          <w:szCs w:val="20"/>
          <w:lang w:eastAsia="x-none"/>
        </w:rPr>
        <w:t>Contracted workers</w:t>
      </w:r>
      <w:r w:rsidRPr="00ED4D49">
        <w:rPr>
          <w:bCs/>
          <w:sz w:val="20"/>
          <w:szCs w:val="20"/>
          <w:lang w:eastAsia="x-none"/>
        </w:rPr>
        <w:t xml:space="preserve"> (workers of companies which would provide services under Project Component 1, such as cleaning up of </w:t>
      </w:r>
      <w:proofErr w:type="gramStart"/>
      <w:r w:rsidRPr="00ED4D49">
        <w:rPr>
          <w:bCs/>
          <w:sz w:val="20"/>
          <w:szCs w:val="20"/>
          <w:lang w:eastAsia="x-none"/>
        </w:rPr>
        <w:t>an</w:t>
      </w:r>
      <w:proofErr w:type="gramEnd"/>
      <w:r w:rsidRPr="00ED4D49">
        <w:rPr>
          <w:bCs/>
          <w:sz w:val="20"/>
          <w:szCs w:val="20"/>
          <w:lang w:eastAsia="x-none"/>
        </w:rPr>
        <w:t xml:space="preserve"> solid waste dump site in Brcko District, revitalization of protected areas, construction and rehabilitation of embankments at selected priority areas along the Sava River Corridor, acquisition of equipment for the rehabilitation and expansion of cargo and vessel handling infrastructure, rehabilitation of embankments for flood protection, dredging, etc.). </w:t>
      </w:r>
    </w:p>
    <w:p w14:paraId="2EFFADBA" w14:textId="31796156" w:rsidR="00214451" w:rsidRPr="00ED4D49" w:rsidRDefault="00214451" w:rsidP="00214451">
      <w:pPr>
        <w:pStyle w:val="ListParagraph"/>
        <w:spacing w:after="160"/>
        <w:jc w:val="both"/>
        <w:rPr>
          <w:sz w:val="20"/>
          <w:szCs w:val="20"/>
          <w:lang w:eastAsia="x-none"/>
        </w:rPr>
      </w:pPr>
      <w:r w:rsidRPr="00ED4D49">
        <w:rPr>
          <w:bCs/>
          <w:sz w:val="20"/>
          <w:szCs w:val="20"/>
          <w:lang w:eastAsia="x-none"/>
        </w:rPr>
        <w:t>Contractors (companies which would provide services) would be required to comply with the current legislation on labor and safety at work and to the requirements prescribed in this Framework.</w:t>
      </w:r>
      <w:r w:rsidR="00C6478C" w:rsidRPr="00ED4D49">
        <w:rPr>
          <w:bCs/>
          <w:sz w:val="20"/>
          <w:szCs w:val="20"/>
          <w:lang w:eastAsia="x-none"/>
        </w:rPr>
        <w:t xml:space="preserve"> </w:t>
      </w:r>
    </w:p>
    <w:p w14:paraId="21B87364" w14:textId="37BF43D8" w:rsidR="00214451" w:rsidRPr="00ED4D49" w:rsidRDefault="00214451" w:rsidP="00214451">
      <w:pPr>
        <w:jc w:val="both"/>
        <w:rPr>
          <w:lang w:val="en-US" w:eastAsia="x-none"/>
        </w:rPr>
      </w:pPr>
      <w:r w:rsidRPr="00ED4D49">
        <w:rPr>
          <w:lang w:val="en-US" w:eastAsia="x-none"/>
        </w:rPr>
        <w:lastRenderedPageBreak/>
        <w:t xml:space="preserve">Pursuant to </w:t>
      </w:r>
      <w:r w:rsidR="00DE5475" w:rsidRPr="00ED4D49">
        <w:rPr>
          <w:lang w:val="en-US" w:eastAsia="x-none"/>
        </w:rPr>
        <w:t>WB</w:t>
      </w:r>
      <w:r w:rsidRPr="00ED4D49">
        <w:rPr>
          <w:lang w:val="en-US" w:eastAsia="x-none"/>
        </w:rPr>
        <w:t xml:space="preserve"> requirements, </w:t>
      </w:r>
      <w:r w:rsidR="00DE5475" w:rsidRPr="00ED4D49">
        <w:rPr>
          <w:lang w:val="en-US" w:eastAsia="x-none"/>
        </w:rPr>
        <w:t>a</w:t>
      </w:r>
      <w:r w:rsidRPr="00ED4D49">
        <w:rPr>
          <w:lang w:val="en-US" w:eastAsia="x-none"/>
        </w:rPr>
        <w:t xml:space="preserve"> </w:t>
      </w:r>
      <w:r w:rsidRPr="00ED4D49">
        <w:rPr>
          <w:color w:val="1F4E79"/>
          <w:lang w:val="en-US" w:eastAsia="x-none"/>
        </w:rPr>
        <w:t xml:space="preserve">Labor Management Procedure </w:t>
      </w:r>
      <w:r w:rsidRPr="00ED4D49">
        <w:rPr>
          <w:lang w:val="en-US" w:eastAsia="x-none"/>
        </w:rPr>
        <w:t xml:space="preserve">has been developed as a separate document. The procedure aims to ensure fair treatment of workers and provision of safe and healthy working conditions. </w:t>
      </w:r>
    </w:p>
    <w:p w14:paraId="3C2F8D5C" w14:textId="411EF3E5" w:rsidR="00214451" w:rsidRPr="00ED4D49" w:rsidRDefault="00214451" w:rsidP="00214451">
      <w:pPr>
        <w:jc w:val="both"/>
        <w:rPr>
          <w:lang w:val="en-US" w:eastAsia="x-none"/>
        </w:rPr>
      </w:pPr>
      <w:r w:rsidRPr="00ED4D49">
        <w:rPr>
          <w:lang w:val="en-US" w:eastAsia="x-none"/>
        </w:rPr>
        <w:t xml:space="preserve">Contractors’ labor management compliance with local legislation requirements related to labor and safety at work would be monitored based as described in </w:t>
      </w:r>
      <w:r w:rsidRPr="00ED4D49">
        <w:rPr>
          <w:i/>
          <w:iCs/>
          <w:lang w:val="en-US" w:eastAsia="x-none"/>
        </w:rPr>
        <w:t xml:space="preserve">Chapter </w:t>
      </w:r>
      <w:r w:rsidR="00DD5BA8" w:rsidRPr="00ED4D49">
        <w:rPr>
          <w:i/>
          <w:iCs/>
          <w:lang w:val="en-US" w:eastAsia="x-none"/>
        </w:rPr>
        <w:fldChar w:fldCharType="begin"/>
      </w:r>
      <w:r w:rsidR="00DD5BA8" w:rsidRPr="00ED4D49">
        <w:rPr>
          <w:i/>
          <w:iCs/>
          <w:lang w:val="en-US" w:eastAsia="x-none"/>
        </w:rPr>
        <w:instrText xml:space="preserve"> REF _Ref22308597 \r \h </w:instrText>
      </w:r>
      <w:r w:rsidR="00DE5475" w:rsidRPr="00ED4D49">
        <w:rPr>
          <w:i/>
          <w:iCs/>
          <w:lang w:val="en-US" w:eastAsia="x-none"/>
        </w:rPr>
        <w:instrText xml:space="preserve"> \* MERGEFORMAT </w:instrText>
      </w:r>
      <w:r w:rsidR="00DD5BA8" w:rsidRPr="00ED4D49">
        <w:rPr>
          <w:i/>
          <w:iCs/>
          <w:lang w:val="en-US" w:eastAsia="x-none"/>
        </w:rPr>
      </w:r>
      <w:r w:rsidR="00DD5BA8" w:rsidRPr="00ED4D49">
        <w:rPr>
          <w:i/>
          <w:iCs/>
          <w:lang w:val="en-US" w:eastAsia="x-none"/>
        </w:rPr>
        <w:fldChar w:fldCharType="separate"/>
      </w:r>
      <w:r w:rsidR="00F60130" w:rsidRPr="00ED4D49">
        <w:rPr>
          <w:i/>
          <w:iCs/>
          <w:lang w:val="en-US" w:eastAsia="x-none"/>
        </w:rPr>
        <w:t>7.6</w:t>
      </w:r>
      <w:r w:rsidR="00DD5BA8" w:rsidRPr="00ED4D49">
        <w:rPr>
          <w:i/>
          <w:iCs/>
          <w:lang w:val="en-US" w:eastAsia="x-none"/>
        </w:rPr>
        <w:fldChar w:fldCharType="end"/>
      </w:r>
      <w:r w:rsidR="00EC066C" w:rsidRPr="00ED4D49">
        <w:rPr>
          <w:i/>
          <w:iCs/>
          <w:lang w:val="en-US" w:eastAsia="x-none"/>
        </w:rPr>
        <w:t xml:space="preserve"> </w:t>
      </w:r>
      <w:r w:rsidR="00EC066C" w:rsidRPr="00ED4D49">
        <w:rPr>
          <w:i/>
          <w:iCs/>
          <w:lang w:val="en-US" w:eastAsia="x-none"/>
        </w:rPr>
        <w:fldChar w:fldCharType="begin"/>
      </w:r>
      <w:r w:rsidR="00EC066C" w:rsidRPr="00ED4D49">
        <w:rPr>
          <w:i/>
          <w:iCs/>
          <w:lang w:val="en-US" w:eastAsia="x-none"/>
        </w:rPr>
        <w:instrText xml:space="preserve"> REF _Ref22308597 \h </w:instrText>
      </w:r>
      <w:r w:rsidR="00DE5475" w:rsidRPr="00ED4D49">
        <w:rPr>
          <w:i/>
          <w:iCs/>
          <w:lang w:val="en-US" w:eastAsia="x-none"/>
        </w:rPr>
        <w:instrText xml:space="preserve"> \* MERGEFORMAT </w:instrText>
      </w:r>
      <w:r w:rsidR="00EC066C" w:rsidRPr="00ED4D49">
        <w:rPr>
          <w:i/>
          <w:iCs/>
          <w:lang w:val="en-US" w:eastAsia="x-none"/>
        </w:rPr>
      </w:r>
      <w:r w:rsidR="00EC066C" w:rsidRPr="00ED4D49">
        <w:rPr>
          <w:i/>
          <w:iCs/>
          <w:lang w:val="en-US" w:eastAsia="x-none"/>
        </w:rPr>
        <w:fldChar w:fldCharType="separate"/>
      </w:r>
      <w:r w:rsidR="00F60130" w:rsidRPr="00ED4D49">
        <w:rPr>
          <w:i/>
          <w:iCs/>
          <w:lang w:val="en-US"/>
        </w:rPr>
        <w:t>Monitoring and Reporting</w:t>
      </w:r>
      <w:r w:rsidR="00EC066C" w:rsidRPr="00ED4D49">
        <w:rPr>
          <w:i/>
          <w:iCs/>
          <w:lang w:val="en-US" w:eastAsia="x-none"/>
        </w:rPr>
        <w:fldChar w:fldCharType="end"/>
      </w:r>
      <w:r w:rsidRPr="00ED4D49">
        <w:rPr>
          <w:lang w:val="en-US" w:eastAsia="x-none"/>
        </w:rPr>
        <w:t xml:space="preserve">. In case any irregularities are identified based on such reports or </w:t>
      </w:r>
      <w:r w:rsidR="00DE5475" w:rsidRPr="00ED4D49">
        <w:rPr>
          <w:lang w:val="en-US" w:eastAsia="x-none"/>
        </w:rPr>
        <w:t xml:space="preserve">the </w:t>
      </w:r>
      <w:r w:rsidRPr="00ED4D49">
        <w:rPr>
          <w:lang w:val="en-US" w:eastAsia="x-none"/>
        </w:rPr>
        <w:t xml:space="preserve">project grievance redress mechanism, PIUs would notify </w:t>
      </w:r>
      <w:r w:rsidR="00DE5475" w:rsidRPr="00ED4D49">
        <w:rPr>
          <w:lang w:val="en-US" w:eastAsia="x-none"/>
        </w:rPr>
        <w:t xml:space="preserve">the </w:t>
      </w:r>
      <w:r w:rsidRPr="00ED4D49">
        <w:rPr>
          <w:lang w:val="en-US" w:eastAsia="x-none"/>
        </w:rPr>
        <w:t xml:space="preserve">responsible Labor Inspection. </w:t>
      </w:r>
    </w:p>
    <w:p w14:paraId="70F15EE1" w14:textId="31003CAF" w:rsidR="00193EC7" w:rsidRPr="00ED4D49" w:rsidRDefault="007D1D57" w:rsidP="0063606C">
      <w:pPr>
        <w:pStyle w:val="Heading2"/>
      </w:pPr>
      <w:bookmarkStart w:id="256" w:name="_Ref22308597"/>
      <w:bookmarkStart w:id="257" w:name="_Toc31811104"/>
      <w:r w:rsidRPr="00ED4D49">
        <w:t>Monitoring and Reporting</w:t>
      </w:r>
      <w:bookmarkEnd w:id="253"/>
      <w:bookmarkEnd w:id="254"/>
      <w:bookmarkEnd w:id="256"/>
      <w:bookmarkEnd w:id="257"/>
      <w:r w:rsidR="000E5793" w:rsidRPr="00ED4D49">
        <w:t xml:space="preserve"> </w:t>
      </w:r>
    </w:p>
    <w:p w14:paraId="517E6A30" w14:textId="40EA3130" w:rsidR="00193EC7" w:rsidRPr="00ED4D49" w:rsidRDefault="000E5793" w:rsidP="00193EC7">
      <w:pPr>
        <w:jc w:val="both"/>
        <w:rPr>
          <w:rStyle w:val="tlid-translation"/>
          <w:rFonts w:cs="Calibri"/>
          <w:lang w:val="en-US"/>
        </w:rPr>
      </w:pPr>
      <w:r w:rsidRPr="00ED4D49">
        <w:rPr>
          <w:rStyle w:val="tlid-translation"/>
          <w:rFonts w:cs="Calibri"/>
          <w:lang w:val="en-US"/>
        </w:rPr>
        <w:t xml:space="preserve">The </w:t>
      </w:r>
      <w:r w:rsidR="00193EC7" w:rsidRPr="00ED4D49">
        <w:rPr>
          <w:rStyle w:val="tlid-translation"/>
          <w:rFonts w:cs="Calibri"/>
          <w:lang w:val="en-US"/>
        </w:rPr>
        <w:t>PIUs shall monitor</w:t>
      </w:r>
      <w:r w:rsidRPr="00ED4D49">
        <w:rPr>
          <w:rStyle w:val="tlid-translation"/>
          <w:rFonts w:cs="Calibri"/>
          <w:lang w:val="en-US"/>
        </w:rPr>
        <w:t xml:space="preserve"> the</w:t>
      </w:r>
      <w:r w:rsidR="00193EC7" w:rsidRPr="00ED4D49">
        <w:rPr>
          <w:rStyle w:val="tlid-translation"/>
          <w:rFonts w:cs="Calibri"/>
          <w:lang w:val="en-US"/>
        </w:rPr>
        <w:t xml:space="preserve"> implementation of this Framework, both at overall </w:t>
      </w:r>
      <w:r w:rsidR="0063606C" w:rsidRPr="00ED4D49">
        <w:rPr>
          <w:rStyle w:val="tlid-translation"/>
          <w:rFonts w:cs="Calibri"/>
          <w:lang w:val="en-US"/>
        </w:rPr>
        <w:t>Program</w:t>
      </w:r>
      <w:r w:rsidR="00193EC7" w:rsidRPr="00ED4D49">
        <w:rPr>
          <w:rStyle w:val="tlid-translation"/>
          <w:rFonts w:cs="Calibri"/>
          <w:lang w:val="en-US"/>
        </w:rPr>
        <w:t xml:space="preserve"> level and individual </w:t>
      </w:r>
      <w:r w:rsidR="00BB3655" w:rsidRPr="00ED4D49">
        <w:rPr>
          <w:rStyle w:val="tlid-translation"/>
          <w:rFonts w:cs="Calibri"/>
          <w:lang w:val="en-US"/>
        </w:rPr>
        <w:t>subproject</w:t>
      </w:r>
      <w:r w:rsidR="00193EC7" w:rsidRPr="00ED4D49">
        <w:rPr>
          <w:rStyle w:val="tlid-translation"/>
          <w:rFonts w:cs="Calibri"/>
          <w:lang w:val="en-US"/>
        </w:rPr>
        <w:t xml:space="preserve"> level. </w:t>
      </w:r>
      <w:r w:rsidRPr="00ED4D49">
        <w:rPr>
          <w:rStyle w:val="tlid-translation"/>
          <w:rFonts w:cs="Calibri"/>
          <w:lang w:val="en-US"/>
        </w:rPr>
        <w:t xml:space="preserve">The </w:t>
      </w:r>
      <w:r w:rsidR="00193EC7" w:rsidRPr="00ED4D49">
        <w:rPr>
          <w:rStyle w:val="tlid-translation"/>
          <w:rFonts w:cs="Calibri"/>
          <w:lang w:val="en-US"/>
        </w:rPr>
        <w:t xml:space="preserve">PIUs shall ensure that the requirements </w:t>
      </w:r>
      <w:r w:rsidRPr="00ED4D49">
        <w:rPr>
          <w:rStyle w:val="tlid-translation"/>
          <w:rFonts w:cs="Calibri"/>
          <w:lang w:val="en-US"/>
        </w:rPr>
        <w:t>of</w:t>
      </w:r>
      <w:r w:rsidR="00193EC7" w:rsidRPr="00ED4D49">
        <w:rPr>
          <w:rStyle w:val="tlid-translation"/>
          <w:rFonts w:cs="Calibri"/>
          <w:lang w:val="en-US"/>
        </w:rPr>
        <w:t xml:space="preserve"> the site-specific ESMPs and environmental permit are included in employer’s requirement</w:t>
      </w:r>
      <w:r w:rsidRPr="00ED4D49">
        <w:rPr>
          <w:rStyle w:val="tlid-translation"/>
          <w:rFonts w:cs="Calibri"/>
          <w:lang w:val="en-US"/>
        </w:rPr>
        <w:t>s</w:t>
      </w:r>
      <w:r w:rsidR="00193EC7" w:rsidRPr="00ED4D49">
        <w:rPr>
          <w:rStyle w:val="tlid-translation"/>
          <w:rFonts w:cs="Calibri"/>
          <w:lang w:val="en-US"/>
        </w:rPr>
        <w:t xml:space="preserve">. Within </w:t>
      </w:r>
      <w:r w:rsidRPr="00ED4D49">
        <w:rPr>
          <w:rStyle w:val="tlid-translation"/>
          <w:rFonts w:cs="Calibri"/>
          <w:lang w:val="en-US"/>
        </w:rPr>
        <w:t>their</w:t>
      </w:r>
      <w:r w:rsidR="00193EC7" w:rsidRPr="00ED4D49">
        <w:rPr>
          <w:rStyle w:val="tlid-translation"/>
          <w:rFonts w:cs="Calibri"/>
          <w:lang w:val="en-US"/>
        </w:rPr>
        <w:t xml:space="preserve"> usual monitoring activities, PIUs </w:t>
      </w:r>
      <w:r w:rsidRPr="00ED4D49">
        <w:rPr>
          <w:rStyle w:val="tlid-translation"/>
          <w:rFonts w:cs="Calibri"/>
          <w:lang w:val="en-US"/>
        </w:rPr>
        <w:t>will</w:t>
      </w:r>
      <w:r w:rsidR="00193EC7" w:rsidRPr="00ED4D49">
        <w:rPr>
          <w:rStyle w:val="tlid-translation"/>
          <w:rFonts w:cs="Calibri"/>
          <w:lang w:val="en-US"/>
        </w:rPr>
        <w:t xml:space="preserve"> perform monitoring (including on-site monitoring, as needed) to ensure that </w:t>
      </w:r>
      <w:r w:rsidR="0089387E" w:rsidRPr="00ED4D49">
        <w:rPr>
          <w:rStyle w:val="tlid-translation"/>
          <w:rFonts w:cs="Calibri"/>
          <w:lang w:val="en-US"/>
        </w:rPr>
        <w:t>Contractors</w:t>
      </w:r>
      <w:r w:rsidR="00193EC7" w:rsidRPr="00ED4D49">
        <w:rPr>
          <w:rStyle w:val="tlid-translation"/>
          <w:rFonts w:cs="Calibri"/>
          <w:lang w:val="en-US"/>
        </w:rPr>
        <w:t xml:space="preserve"> comply with their contractual obligations. </w:t>
      </w:r>
    </w:p>
    <w:p w14:paraId="10D76414" w14:textId="267C0977" w:rsidR="0090167D" w:rsidRPr="00ED4D49" w:rsidRDefault="0090167D" w:rsidP="00193EC7">
      <w:pPr>
        <w:jc w:val="both"/>
        <w:rPr>
          <w:rStyle w:val="tlid-translation"/>
          <w:rFonts w:cs="Calibri"/>
          <w:lang w:val="en-US"/>
        </w:rPr>
      </w:pPr>
      <w:r w:rsidRPr="00ED4D49">
        <w:rPr>
          <w:lang w:val="en-US"/>
        </w:rPr>
        <w:t xml:space="preserve">It is the responsibility of the Contractor to ensure the proper execution of works, according to prescribed measures and in line with national and international standards. Therefore, the Contractor should appoint a person responsible for environment protection (B.Sc. environmental engineering) with adequate experience to be responsible for the implementation of all environment protection </w:t>
      </w:r>
      <w:r w:rsidR="000E5793" w:rsidRPr="00ED4D49">
        <w:rPr>
          <w:lang w:val="en-US"/>
        </w:rPr>
        <w:t xml:space="preserve">requirements </w:t>
      </w:r>
      <w:r w:rsidRPr="00ED4D49">
        <w:rPr>
          <w:lang w:val="en-US"/>
        </w:rPr>
        <w:t>and ESMP implementation. The appointed person shall ensure compliance with environmental standards and is responsible for environment</w:t>
      </w:r>
      <w:r w:rsidR="000E5793" w:rsidRPr="00ED4D49">
        <w:rPr>
          <w:lang w:val="en-US"/>
        </w:rPr>
        <w:t>al</w:t>
      </w:r>
      <w:r w:rsidRPr="00ED4D49">
        <w:rPr>
          <w:lang w:val="en-US"/>
        </w:rPr>
        <w:t xml:space="preserve"> protection according to the ESMP, in line with clearly defined tasks and responsibilities, which </w:t>
      </w:r>
      <w:r w:rsidR="000E5793" w:rsidRPr="00ED4D49">
        <w:rPr>
          <w:lang w:val="en-US"/>
        </w:rPr>
        <w:t>include,</w:t>
      </w:r>
      <w:r w:rsidRPr="00ED4D49">
        <w:rPr>
          <w:lang w:val="en-US"/>
        </w:rPr>
        <w:t xml:space="preserve"> among others: works are executed in line with good construction practice</w:t>
      </w:r>
      <w:r w:rsidR="000E5793" w:rsidRPr="00ED4D49">
        <w:rPr>
          <w:lang w:val="en-US"/>
        </w:rPr>
        <w:t>s</w:t>
      </w:r>
      <w:r w:rsidRPr="00ED4D49">
        <w:rPr>
          <w:lang w:val="en-US"/>
        </w:rPr>
        <w:t>, waste is adequately managed at the construction site, environment</w:t>
      </w:r>
      <w:r w:rsidR="000E5793" w:rsidRPr="00ED4D49">
        <w:rPr>
          <w:lang w:val="en-US"/>
        </w:rPr>
        <w:t>al</w:t>
      </w:r>
      <w:r w:rsidRPr="00ED4D49">
        <w:rPr>
          <w:lang w:val="en-US"/>
        </w:rPr>
        <w:t xml:space="preserve"> protection issues </w:t>
      </w:r>
      <w:r w:rsidR="000E5793" w:rsidRPr="00ED4D49">
        <w:rPr>
          <w:lang w:val="en-US"/>
        </w:rPr>
        <w:t>are</w:t>
      </w:r>
      <w:r w:rsidRPr="00ED4D49">
        <w:rPr>
          <w:lang w:val="en-US"/>
        </w:rPr>
        <w:t xml:space="preserve"> communicated with</w:t>
      </w:r>
      <w:r w:rsidR="000E5793" w:rsidRPr="00ED4D49">
        <w:rPr>
          <w:rStyle w:val="tlid-translation"/>
          <w:rFonts w:cs="Calibri"/>
          <w:lang w:val="en-US"/>
        </w:rPr>
        <w:t xml:space="preserve"> the</w:t>
      </w:r>
      <w:r w:rsidRPr="00ED4D49">
        <w:rPr>
          <w:lang w:val="en-US"/>
        </w:rPr>
        <w:t xml:space="preserve"> supervising body</w:t>
      </w:r>
      <w:r w:rsidR="000E5793" w:rsidRPr="00ED4D49">
        <w:rPr>
          <w:lang w:val="en-US"/>
        </w:rPr>
        <w:t xml:space="preserve"> and</w:t>
      </w:r>
      <w:r w:rsidRPr="00ED4D49">
        <w:rPr>
          <w:lang w:val="en-US"/>
        </w:rPr>
        <w:t xml:space="preserve"> </w:t>
      </w:r>
      <w:r w:rsidR="000E5793" w:rsidRPr="00ED4D49">
        <w:rPr>
          <w:rStyle w:val="tlid-translation"/>
          <w:rFonts w:cs="Calibri"/>
          <w:lang w:val="en-US"/>
        </w:rPr>
        <w:t>the</w:t>
      </w:r>
      <w:r w:rsidR="000E5793" w:rsidRPr="00ED4D49">
        <w:rPr>
          <w:lang w:val="en-US"/>
        </w:rPr>
        <w:t xml:space="preserve"> </w:t>
      </w:r>
      <w:r w:rsidRPr="00ED4D49">
        <w:rPr>
          <w:lang w:val="en-US"/>
        </w:rPr>
        <w:t xml:space="preserve">local community. The works are supervised by </w:t>
      </w:r>
      <w:r w:rsidR="00355F2A" w:rsidRPr="00ED4D49">
        <w:rPr>
          <w:lang w:val="en-US"/>
        </w:rPr>
        <w:t xml:space="preserve">the </w:t>
      </w:r>
      <w:r w:rsidRPr="00ED4D49">
        <w:rPr>
          <w:lang w:val="en-US"/>
        </w:rPr>
        <w:t>nominated supervising body, which controls</w:t>
      </w:r>
      <w:r w:rsidR="0063606C" w:rsidRPr="00ED4D49">
        <w:rPr>
          <w:lang w:val="en-US"/>
        </w:rPr>
        <w:t xml:space="preserve"> that</w:t>
      </w:r>
      <w:r w:rsidRPr="00ED4D49">
        <w:rPr>
          <w:lang w:val="en-US"/>
        </w:rPr>
        <w:t xml:space="preserve"> the activities are taken in line with the environment</w:t>
      </w:r>
      <w:r w:rsidR="00355F2A" w:rsidRPr="00ED4D49">
        <w:rPr>
          <w:lang w:val="en-US"/>
        </w:rPr>
        <w:t>al</w:t>
      </w:r>
      <w:r w:rsidRPr="00ED4D49">
        <w:rPr>
          <w:lang w:val="en-US"/>
        </w:rPr>
        <w:t xml:space="preserve"> management plan. Preparation of site-specific ESMPs for priority investments will be undertaken by qualified staff. They will also be responsible for the initial environmental screening documents, checklists and other environmentally related documentation during the </w:t>
      </w:r>
      <w:r w:rsidR="0063606C" w:rsidRPr="00ED4D49">
        <w:rPr>
          <w:lang w:val="en-US"/>
        </w:rPr>
        <w:t>Program</w:t>
      </w:r>
      <w:r w:rsidRPr="00ED4D49">
        <w:rPr>
          <w:lang w:val="en-US"/>
        </w:rPr>
        <w:t xml:space="preserve"> execution. In each PIU</w:t>
      </w:r>
      <w:r w:rsidR="00355F2A" w:rsidRPr="00ED4D49">
        <w:rPr>
          <w:lang w:val="en-US"/>
        </w:rPr>
        <w:t>,</w:t>
      </w:r>
      <w:r w:rsidRPr="00ED4D49">
        <w:rPr>
          <w:lang w:val="en-US"/>
        </w:rPr>
        <w:t xml:space="preserve"> a dedicated environmental specialist will be in charge of this process, as well as environmental monitoring and reporting. Details of these arrangements will be fully specified in the Project Operational Manual.</w:t>
      </w:r>
    </w:p>
    <w:p w14:paraId="79BC83FB" w14:textId="5DAB7052" w:rsidR="00193EC7" w:rsidRPr="00ED4D49" w:rsidRDefault="0090167D" w:rsidP="00193EC7">
      <w:pPr>
        <w:jc w:val="both"/>
        <w:rPr>
          <w:lang w:val="en-US" w:eastAsia="x-none"/>
        </w:rPr>
      </w:pPr>
      <w:r w:rsidRPr="00ED4D49">
        <w:rPr>
          <w:lang w:val="en-US" w:eastAsia="x-none"/>
        </w:rPr>
        <w:t xml:space="preserve">Contractors’ labor management compliance with local legislation requirements related to labor and safety at work would be monitored based on the basis of Reports on Compliance of Conditions of Work with the ESS 2, which the contractors shall submit to the PIUs and Supervision Consultant (external consultant) on a semi-annual basis. The format of the report is provided in LMP’s Annex. </w:t>
      </w:r>
    </w:p>
    <w:p w14:paraId="34D8F7FC" w14:textId="3B8C12FC" w:rsidR="0089387E" w:rsidRPr="00ED4D49" w:rsidRDefault="001E54A6" w:rsidP="00193EC7">
      <w:pPr>
        <w:jc w:val="both"/>
        <w:rPr>
          <w:rStyle w:val="tlid-translation"/>
          <w:rFonts w:cs="Calibri"/>
          <w:lang w:val="en-US"/>
        </w:rPr>
      </w:pPr>
      <w:r w:rsidRPr="00ED4D49">
        <w:rPr>
          <w:rStyle w:val="tlid-translation"/>
          <w:rFonts w:cs="Calibri"/>
          <w:lang w:val="en-US"/>
        </w:rPr>
        <w:t xml:space="preserve">The </w:t>
      </w:r>
      <w:r w:rsidR="00193EC7" w:rsidRPr="00ED4D49">
        <w:rPr>
          <w:rStyle w:val="tlid-translation"/>
          <w:rFonts w:cs="Calibri"/>
          <w:lang w:val="en-US"/>
        </w:rPr>
        <w:t>PIUs shall establish and maintain records on information and engagement of all stakeholders</w:t>
      </w:r>
      <w:r w:rsidR="0089387E" w:rsidRPr="00ED4D49">
        <w:rPr>
          <w:rStyle w:val="tlid-translation"/>
          <w:rFonts w:cs="Calibri"/>
          <w:lang w:val="en-US"/>
        </w:rPr>
        <w:t xml:space="preserve"> in accordance with the </w:t>
      </w:r>
      <w:r w:rsidR="00355F2A" w:rsidRPr="00ED4D49">
        <w:rPr>
          <w:rStyle w:val="tlid-translation"/>
          <w:rFonts w:cs="Calibri"/>
          <w:lang w:val="en-US"/>
        </w:rPr>
        <w:t>SEP</w:t>
      </w:r>
      <w:r w:rsidR="00DF1693" w:rsidRPr="00ED4D49">
        <w:rPr>
          <w:rStyle w:val="tlid-translation"/>
          <w:rFonts w:cs="Calibri"/>
          <w:lang w:val="en-US"/>
        </w:rPr>
        <w:t>.</w:t>
      </w:r>
    </w:p>
    <w:p w14:paraId="46AA3B10" w14:textId="7B35E518" w:rsidR="00193EC7" w:rsidRPr="00ED4D49" w:rsidRDefault="001E54A6" w:rsidP="00193EC7">
      <w:pPr>
        <w:jc w:val="both"/>
        <w:rPr>
          <w:rStyle w:val="tlid-translation"/>
          <w:rFonts w:cs="Calibri"/>
          <w:lang w:val="en-US"/>
        </w:rPr>
      </w:pPr>
      <w:bookmarkStart w:id="258" w:name="_Hlk25325548"/>
      <w:r w:rsidRPr="00ED4D49">
        <w:rPr>
          <w:rStyle w:val="tlid-translation"/>
          <w:rFonts w:cs="Calibri"/>
          <w:lang w:val="en-US"/>
        </w:rPr>
        <w:t xml:space="preserve">The </w:t>
      </w:r>
      <w:r w:rsidR="00193EC7" w:rsidRPr="00ED4D49">
        <w:rPr>
          <w:rStyle w:val="tlid-translation"/>
          <w:rFonts w:cs="Calibri"/>
          <w:lang w:val="en-US"/>
        </w:rPr>
        <w:t xml:space="preserve">PIUs </w:t>
      </w:r>
      <w:r w:rsidRPr="00ED4D49">
        <w:rPr>
          <w:rStyle w:val="tlid-translation"/>
          <w:rFonts w:cs="Calibri"/>
          <w:lang w:val="en-US"/>
        </w:rPr>
        <w:t>will</w:t>
      </w:r>
      <w:r w:rsidR="00193EC7" w:rsidRPr="00ED4D49">
        <w:rPr>
          <w:rStyle w:val="tlid-translation"/>
          <w:rFonts w:cs="Calibri"/>
          <w:lang w:val="en-US"/>
        </w:rPr>
        <w:t xml:space="preserve"> </w:t>
      </w:r>
      <w:r w:rsidR="00E177DE" w:rsidRPr="00ED4D49">
        <w:rPr>
          <w:rStyle w:val="tlid-translation"/>
          <w:rFonts w:cs="Calibri"/>
          <w:lang w:val="en-US"/>
        </w:rPr>
        <w:t xml:space="preserve">report </w:t>
      </w:r>
      <w:r w:rsidR="00193EC7" w:rsidRPr="00ED4D49">
        <w:rPr>
          <w:rStyle w:val="tlid-translation"/>
          <w:rFonts w:cs="Calibri"/>
          <w:lang w:val="en-US"/>
        </w:rPr>
        <w:t xml:space="preserve">on regular basis to </w:t>
      </w:r>
      <w:r w:rsidRPr="00ED4D49">
        <w:rPr>
          <w:rStyle w:val="tlid-translation"/>
          <w:rFonts w:cs="Calibri"/>
          <w:lang w:val="en-US"/>
        </w:rPr>
        <w:t>WB</w:t>
      </w:r>
      <w:r w:rsidR="00193EC7" w:rsidRPr="00ED4D49">
        <w:rPr>
          <w:rStyle w:val="tlid-translation"/>
          <w:rFonts w:cs="Calibri"/>
          <w:lang w:val="en-US"/>
        </w:rPr>
        <w:t xml:space="preserve"> on </w:t>
      </w:r>
      <w:r w:rsidR="00BB3655" w:rsidRPr="00ED4D49">
        <w:rPr>
          <w:rStyle w:val="tlid-translation"/>
          <w:rFonts w:cs="Calibri"/>
          <w:lang w:val="en-US"/>
        </w:rPr>
        <w:t>subproject</w:t>
      </w:r>
      <w:r w:rsidR="00193EC7" w:rsidRPr="00ED4D49">
        <w:rPr>
          <w:rStyle w:val="tlid-translation"/>
          <w:rFonts w:cs="Calibri"/>
          <w:lang w:val="en-US"/>
        </w:rPr>
        <w:t xml:space="preserve"> screening, approval and monitoring results.</w:t>
      </w:r>
    </w:p>
    <w:p w14:paraId="02CE172E" w14:textId="5AB8B653" w:rsidR="004B7BC4" w:rsidRPr="00ED4D49" w:rsidRDefault="004B7BC4" w:rsidP="004B7BC4">
      <w:pPr>
        <w:pStyle w:val="Heading2"/>
      </w:pPr>
      <w:bookmarkStart w:id="259" w:name="_Toc31811105"/>
      <w:bookmarkEnd w:id="258"/>
      <w:r w:rsidRPr="00ED4D49">
        <w:t>Demining</w:t>
      </w:r>
      <w:r w:rsidR="00C06A97" w:rsidRPr="00ED4D49">
        <w:t xml:space="preserve"> of the </w:t>
      </w:r>
      <w:r w:rsidR="003F3EF6" w:rsidRPr="00ED4D49">
        <w:t>R</w:t>
      </w:r>
      <w:r w:rsidR="00C06A97" w:rsidRPr="00ED4D49">
        <w:t xml:space="preserve">ight </w:t>
      </w:r>
      <w:r w:rsidR="003F3EF6" w:rsidRPr="00ED4D49">
        <w:t>B</w:t>
      </w:r>
      <w:r w:rsidR="00C06A97" w:rsidRPr="00ED4D49">
        <w:t>ank of the Sava River</w:t>
      </w:r>
      <w:bookmarkEnd w:id="259"/>
    </w:p>
    <w:p w14:paraId="3E94AAA0" w14:textId="77777777" w:rsidR="00991D9E" w:rsidRPr="00ED4D49" w:rsidRDefault="00991D9E" w:rsidP="00991D9E">
      <w:pPr>
        <w:jc w:val="both"/>
        <w:rPr>
          <w:b/>
          <w:bCs/>
          <w:lang w:val="en-US" w:eastAsia="x-none"/>
        </w:rPr>
      </w:pPr>
      <w:r w:rsidRPr="00ED4D49">
        <w:rPr>
          <w:b/>
          <w:bCs/>
          <w:lang w:val="en-US" w:eastAsia="x-none"/>
        </w:rPr>
        <w:t>Background</w:t>
      </w:r>
    </w:p>
    <w:p w14:paraId="5B5AA094" w14:textId="0EB8EFF6" w:rsidR="00555E82" w:rsidRPr="00ED4D49" w:rsidRDefault="003505C2" w:rsidP="004C3C6A">
      <w:pPr>
        <w:jc w:val="both"/>
        <w:rPr>
          <w:lang w:val="en-US" w:eastAsia="x-none"/>
        </w:rPr>
      </w:pPr>
      <w:r w:rsidRPr="00ED4D49">
        <w:rPr>
          <w:lang w:val="en-US" w:eastAsia="x-none"/>
        </w:rPr>
        <w:t xml:space="preserve">The 1992-1995 conflict related to the breakup of Yugoslavia left BiH with considerable </w:t>
      </w:r>
      <w:proofErr w:type="gramStart"/>
      <w:r w:rsidRPr="00ED4D49">
        <w:rPr>
          <w:lang w:val="en-US" w:eastAsia="x-none"/>
        </w:rPr>
        <w:t>mine</w:t>
      </w:r>
      <w:proofErr w:type="gramEnd"/>
      <w:r w:rsidRPr="00ED4D49">
        <w:rPr>
          <w:lang w:val="en-US" w:eastAsia="x-none"/>
        </w:rPr>
        <w:t xml:space="preserve"> contamination. </w:t>
      </w:r>
      <w:r w:rsidR="004354BC" w:rsidRPr="00ED4D49">
        <w:rPr>
          <w:lang w:val="en-US" w:eastAsia="x-none"/>
        </w:rPr>
        <w:t xml:space="preserve">Since 1996, a </w:t>
      </w:r>
      <w:r w:rsidRPr="00ED4D49">
        <w:rPr>
          <w:lang w:val="en-US" w:eastAsia="x-none"/>
        </w:rPr>
        <w:t xml:space="preserve">concerted effort by BiH’s Demining Commission, the Bosnia and Herzegovina Mine Action Center (BHMAC), </w:t>
      </w:r>
      <w:r w:rsidR="004354BC" w:rsidRPr="00ED4D49">
        <w:rPr>
          <w:lang w:val="en-US" w:eastAsia="x-none"/>
        </w:rPr>
        <w:t xml:space="preserve">and </w:t>
      </w:r>
      <w:r w:rsidRPr="00ED4D49">
        <w:rPr>
          <w:lang w:val="en-US" w:eastAsia="x-none"/>
        </w:rPr>
        <w:t xml:space="preserve">other governmental and non-governmental agencies and organizations, </w:t>
      </w:r>
      <w:r w:rsidR="004354BC" w:rsidRPr="00ED4D49">
        <w:rPr>
          <w:lang w:val="en-US" w:eastAsia="x-none"/>
        </w:rPr>
        <w:t>with</w:t>
      </w:r>
      <w:r w:rsidRPr="00ED4D49">
        <w:rPr>
          <w:lang w:val="en-US" w:eastAsia="x-none"/>
        </w:rPr>
        <w:t xml:space="preserve"> sustained financial and technical support from donors, international organizations, and international technical operators with demining expertise,</w:t>
      </w:r>
      <w:r w:rsidR="004354BC" w:rsidRPr="00ED4D49">
        <w:rPr>
          <w:lang w:val="en-US" w:eastAsia="x-none"/>
        </w:rPr>
        <w:t xml:space="preserve"> has led to the identification and destruction of nearly 66,000 anti-personnel mines, more than 8,500 anti-tank mines, and nearly 60,000 pieces of unexploded ordnance (UXO) through painstaking work of technical surveying and land clearance. </w:t>
      </w:r>
      <w:r w:rsidR="0094686F" w:rsidRPr="00ED4D49">
        <w:rPr>
          <w:lang w:val="en-US" w:eastAsia="x-none"/>
        </w:rPr>
        <w:t xml:space="preserve">Most of the technical guidance and coordination that underpinned this effort was provided by BHMAC as BiH’s lead technical agency for demining. </w:t>
      </w:r>
      <w:r w:rsidR="00555E82" w:rsidRPr="00ED4D49">
        <w:rPr>
          <w:lang w:val="en-US" w:eastAsia="x-none"/>
        </w:rPr>
        <w:t xml:space="preserve">This organization is directly </w:t>
      </w:r>
      <w:r w:rsidR="00555E82" w:rsidRPr="00ED4D49">
        <w:rPr>
          <w:lang w:val="en-US" w:eastAsia="x-none"/>
        </w:rPr>
        <w:lastRenderedPageBreak/>
        <w:t xml:space="preserve">under the Demining </w:t>
      </w:r>
      <w:r w:rsidR="002F4FF5" w:rsidRPr="00ED4D49">
        <w:rPr>
          <w:lang w:val="en-US" w:eastAsia="x-none"/>
        </w:rPr>
        <w:t xml:space="preserve">Commission </w:t>
      </w:r>
      <w:r w:rsidR="00555E82" w:rsidRPr="00ED4D49">
        <w:rPr>
          <w:lang w:val="en-US" w:eastAsia="x-none"/>
        </w:rPr>
        <w:t xml:space="preserve">of BiH of the Ministry of Civil Affairs of </w:t>
      </w:r>
      <w:r w:rsidR="002F4FF5" w:rsidRPr="00ED4D49">
        <w:rPr>
          <w:lang w:val="en-US" w:eastAsia="x-none"/>
        </w:rPr>
        <w:t>BiH</w:t>
      </w:r>
      <w:r w:rsidR="00555E82" w:rsidRPr="00ED4D49">
        <w:rPr>
          <w:lang w:val="en-US" w:eastAsia="x-none"/>
        </w:rPr>
        <w:t xml:space="preserve"> and evolved from the United Nations Mine Action Center UNMAC, based on the law regulating mining from 2002. BHMAC is the only authorized body that maintains the database of all areas with the risk of landmines, provides technical and safety standards, accredits companies for demining, and does all tasks related to overseeing mining activities.</w:t>
      </w:r>
      <w:r w:rsidR="009864D4" w:rsidRPr="00ED4D49">
        <w:rPr>
          <w:lang w:val="en-US" w:eastAsia="x-none"/>
        </w:rPr>
        <w:t xml:space="preserve"> BHMAC has its headquarters in Sarajevo and two entity offices: Office BHMAC Sarajevo and Office BHMAC Banja Luka, along with eight regional offices. These offices conduct the coordination of eight regional offices operations, </w:t>
      </w:r>
      <w:r w:rsidR="00975B43" w:rsidRPr="00ED4D49">
        <w:rPr>
          <w:lang w:val="en-US" w:eastAsia="x-none"/>
        </w:rPr>
        <w:t>focused on</w:t>
      </w:r>
      <w:r w:rsidR="009864D4" w:rsidRPr="00ED4D49">
        <w:rPr>
          <w:lang w:val="en-US" w:eastAsia="x-none"/>
        </w:rPr>
        <w:t xml:space="preserve"> planning, survey</w:t>
      </w:r>
      <w:r w:rsidR="00975B43" w:rsidRPr="00ED4D49">
        <w:rPr>
          <w:lang w:val="en-US" w:eastAsia="x-none"/>
        </w:rPr>
        <w:t>s</w:t>
      </w:r>
      <w:r w:rsidR="009864D4" w:rsidRPr="00ED4D49">
        <w:rPr>
          <w:lang w:val="en-US" w:eastAsia="x-none"/>
        </w:rPr>
        <w:t xml:space="preserve"> and quality assurance/quality control.</w:t>
      </w:r>
    </w:p>
    <w:p w14:paraId="7FEF3E96" w14:textId="0E0B1CC0" w:rsidR="0094686F" w:rsidRPr="00ED4D49" w:rsidRDefault="00675A95" w:rsidP="004C3C6A">
      <w:pPr>
        <w:jc w:val="both"/>
        <w:rPr>
          <w:lang w:val="en-US" w:eastAsia="x-none"/>
        </w:rPr>
      </w:pPr>
      <w:r w:rsidRPr="00ED4D49">
        <w:rPr>
          <w:lang w:val="en-US" w:eastAsia="x-none"/>
        </w:rPr>
        <w:t xml:space="preserve">As of 2003, </w:t>
      </w:r>
      <w:r w:rsidR="0094686F" w:rsidRPr="00ED4D49">
        <w:rPr>
          <w:lang w:val="en-US" w:eastAsia="x-none"/>
        </w:rPr>
        <w:t>BHMAC developed and adopted Standing Operational Procedures for Humanitarian Demining (SOP)</w:t>
      </w:r>
      <w:r w:rsidRPr="00ED4D49">
        <w:rPr>
          <w:lang w:val="en-US" w:eastAsia="x-none"/>
        </w:rPr>
        <w:t xml:space="preserve"> to ensure that all mine action in BiH was conducted in a safe, efficient, and technically robust manner, in accordance with all applicable national laws and consistent with BiH’s international obligations regarding demining. BHMAC’s SOPs</w:t>
      </w:r>
      <w:r w:rsidR="0094686F" w:rsidRPr="00ED4D49">
        <w:rPr>
          <w:lang w:val="en-US" w:eastAsia="x-none"/>
        </w:rPr>
        <w:t xml:space="preserve"> are consistent with the International Mine Action Standards (IMAS)</w:t>
      </w:r>
      <w:r w:rsidRPr="00ED4D49">
        <w:rPr>
          <w:lang w:val="en-US" w:eastAsia="x-none"/>
        </w:rPr>
        <w:t>, which are</w:t>
      </w:r>
      <w:r w:rsidR="0094686F" w:rsidRPr="00ED4D49">
        <w:rPr>
          <w:lang w:val="en-US" w:eastAsia="x-none"/>
        </w:rPr>
        <w:t xml:space="preserve"> the standards applicable to all mine action operations conducted by the United Nations (UN</w:t>
      </w:r>
      <w:r w:rsidRPr="00ED4D49">
        <w:rPr>
          <w:lang w:val="en-US" w:eastAsia="x-none"/>
        </w:rPr>
        <w:t xml:space="preserve">), as initially endorsed by the UN Inter-Agency Coordination Group on Mine Action in 2001. </w:t>
      </w:r>
    </w:p>
    <w:p w14:paraId="621036C2" w14:textId="775BB58C" w:rsidR="0094686F" w:rsidRPr="00ED4D49" w:rsidRDefault="00675A95" w:rsidP="004C3C6A">
      <w:pPr>
        <w:jc w:val="both"/>
        <w:rPr>
          <w:lang w:val="en-US" w:eastAsia="x-none"/>
        </w:rPr>
      </w:pPr>
      <w:r w:rsidRPr="00ED4D49">
        <w:rPr>
          <w:lang w:val="en-US" w:eastAsia="x-none"/>
        </w:rPr>
        <w:t>Despite these accomplishments</w:t>
      </w:r>
      <w:r w:rsidR="004354BC" w:rsidRPr="00ED4D49">
        <w:rPr>
          <w:lang w:val="en-US" w:eastAsia="x-none"/>
        </w:rPr>
        <w:t>, the magnitude of the challenge is such that</w:t>
      </w:r>
      <w:r w:rsidR="003505C2" w:rsidRPr="00ED4D49">
        <w:rPr>
          <w:lang w:val="en-US" w:eastAsia="x-none"/>
        </w:rPr>
        <w:t xml:space="preserve"> </w:t>
      </w:r>
      <w:r w:rsidR="004354BC" w:rsidRPr="00ED4D49">
        <w:rPr>
          <w:lang w:val="en-US" w:eastAsia="x-none"/>
        </w:rPr>
        <w:t>mine contamination persists in BiH to</w:t>
      </w:r>
      <w:r w:rsidRPr="00ED4D49">
        <w:rPr>
          <w:lang w:val="en-US" w:eastAsia="x-none"/>
        </w:rPr>
        <w:t xml:space="preserve"> this day</w:t>
      </w:r>
      <w:r w:rsidR="004354BC" w:rsidRPr="00ED4D49">
        <w:rPr>
          <w:lang w:val="en-US" w:eastAsia="x-none"/>
        </w:rPr>
        <w:t>,</w:t>
      </w:r>
      <w:r w:rsidR="003505C2" w:rsidRPr="00ED4D49">
        <w:rPr>
          <w:lang w:val="en-US" w:eastAsia="x-none"/>
        </w:rPr>
        <w:t xml:space="preserve"> nearly 25 </w:t>
      </w:r>
      <w:r w:rsidR="004354BC" w:rsidRPr="00ED4D49">
        <w:rPr>
          <w:lang w:val="en-US" w:eastAsia="x-none"/>
        </w:rPr>
        <w:t>years after</w:t>
      </w:r>
      <w:r w:rsidR="003505C2" w:rsidRPr="00ED4D49">
        <w:rPr>
          <w:lang w:val="en-US" w:eastAsia="x-none"/>
        </w:rPr>
        <w:t xml:space="preserve"> the end of conflict</w:t>
      </w:r>
      <w:r w:rsidR="004354BC" w:rsidRPr="00ED4D49">
        <w:rPr>
          <w:lang w:val="en-US" w:eastAsia="x-none"/>
        </w:rPr>
        <w:t>—</w:t>
      </w:r>
      <w:r w:rsidR="0094686F" w:rsidRPr="00ED4D49">
        <w:rPr>
          <w:lang w:val="en-US" w:eastAsia="x-none"/>
        </w:rPr>
        <w:t>as a result of which BiH is the most heavily mined country in Europe</w:t>
      </w:r>
      <w:r w:rsidR="003505C2" w:rsidRPr="00ED4D49">
        <w:rPr>
          <w:lang w:val="en-US" w:eastAsia="x-none"/>
        </w:rPr>
        <w:t>. According to BHMAC, as of 2018</w:t>
      </w:r>
      <w:r w:rsidR="009E44E5" w:rsidRPr="00ED4D49">
        <w:rPr>
          <w:lang w:val="en-US" w:eastAsia="x-none"/>
        </w:rPr>
        <w:t>,</w:t>
      </w:r>
      <w:r w:rsidR="003505C2" w:rsidRPr="00ED4D49">
        <w:rPr>
          <w:lang w:val="en-US" w:eastAsia="x-none"/>
        </w:rPr>
        <w:t xml:space="preserve"> there was a total suspected mine</w:t>
      </w:r>
      <w:r w:rsidR="004354BC" w:rsidRPr="00ED4D49">
        <w:rPr>
          <w:lang w:val="en-US" w:eastAsia="x-none"/>
        </w:rPr>
        <w:t>d</w:t>
      </w:r>
      <w:r w:rsidR="003505C2" w:rsidRPr="00ED4D49">
        <w:rPr>
          <w:lang w:val="en-US" w:eastAsia="x-none"/>
        </w:rPr>
        <w:t xml:space="preserve"> area </w:t>
      </w:r>
      <w:r w:rsidR="004354BC" w:rsidRPr="00ED4D49">
        <w:rPr>
          <w:lang w:val="en-US" w:eastAsia="x-none"/>
        </w:rPr>
        <w:t>of</w:t>
      </w:r>
      <w:r w:rsidR="003505C2" w:rsidRPr="00ED4D49">
        <w:rPr>
          <w:lang w:val="en-US" w:eastAsia="x-none"/>
        </w:rPr>
        <w:t xml:space="preserve"> 1,018 km</w:t>
      </w:r>
      <w:r w:rsidR="003505C2" w:rsidRPr="00ED4D49">
        <w:rPr>
          <w:vertAlign w:val="superscript"/>
          <w:lang w:val="en-US" w:eastAsia="x-none"/>
        </w:rPr>
        <w:t>2</w:t>
      </w:r>
      <w:r w:rsidR="003505C2" w:rsidRPr="00ED4D49">
        <w:rPr>
          <w:lang w:val="en-US" w:eastAsia="x-none"/>
        </w:rPr>
        <w:t xml:space="preserve">, or approximately 2.1% of BiH’s territorial extension. This area comprises 8,525 suspected micro-locations that may hold an estimated 79,000 mines/unexploded ordnance (UXO). </w:t>
      </w:r>
      <w:r w:rsidR="004354BC" w:rsidRPr="00ED4D49">
        <w:rPr>
          <w:lang w:val="en-US" w:eastAsia="x-none"/>
        </w:rPr>
        <w:t xml:space="preserve">Some 15% of the population of BiH is estimated to be at risk of exposure to micro-locations contaminated with mines. </w:t>
      </w:r>
    </w:p>
    <w:p w14:paraId="74FE6994" w14:textId="1E2E44D1" w:rsidR="00991D9E" w:rsidRPr="00ED4D49" w:rsidRDefault="00DF49B8" w:rsidP="00991D9E">
      <w:pPr>
        <w:jc w:val="both"/>
        <w:rPr>
          <w:b/>
          <w:bCs/>
          <w:lang w:val="en-US" w:eastAsia="x-none"/>
        </w:rPr>
      </w:pPr>
      <w:r w:rsidRPr="00ED4D49">
        <w:rPr>
          <w:b/>
          <w:bCs/>
          <w:lang w:val="en-US" w:eastAsia="x-none"/>
        </w:rPr>
        <w:t>Rationale for d</w:t>
      </w:r>
      <w:r w:rsidR="00991D9E" w:rsidRPr="00ED4D49">
        <w:rPr>
          <w:b/>
          <w:bCs/>
          <w:lang w:val="en-US" w:eastAsia="x-none"/>
        </w:rPr>
        <w:t xml:space="preserve">emining of the right bank of Sava River </w:t>
      </w:r>
    </w:p>
    <w:p w14:paraId="66908DE8" w14:textId="0A9F1524" w:rsidR="0094686F" w:rsidRPr="00ED4D49" w:rsidRDefault="0094686F" w:rsidP="004C3C6A">
      <w:pPr>
        <w:jc w:val="both"/>
        <w:rPr>
          <w:lang w:val="en-US" w:eastAsia="x-none"/>
        </w:rPr>
      </w:pPr>
      <w:r w:rsidRPr="00ED4D49">
        <w:rPr>
          <w:lang w:val="en-US" w:eastAsia="x-none"/>
        </w:rPr>
        <w:t xml:space="preserve">The deployment of mines in BiH territory was carried out primarily along jurisdiction demarcation lines, one of the most visible of which being the banks of the Sava </w:t>
      </w:r>
      <w:r w:rsidR="00991D9E" w:rsidRPr="00ED4D49">
        <w:rPr>
          <w:lang w:val="en-US" w:eastAsia="x-none"/>
        </w:rPr>
        <w:t>R</w:t>
      </w:r>
      <w:r w:rsidRPr="00ED4D49">
        <w:rPr>
          <w:lang w:val="en-US" w:eastAsia="x-none"/>
        </w:rPr>
        <w:t xml:space="preserve">iver, a shared natural resource which today marks an important portion of the border between BiH and Croatia (as well as, though to a much smaller extent of river km, a portion of the border between BiH and Serbia). </w:t>
      </w:r>
      <w:r w:rsidR="00467B97" w:rsidRPr="00ED4D49">
        <w:rPr>
          <w:lang w:val="en-US" w:eastAsia="x-none"/>
        </w:rPr>
        <w:t xml:space="preserve">The right bank of the </w:t>
      </w:r>
      <w:proofErr w:type="gramStart"/>
      <w:r w:rsidR="00467B97" w:rsidRPr="00ED4D49">
        <w:rPr>
          <w:lang w:val="en-US" w:eastAsia="x-none"/>
        </w:rPr>
        <w:t>Sava river</w:t>
      </w:r>
      <w:proofErr w:type="gramEnd"/>
      <w:r w:rsidR="00467B97" w:rsidRPr="00ED4D49">
        <w:rPr>
          <w:lang w:val="en-US" w:eastAsia="x-none"/>
        </w:rPr>
        <w:t xml:space="preserve">, within BiH, remains exposed to the risk of mines—this being a major reason why economic development of this river has been minimal since the end of the regional conflict in the 1990s. </w:t>
      </w:r>
      <w:r w:rsidRPr="00ED4D49">
        <w:rPr>
          <w:lang w:val="en-US" w:eastAsia="x-none"/>
        </w:rPr>
        <w:t xml:space="preserve">The presence of mines and UXO </w:t>
      </w:r>
      <w:r w:rsidR="00991D9E" w:rsidRPr="00ED4D49">
        <w:rPr>
          <w:lang w:val="en-US" w:eastAsia="x-none"/>
        </w:rPr>
        <w:t>on</w:t>
      </w:r>
      <w:r w:rsidRPr="00ED4D49">
        <w:rPr>
          <w:lang w:val="en-US" w:eastAsia="x-none"/>
        </w:rPr>
        <w:t xml:space="preserve"> the right bank of the Sava </w:t>
      </w:r>
      <w:r w:rsidR="009E44E5" w:rsidRPr="00ED4D49">
        <w:rPr>
          <w:lang w:val="en-US" w:eastAsia="x-none"/>
        </w:rPr>
        <w:t>R</w:t>
      </w:r>
      <w:r w:rsidRPr="00ED4D49">
        <w:rPr>
          <w:lang w:val="en-US" w:eastAsia="x-none"/>
        </w:rPr>
        <w:t xml:space="preserve">iver within BiH is not only a threat to individuals or communities </w:t>
      </w:r>
      <w:r w:rsidR="00675A95" w:rsidRPr="00ED4D49">
        <w:rPr>
          <w:lang w:val="en-US" w:eastAsia="x-none"/>
        </w:rPr>
        <w:t xml:space="preserve">that may be </w:t>
      </w:r>
      <w:r w:rsidRPr="00ED4D49">
        <w:rPr>
          <w:lang w:val="en-US" w:eastAsia="x-none"/>
        </w:rPr>
        <w:t xml:space="preserve">exposed to or </w:t>
      </w:r>
      <w:r w:rsidR="00675A95" w:rsidRPr="00ED4D49">
        <w:rPr>
          <w:lang w:val="en-US" w:eastAsia="x-none"/>
        </w:rPr>
        <w:t xml:space="preserve">come </w:t>
      </w:r>
      <w:r w:rsidRPr="00ED4D49">
        <w:rPr>
          <w:lang w:val="en-US" w:eastAsia="x-none"/>
        </w:rPr>
        <w:t xml:space="preserve">close to those locations, but also a de facto barrier and impediment to infrastructure investments and economic activity in and linked to the Sava </w:t>
      </w:r>
      <w:r w:rsidR="00991D9E" w:rsidRPr="00ED4D49">
        <w:rPr>
          <w:lang w:val="en-US" w:eastAsia="x-none"/>
        </w:rPr>
        <w:t>R</w:t>
      </w:r>
      <w:r w:rsidRPr="00ED4D49">
        <w:rPr>
          <w:lang w:val="en-US" w:eastAsia="x-none"/>
        </w:rPr>
        <w:t>iver</w:t>
      </w:r>
      <w:r w:rsidR="00675A95" w:rsidRPr="00ED4D49">
        <w:rPr>
          <w:lang w:val="en-US" w:eastAsia="x-none"/>
        </w:rPr>
        <w:t>—a major natural resource of significant socioeconomic and ecological potential at the national and regional level—</w:t>
      </w:r>
      <w:r w:rsidRPr="00ED4D49">
        <w:rPr>
          <w:lang w:val="en-US" w:eastAsia="x-none"/>
        </w:rPr>
        <w:t>on both sides of the border (the left bank of the river, in Croatian territory, has since been cleared of mines</w:t>
      </w:r>
      <w:r w:rsidR="00991D9E" w:rsidRPr="00ED4D49">
        <w:rPr>
          <w:lang w:val="en-US" w:eastAsia="x-none"/>
        </w:rPr>
        <w:t xml:space="preserve"> to a great extent</w:t>
      </w:r>
      <w:r w:rsidR="00991D9E" w:rsidRPr="00ED4D49">
        <w:rPr>
          <w:rStyle w:val="FootnoteReference"/>
          <w:lang w:val="en-US" w:eastAsia="x-none"/>
        </w:rPr>
        <w:footnoteReference w:id="75"/>
      </w:r>
      <w:r w:rsidRPr="00ED4D49">
        <w:rPr>
          <w:lang w:val="en-US" w:eastAsia="x-none"/>
        </w:rPr>
        <w:t>).</w:t>
      </w:r>
    </w:p>
    <w:p w14:paraId="140BF6F9" w14:textId="0FF76E98" w:rsidR="00555E82" w:rsidRPr="00ED4D49" w:rsidRDefault="00675A95" w:rsidP="004C3C6A">
      <w:pPr>
        <w:jc w:val="both"/>
        <w:rPr>
          <w:lang w:val="en-US" w:eastAsia="x-none"/>
        </w:rPr>
      </w:pPr>
      <w:r w:rsidRPr="00ED4D49">
        <w:rPr>
          <w:lang w:val="en-US" w:eastAsia="x-none"/>
        </w:rPr>
        <w:t xml:space="preserve">In light of the socioeconomic and ecological significance of the Sava </w:t>
      </w:r>
      <w:r w:rsidR="00DD3126" w:rsidRPr="00ED4D49">
        <w:rPr>
          <w:lang w:val="en-US" w:eastAsia="x-none"/>
        </w:rPr>
        <w:t>R</w:t>
      </w:r>
      <w:r w:rsidRPr="00ED4D49">
        <w:rPr>
          <w:lang w:val="en-US" w:eastAsia="x-none"/>
        </w:rPr>
        <w:t>iver</w:t>
      </w:r>
      <w:r w:rsidR="00DD3126" w:rsidRPr="00ED4D49">
        <w:rPr>
          <w:lang w:val="en-US" w:eastAsia="x-none"/>
        </w:rPr>
        <w:t xml:space="preserve"> (as elaborated on in Chapters </w:t>
      </w:r>
      <w:r w:rsidR="00DD3126" w:rsidRPr="00ED4D49">
        <w:rPr>
          <w:lang w:val="en-US" w:eastAsia="x-none"/>
        </w:rPr>
        <w:fldChar w:fldCharType="begin"/>
      </w:r>
      <w:r w:rsidR="00DD3126" w:rsidRPr="00ED4D49">
        <w:rPr>
          <w:lang w:val="en-US" w:eastAsia="x-none"/>
        </w:rPr>
        <w:instrText xml:space="preserve"> REF _Ref30157482 \n \h </w:instrText>
      </w:r>
      <w:r w:rsidR="00ED4D49">
        <w:rPr>
          <w:lang w:val="en-US" w:eastAsia="x-none"/>
        </w:rPr>
        <w:instrText xml:space="preserve"> \* MERGEFORMAT </w:instrText>
      </w:r>
      <w:r w:rsidR="00DD3126" w:rsidRPr="00ED4D49">
        <w:rPr>
          <w:lang w:val="en-US" w:eastAsia="x-none"/>
        </w:rPr>
      </w:r>
      <w:r w:rsidR="00DD3126" w:rsidRPr="00ED4D49">
        <w:rPr>
          <w:lang w:val="en-US" w:eastAsia="x-none"/>
        </w:rPr>
        <w:fldChar w:fldCharType="separate"/>
      </w:r>
      <w:r w:rsidR="00F60130" w:rsidRPr="00ED4D49">
        <w:rPr>
          <w:lang w:val="en-US" w:eastAsia="x-none"/>
        </w:rPr>
        <w:t>3</w:t>
      </w:r>
      <w:r w:rsidR="00DD3126" w:rsidRPr="00ED4D49">
        <w:rPr>
          <w:lang w:val="en-US" w:eastAsia="x-none"/>
        </w:rPr>
        <w:fldChar w:fldCharType="end"/>
      </w:r>
      <w:r w:rsidR="00DD3126" w:rsidRPr="00ED4D49">
        <w:rPr>
          <w:lang w:val="en-US" w:eastAsia="x-none"/>
        </w:rPr>
        <w:t xml:space="preserve"> and </w:t>
      </w:r>
      <w:r w:rsidR="00DD3126" w:rsidRPr="00ED4D49">
        <w:rPr>
          <w:lang w:val="en-US" w:eastAsia="x-none"/>
        </w:rPr>
        <w:fldChar w:fldCharType="begin"/>
      </w:r>
      <w:r w:rsidR="00DD3126" w:rsidRPr="00ED4D49">
        <w:rPr>
          <w:lang w:val="en-US" w:eastAsia="x-none"/>
        </w:rPr>
        <w:instrText xml:space="preserve"> REF _Ref30157487 \n \h </w:instrText>
      </w:r>
      <w:r w:rsidR="00ED4D49">
        <w:rPr>
          <w:lang w:val="en-US" w:eastAsia="x-none"/>
        </w:rPr>
        <w:instrText xml:space="preserve"> \* MERGEFORMAT </w:instrText>
      </w:r>
      <w:r w:rsidR="00DD3126" w:rsidRPr="00ED4D49">
        <w:rPr>
          <w:lang w:val="en-US" w:eastAsia="x-none"/>
        </w:rPr>
      </w:r>
      <w:r w:rsidR="00DD3126" w:rsidRPr="00ED4D49">
        <w:rPr>
          <w:lang w:val="en-US" w:eastAsia="x-none"/>
        </w:rPr>
        <w:fldChar w:fldCharType="separate"/>
      </w:r>
      <w:r w:rsidR="00F60130" w:rsidRPr="00ED4D49">
        <w:rPr>
          <w:lang w:val="en-US" w:eastAsia="x-none"/>
        </w:rPr>
        <w:t>4</w:t>
      </w:r>
      <w:r w:rsidR="00DD3126" w:rsidRPr="00ED4D49">
        <w:rPr>
          <w:lang w:val="en-US" w:eastAsia="x-none"/>
        </w:rPr>
        <w:fldChar w:fldCharType="end"/>
      </w:r>
      <w:r w:rsidR="00DD3126" w:rsidRPr="00ED4D49">
        <w:rPr>
          <w:lang w:val="en-US" w:eastAsia="x-none"/>
        </w:rPr>
        <w:t xml:space="preserve"> on the baseline characteristics of the area)</w:t>
      </w:r>
      <w:r w:rsidRPr="00ED4D49">
        <w:rPr>
          <w:lang w:val="en-US" w:eastAsia="x-none"/>
        </w:rPr>
        <w:t xml:space="preserve">, there has been a longstanding interest in removing mines and UXO from the Sava’s right bank in BiH (including demining and UXO removal in a highly selective manner in the Sava river fairway). </w:t>
      </w:r>
      <w:r w:rsidR="00965FC0" w:rsidRPr="00ED4D49">
        <w:rPr>
          <w:lang w:val="en-US" w:eastAsia="x-none"/>
        </w:rPr>
        <w:t>Demining is also a prerequisite for civil works execution in the key waterway sections to be improved later in the program.</w:t>
      </w:r>
    </w:p>
    <w:p w14:paraId="78C22C38" w14:textId="2D224FE8" w:rsidR="00675A95" w:rsidRPr="00ED4D49" w:rsidRDefault="00675A95" w:rsidP="004C3C6A">
      <w:pPr>
        <w:jc w:val="both"/>
        <w:rPr>
          <w:lang w:val="en-US" w:eastAsia="x-none"/>
        </w:rPr>
      </w:pPr>
      <w:r w:rsidRPr="00ED4D49">
        <w:rPr>
          <w:lang w:val="en-US" w:eastAsia="x-none"/>
        </w:rPr>
        <w:t xml:space="preserve">It is in this context that SDIP proposes the mobilization of grant funding to demine the right bank of the </w:t>
      </w:r>
      <w:proofErr w:type="gramStart"/>
      <w:r w:rsidRPr="00ED4D49">
        <w:rPr>
          <w:lang w:val="en-US" w:eastAsia="x-none"/>
        </w:rPr>
        <w:t>Sava river</w:t>
      </w:r>
      <w:proofErr w:type="gramEnd"/>
      <w:r w:rsidRPr="00ED4D49">
        <w:rPr>
          <w:lang w:val="en-US" w:eastAsia="x-none"/>
        </w:rPr>
        <w:t xml:space="preserve"> in BiH, thereby effectively unlocking the river to investments and myriad economic activities linked to the river for decades to come, including key navigation and port expansion investments proposed under SDIP’s Phase II.</w:t>
      </w:r>
    </w:p>
    <w:p w14:paraId="424001FE" w14:textId="77777777" w:rsidR="006C047F" w:rsidRPr="00ED4D49" w:rsidRDefault="006C047F" w:rsidP="006C047F">
      <w:pPr>
        <w:jc w:val="both"/>
        <w:rPr>
          <w:lang w:val="en-US" w:eastAsia="x-none"/>
        </w:rPr>
      </w:pPr>
      <w:r w:rsidRPr="00ED4D49">
        <w:rPr>
          <w:lang w:val="en-US" w:eastAsia="x-none"/>
        </w:rPr>
        <w:t>The estimated cost of demining of the Sava River right bank is 8.2M Euros and will take about 10 to 16 months to complete.</w:t>
      </w:r>
    </w:p>
    <w:p w14:paraId="1D8CC5FC" w14:textId="355379AD" w:rsidR="00965FC0" w:rsidRPr="00ED4D49" w:rsidRDefault="00C742CC" w:rsidP="004C3C6A">
      <w:pPr>
        <w:jc w:val="both"/>
        <w:rPr>
          <w:lang w:val="en-US" w:eastAsia="x-none"/>
        </w:rPr>
      </w:pPr>
      <w:r w:rsidRPr="00ED4D49">
        <w:rPr>
          <w:b/>
          <w:bCs/>
          <w:lang w:val="en-US" w:eastAsia="x-none"/>
        </w:rPr>
        <w:lastRenderedPageBreak/>
        <w:t>Preparatory a</w:t>
      </w:r>
      <w:r w:rsidR="00965FC0" w:rsidRPr="00ED4D49">
        <w:rPr>
          <w:b/>
          <w:bCs/>
          <w:lang w:val="en-US" w:eastAsia="x-none"/>
        </w:rPr>
        <w:t xml:space="preserve">ctivities </w:t>
      </w:r>
    </w:p>
    <w:p w14:paraId="5FC7B999" w14:textId="1E3179A0" w:rsidR="00C742CC" w:rsidRPr="00ED4D49" w:rsidRDefault="009864D4" w:rsidP="009864D4">
      <w:pPr>
        <w:widowControl w:val="0"/>
        <w:autoSpaceDE w:val="0"/>
        <w:autoSpaceDN w:val="0"/>
        <w:adjustRightInd w:val="0"/>
        <w:spacing w:before="0" w:after="0" w:line="240" w:lineRule="auto"/>
        <w:jc w:val="both"/>
        <w:rPr>
          <w:lang w:val="en-US" w:eastAsia="x-none"/>
        </w:rPr>
      </w:pPr>
      <w:r w:rsidRPr="00ED4D49">
        <w:rPr>
          <w:rFonts w:asciiTheme="minorHAnsi" w:hAnsiTheme="minorHAnsi"/>
          <w:color w:val="0D0D0D" w:themeColor="text1" w:themeTint="F2"/>
          <w:lang w:val="en-US"/>
        </w:rPr>
        <w:t xml:space="preserve">The demining needs of the right bank of the </w:t>
      </w:r>
      <w:proofErr w:type="gramStart"/>
      <w:r w:rsidRPr="00ED4D49">
        <w:rPr>
          <w:rFonts w:asciiTheme="minorHAnsi" w:hAnsiTheme="minorHAnsi"/>
          <w:color w:val="0D0D0D" w:themeColor="text1" w:themeTint="F2"/>
          <w:lang w:val="en-US"/>
        </w:rPr>
        <w:t>Sava river</w:t>
      </w:r>
      <w:proofErr w:type="gramEnd"/>
      <w:r w:rsidRPr="00ED4D49">
        <w:rPr>
          <w:rFonts w:asciiTheme="minorHAnsi" w:hAnsiTheme="minorHAnsi"/>
          <w:color w:val="0D0D0D" w:themeColor="text1" w:themeTint="F2"/>
          <w:lang w:val="en-US"/>
        </w:rPr>
        <w:t xml:space="preserve"> have been mapped. </w:t>
      </w:r>
      <w:r w:rsidR="00C742CC" w:rsidRPr="00ED4D49">
        <w:rPr>
          <w:lang w:val="en-US" w:eastAsia="x-none"/>
        </w:rPr>
        <w:t>BHMAC has already produced detailed engineering designs for the demining activities, which will need to be updated prior to commencement of civil works. For purposes of updating, BHMAC plans to use drones and site visits to ascertain the actual situation. It is expected that these investigations will take approx. 1 month.</w:t>
      </w:r>
    </w:p>
    <w:p w14:paraId="5A8CF79F" w14:textId="77777777" w:rsidR="003F7B05" w:rsidRPr="00ED4D49" w:rsidRDefault="003F7B05" w:rsidP="009864D4">
      <w:pPr>
        <w:widowControl w:val="0"/>
        <w:autoSpaceDE w:val="0"/>
        <w:autoSpaceDN w:val="0"/>
        <w:adjustRightInd w:val="0"/>
        <w:spacing w:before="0" w:after="0" w:line="240" w:lineRule="auto"/>
        <w:jc w:val="both"/>
        <w:rPr>
          <w:lang w:val="en-US" w:eastAsia="x-none"/>
        </w:rPr>
      </w:pPr>
    </w:p>
    <w:p w14:paraId="797DD9B1" w14:textId="77777777" w:rsidR="00C742CC" w:rsidRPr="00ED4D49" w:rsidRDefault="00C742CC" w:rsidP="009864D4">
      <w:pPr>
        <w:widowControl w:val="0"/>
        <w:autoSpaceDE w:val="0"/>
        <w:autoSpaceDN w:val="0"/>
        <w:adjustRightInd w:val="0"/>
        <w:spacing w:before="0" w:after="0" w:line="240" w:lineRule="auto"/>
        <w:jc w:val="both"/>
        <w:rPr>
          <w:lang w:val="en-US" w:eastAsia="x-none"/>
        </w:rPr>
      </w:pPr>
    </w:p>
    <w:p w14:paraId="7667941A" w14:textId="23098D2D" w:rsidR="003263DC" w:rsidRPr="00ED4D49" w:rsidRDefault="009864D4" w:rsidP="009864D4">
      <w:pPr>
        <w:widowControl w:val="0"/>
        <w:autoSpaceDE w:val="0"/>
        <w:autoSpaceDN w:val="0"/>
        <w:adjustRightInd w:val="0"/>
        <w:spacing w:before="0" w:after="0" w:line="240" w:lineRule="auto"/>
        <w:jc w:val="both"/>
        <w:rPr>
          <w:rFonts w:asciiTheme="minorHAnsi" w:hAnsiTheme="minorHAnsi"/>
          <w:color w:val="0D0D0D" w:themeColor="text1" w:themeTint="F2"/>
          <w:lang w:val="en-US"/>
        </w:rPr>
      </w:pPr>
      <w:r w:rsidRPr="00ED4D49">
        <w:rPr>
          <w:rFonts w:asciiTheme="minorHAnsi" w:hAnsiTheme="minorHAnsi"/>
          <w:color w:val="0D0D0D" w:themeColor="text1" w:themeTint="F2"/>
          <w:lang w:val="en-US"/>
        </w:rPr>
        <w:t>According to BHMAC</w:t>
      </w:r>
      <w:r w:rsidR="003263DC" w:rsidRPr="00ED4D49">
        <w:rPr>
          <w:rStyle w:val="FootnoteReference"/>
          <w:rFonts w:asciiTheme="minorHAnsi" w:hAnsiTheme="minorHAnsi"/>
          <w:lang w:val="en-US"/>
        </w:rPr>
        <w:footnoteReference w:id="76"/>
      </w:r>
      <w:r w:rsidRPr="00ED4D49">
        <w:rPr>
          <w:rFonts w:asciiTheme="minorHAnsi" w:hAnsiTheme="minorHAnsi"/>
          <w:color w:val="0D0D0D" w:themeColor="text1" w:themeTint="F2"/>
          <w:lang w:val="en-US"/>
        </w:rPr>
        <w:t xml:space="preserve">, there are </w:t>
      </w:r>
      <w:r w:rsidR="00587350" w:rsidRPr="00ED4D49">
        <w:rPr>
          <w:rFonts w:asciiTheme="minorHAnsi" w:hAnsiTheme="minorHAnsi"/>
          <w:color w:val="0D0D0D" w:themeColor="text1" w:themeTint="F2"/>
          <w:lang w:val="en-US"/>
        </w:rPr>
        <w:t xml:space="preserve">94 </w:t>
      </w:r>
      <w:r w:rsidRPr="00ED4D49">
        <w:rPr>
          <w:rFonts w:asciiTheme="minorHAnsi" w:hAnsiTheme="minorHAnsi"/>
          <w:color w:val="0D0D0D" w:themeColor="text1" w:themeTint="F2"/>
          <w:lang w:val="en-US"/>
        </w:rPr>
        <w:t xml:space="preserve">identified sites, covering an area of </w:t>
      </w:r>
      <w:r w:rsidR="00587350" w:rsidRPr="00ED4D49">
        <w:rPr>
          <w:rFonts w:asciiTheme="minorHAnsi" w:hAnsiTheme="minorHAnsi"/>
          <w:color w:val="0D0D0D" w:themeColor="text1" w:themeTint="F2"/>
          <w:lang w:val="bs-Latn-BA"/>
        </w:rPr>
        <w:t xml:space="preserve">6.534.000 </w:t>
      </w:r>
      <w:r w:rsidRPr="00ED4D49">
        <w:rPr>
          <w:rFonts w:asciiTheme="minorHAnsi" w:hAnsiTheme="minorHAnsi"/>
          <w:color w:val="0D0D0D" w:themeColor="text1" w:themeTint="F2"/>
          <w:lang w:val="en-US"/>
        </w:rPr>
        <w:t>m</w:t>
      </w:r>
      <w:r w:rsidRPr="00ED4D49">
        <w:rPr>
          <w:rFonts w:asciiTheme="minorHAnsi" w:hAnsiTheme="minorHAnsi"/>
          <w:color w:val="0D0D0D" w:themeColor="text1" w:themeTint="F2"/>
          <w:vertAlign w:val="superscript"/>
          <w:lang w:val="en-US"/>
        </w:rPr>
        <w:t>2</w:t>
      </w:r>
      <w:r w:rsidRPr="00ED4D49">
        <w:rPr>
          <w:rFonts w:asciiTheme="minorHAnsi" w:hAnsiTheme="minorHAnsi"/>
          <w:color w:val="0D0D0D" w:themeColor="text1" w:themeTint="F2"/>
          <w:lang w:val="en-US"/>
        </w:rPr>
        <w:t xml:space="preserve"> along the</w:t>
      </w:r>
      <w:r w:rsidR="003263DC" w:rsidRPr="00ED4D49">
        <w:rPr>
          <w:rFonts w:asciiTheme="minorHAnsi" w:hAnsiTheme="minorHAnsi"/>
          <w:color w:val="0D0D0D" w:themeColor="text1" w:themeTint="F2"/>
          <w:lang w:val="en-US"/>
        </w:rPr>
        <w:t xml:space="preserve"> </w:t>
      </w:r>
      <w:r w:rsidRPr="00ED4D49">
        <w:rPr>
          <w:rFonts w:asciiTheme="minorHAnsi" w:hAnsiTheme="minorHAnsi"/>
          <w:color w:val="0D0D0D" w:themeColor="text1" w:themeTint="F2"/>
          <w:lang w:val="en-US"/>
        </w:rPr>
        <w:t>Sava River bank</w:t>
      </w:r>
      <w:r w:rsidR="003263DC" w:rsidRPr="00ED4D49">
        <w:rPr>
          <w:rFonts w:asciiTheme="minorHAnsi" w:hAnsiTheme="minorHAnsi"/>
          <w:color w:val="0D0D0D" w:themeColor="text1" w:themeTint="F2"/>
          <w:lang w:val="en-US"/>
        </w:rPr>
        <w:t xml:space="preserve"> right</w:t>
      </w:r>
      <w:r w:rsidRPr="00ED4D49">
        <w:rPr>
          <w:rFonts w:asciiTheme="minorHAnsi" w:hAnsiTheme="minorHAnsi"/>
          <w:color w:val="0D0D0D" w:themeColor="text1" w:themeTint="F2"/>
          <w:lang w:val="en-US"/>
        </w:rPr>
        <w:t xml:space="preserve"> that need to be demine</w:t>
      </w:r>
      <w:r w:rsidR="003263DC" w:rsidRPr="00ED4D49">
        <w:rPr>
          <w:rFonts w:asciiTheme="minorHAnsi" w:hAnsiTheme="minorHAnsi"/>
          <w:color w:val="0D0D0D" w:themeColor="text1" w:themeTint="F2"/>
          <w:lang w:val="en-US"/>
        </w:rPr>
        <w:t>d. These sites are located in 10 municipalities:</w:t>
      </w:r>
    </w:p>
    <w:p w14:paraId="265B6542" w14:textId="77777777" w:rsidR="00BC2294" w:rsidRPr="00ED4D49" w:rsidRDefault="00BC2294" w:rsidP="003263DC">
      <w:pPr>
        <w:pStyle w:val="ListParagraph"/>
        <w:widowControl w:val="0"/>
        <w:numPr>
          <w:ilvl w:val="0"/>
          <w:numId w:val="34"/>
        </w:numPr>
        <w:autoSpaceDE w:val="0"/>
        <w:autoSpaceDN w:val="0"/>
        <w:adjustRightInd w:val="0"/>
        <w:spacing w:before="0" w:after="0" w:line="240" w:lineRule="auto"/>
        <w:jc w:val="both"/>
        <w:rPr>
          <w:rFonts w:asciiTheme="minorHAnsi" w:hAnsiTheme="minorHAnsi"/>
          <w:color w:val="0D0D0D" w:themeColor="text1" w:themeTint="F2"/>
          <w:sz w:val="20"/>
          <w:szCs w:val="20"/>
        </w:rPr>
        <w:sectPr w:rsidR="00BC2294" w:rsidRPr="00ED4D49" w:rsidSect="00F57E67">
          <w:headerReference w:type="default" r:id="rId42"/>
          <w:headerReference w:type="first" r:id="rId43"/>
          <w:pgSz w:w="11900" w:h="16840"/>
          <w:pgMar w:top="1440" w:right="1440" w:bottom="1440" w:left="1440" w:header="720" w:footer="720" w:gutter="0"/>
          <w:cols w:space="720"/>
          <w:titlePg/>
          <w:docGrid w:linePitch="360"/>
        </w:sectPr>
      </w:pPr>
    </w:p>
    <w:p w14:paraId="636597C0" w14:textId="41885616" w:rsidR="003263DC" w:rsidRPr="00ED4D49" w:rsidRDefault="003263DC" w:rsidP="003263DC">
      <w:pPr>
        <w:pStyle w:val="ListParagraph"/>
        <w:widowControl w:val="0"/>
        <w:numPr>
          <w:ilvl w:val="0"/>
          <w:numId w:val="34"/>
        </w:numPr>
        <w:autoSpaceDE w:val="0"/>
        <w:autoSpaceDN w:val="0"/>
        <w:adjustRightInd w:val="0"/>
        <w:spacing w:before="0" w:after="0" w:line="240" w:lineRule="auto"/>
        <w:jc w:val="both"/>
        <w:rPr>
          <w:rFonts w:asciiTheme="minorHAnsi" w:hAnsiTheme="minorHAnsi"/>
          <w:color w:val="0D0D0D" w:themeColor="text1" w:themeTint="F2"/>
          <w:sz w:val="20"/>
          <w:szCs w:val="20"/>
        </w:rPr>
      </w:pPr>
      <w:proofErr w:type="spellStart"/>
      <w:r w:rsidRPr="00ED4D49">
        <w:rPr>
          <w:rFonts w:asciiTheme="minorHAnsi" w:hAnsiTheme="minorHAnsi"/>
          <w:color w:val="0D0D0D" w:themeColor="text1" w:themeTint="F2"/>
          <w:sz w:val="20"/>
          <w:szCs w:val="20"/>
        </w:rPr>
        <w:t>Odžak</w:t>
      </w:r>
      <w:proofErr w:type="spellEnd"/>
    </w:p>
    <w:p w14:paraId="4FEE9229" w14:textId="4ACA33DE" w:rsidR="00BC2294" w:rsidRPr="00ED4D49" w:rsidRDefault="00BC2294" w:rsidP="003263DC">
      <w:pPr>
        <w:pStyle w:val="ListParagraph"/>
        <w:widowControl w:val="0"/>
        <w:numPr>
          <w:ilvl w:val="0"/>
          <w:numId w:val="34"/>
        </w:numPr>
        <w:autoSpaceDE w:val="0"/>
        <w:autoSpaceDN w:val="0"/>
        <w:adjustRightInd w:val="0"/>
        <w:spacing w:before="0" w:after="0" w:line="240" w:lineRule="auto"/>
        <w:jc w:val="both"/>
        <w:rPr>
          <w:rFonts w:asciiTheme="minorHAnsi" w:hAnsiTheme="minorHAnsi"/>
          <w:color w:val="0D0D0D" w:themeColor="text1" w:themeTint="F2"/>
          <w:sz w:val="20"/>
          <w:szCs w:val="20"/>
        </w:rPr>
      </w:pPr>
      <w:r w:rsidRPr="00ED4D49">
        <w:rPr>
          <w:rFonts w:asciiTheme="minorHAnsi" w:hAnsiTheme="minorHAnsi"/>
          <w:color w:val="0D0D0D" w:themeColor="text1" w:themeTint="F2"/>
          <w:sz w:val="20"/>
          <w:szCs w:val="20"/>
        </w:rPr>
        <w:t>Brčko</w:t>
      </w:r>
    </w:p>
    <w:p w14:paraId="0193E838" w14:textId="5E5939A0" w:rsidR="00BC2294" w:rsidRPr="00ED4D49" w:rsidRDefault="00BC2294" w:rsidP="003263DC">
      <w:pPr>
        <w:pStyle w:val="ListParagraph"/>
        <w:widowControl w:val="0"/>
        <w:numPr>
          <w:ilvl w:val="0"/>
          <w:numId w:val="34"/>
        </w:numPr>
        <w:autoSpaceDE w:val="0"/>
        <w:autoSpaceDN w:val="0"/>
        <w:adjustRightInd w:val="0"/>
        <w:spacing w:before="0" w:after="0" w:line="240" w:lineRule="auto"/>
        <w:jc w:val="both"/>
        <w:rPr>
          <w:rFonts w:asciiTheme="minorHAnsi" w:hAnsiTheme="minorHAnsi"/>
          <w:color w:val="0D0D0D" w:themeColor="text1" w:themeTint="F2"/>
          <w:sz w:val="20"/>
          <w:szCs w:val="20"/>
        </w:rPr>
      </w:pPr>
      <w:proofErr w:type="spellStart"/>
      <w:r w:rsidRPr="00ED4D49">
        <w:rPr>
          <w:rFonts w:asciiTheme="minorHAnsi" w:hAnsiTheme="minorHAnsi"/>
          <w:color w:val="0D0D0D" w:themeColor="text1" w:themeTint="F2"/>
          <w:sz w:val="20"/>
          <w:szCs w:val="20"/>
        </w:rPr>
        <w:t>Domaljevac</w:t>
      </w:r>
      <w:proofErr w:type="spellEnd"/>
      <w:r w:rsidRPr="00ED4D49">
        <w:rPr>
          <w:rFonts w:asciiTheme="minorHAnsi" w:hAnsiTheme="minorHAnsi"/>
          <w:color w:val="0D0D0D" w:themeColor="text1" w:themeTint="F2"/>
          <w:sz w:val="20"/>
          <w:szCs w:val="20"/>
        </w:rPr>
        <w:t xml:space="preserve"> </w:t>
      </w:r>
      <w:proofErr w:type="spellStart"/>
      <w:r w:rsidRPr="00ED4D49">
        <w:rPr>
          <w:rFonts w:asciiTheme="minorHAnsi" w:hAnsiTheme="minorHAnsi"/>
          <w:color w:val="0D0D0D" w:themeColor="text1" w:themeTint="F2"/>
          <w:sz w:val="20"/>
          <w:szCs w:val="20"/>
        </w:rPr>
        <w:t>Šamac</w:t>
      </w:r>
      <w:proofErr w:type="spellEnd"/>
    </w:p>
    <w:p w14:paraId="2004AA4F" w14:textId="7294E82F" w:rsidR="00BC2294" w:rsidRPr="00ED4D49" w:rsidRDefault="00BC2294" w:rsidP="003263DC">
      <w:pPr>
        <w:pStyle w:val="ListParagraph"/>
        <w:widowControl w:val="0"/>
        <w:numPr>
          <w:ilvl w:val="0"/>
          <w:numId w:val="34"/>
        </w:numPr>
        <w:autoSpaceDE w:val="0"/>
        <w:autoSpaceDN w:val="0"/>
        <w:adjustRightInd w:val="0"/>
        <w:spacing w:before="0" w:after="0" w:line="240" w:lineRule="auto"/>
        <w:jc w:val="both"/>
        <w:rPr>
          <w:rFonts w:asciiTheme="minorHAnsi" w:hAnsiTheme="minorHAnsi"/>
          <w:color w:val="0D0D0D" w:themeColor="text1" w:themeTint="F2"/>
          <w:sz w:val="20"/>
          <w:szCs w:val="20"/>
        </w:rPr>
      </w:pPr>
      <w:proofErr w:type="spellStart"/>
      <w:r w:rsidRPr="00ED4D49">
        <w:rPr>
          <w:rFonts w:asciiTheme="minorHAnsi" w:hAnsiTheme="minorHAnsi"/>
          <w:color w:val="0D0D0D" w:themeColor="text1" w:themeTint="F2"/>
          <w:sz w:val="20"/>
          <w:szCs w:val="20"/>
        </w:rPr>
        <w:t>Orašje</w:t>
      </w:r>
      <w:proofErr w:type="spellEnd"/>
    </w:p>
    <w:p w14:paraId="559C49AF" w14:textId="6687D4E6" w:rsidR="00BC2294" w:rsidRPr="00ED4D49" w:rsidRDefault="00BC2294" w:rsidP="003263DC">
      <w:pPr>
        <w:pStyle w:val="ListParagraph"/>
        <w:widowControl w:val="0"/>
        <w:numPr>
          <w:ilvl w:val="0"/>
          <w:numId w:val="34"/>
        </w:numPr>
        <w:autoSpaceDE w:val="0"/>
        <w:autoSpaceDN w:val="0"/>
        <w:adjustRightInd w:val="0"/>
        <w:spacing w:before="0" w:after="0" w:line="240" w:lineRule="auto"/>
        <w:jc w:val="both"/>
        <w:rPr>
          <w:rFonts w:asciiTheme="minorHAnsi" w:hAnsiTheme="minorHAnsi"/>
          <w:color w:val="0D0D0D" w:themeColor="text1" w:themeTint="F2"/>
          <w:sz w:val="20"/>
          <w:szCs w:val="20"/>
        </w:rPr>
      </w:pPr>
      <w:proofErr w:type="spellStart"/>
      <w:r w:rsidRPr="00ED4D49">
        <w:rPr>
          <w:rFonts w:asciiTheme="minorHAnsi" w:hAnsiTheme="minorHAnsi"/>
          <w:color w:val="0D0D0D" w:themeColor="text1" w:themeTint="F2"/>
          <w:sz w:val="20"/>
          <w:szCs w:val="20"/>
        </w:rPr>
        <w:t>Kozarska</w:t>
      </w:r>
      <w:proofErr w:type="spellEnd"/>
      <w:r w:rsidRPr="00ED4D49">
        <w:rPr>
          <w:rFonts w:asciiTheme="minorHAnsi" w:hAnsiTheme="minorHAnsi"/>
          <w:color w:val="0D0D0D" w:themeColor="text1" w:themeTint="F2"/>
          <w:sz w:val="20"/>
          <w:szCs w:val="20"/>
        </w:rPr>
        <w:t xml:space="preserve"> </w:t>
      </w:r>
      <w:proofErr w:type="spellStart"/>
      <w:r w:rsidRPr="00ED4D49">
        <w:rPr>
          <w:rFonts w:asciiTheme="minorHAnsi" w:hAnsiTheme="minorHAnsi"/>
          <w:color w:val="0D0D0D" w:themeColor="text1" w:themeTint="F2"/>
          <w:sz w:val="20"/>
          <w:szCs w:val="20"/>
        </w:rPr>
        <w:t>Dubica</w:t>
      </w:r>
      <w:proofErr w:type="spellEnd"/>
    </w:p>
    <w:p w14:paraId="03FF5972" w14:textId="32B48D9E" w:rsidR="00BC2294" w:rsidRPr="00ED4D49" w:rsidRDefault="00BC2294" w:rsidP="003263DC">
      <w:pPr>
        <w:pStyle w:val="ListParagraph"/>
        <w:widowControl w:val="0"/>
        <w:numPr>
          <w:ilvl w:val="0"/>
          <w:numId w:val="34"/>
        </w:numPr>
        <w:autoSpaceDE w:val="0"/>
        <w:autoSpaceDN w:val="0"/>
        <w:adjustRightInd w:val="0"/>
        <w:spacing w:before="0" w:after="0" w:line="240" w:lineRule="auto"/>
        <w:jc w:val="both"/>
        <w:rPr>
          <w:rFonts w:asciiTheme="minorHAnsi" w:hAnsiTheme="minorHAnsi"/>
          <w:color w:val="0D0D0D" w:themeColor="text1" w:themeTint="F2"/>
          <w:sz w:val="20"/>
          <w:szCs w:val="20"/>
        </w:rPr>
      </w:pPr>
      <w:proofErr w:type="spellStart"/>
      <w:r w:rsidRPr="00ED4D49">
        <w:rPr>
          <w:rFonts w:asciiTheme="minorHAnsi" w:hAnsiTheme="minorHAnsi"/>
          <w:color w:val="0D0D0D" w:themeColor="text1" w:themeTint="F2"/>
          <w:sz w:val="20"/>
          <w:szCs w:val="20"/>
        </w:rPr>
        <w:t>Gradiška</w:t>
      </w:r>
      <w:proofErr w:type="spellEnd"/>
    </w:p>
    <w:p w14:paraId="53A9B3E0" w14:textId="6AE984B7" w:rsidR="00BC2294" w:rsidRPr="00ED4D49" w:rsidRDefault="00BC2294" w:rsidP="003263DC">
      <w:pPr>
        <w:pStyle w:val="ListParagraph"/>
        <w:widowControl w:val="0"/>
        <w:numPr>
          <w:ilvl w:val="0"/>
          <w:numId w:val="34"/>
        </w:numPr>
        <w:autoSpaceDE w:val="0"/>
        <w:autoSpaceDN w:val="0"/>
        <w:adjustRightInd w:val="0"/>
        <w:spacing w:before="0" w:after="0" w:line="240" w:lineRule="auto"/>
        <w:jc w:val="both"/>
        <w:rPr>
          <w:rFonts w:asciiTheme="minorHAnsi" w:hAnsiTheme="minorHAnsi"/>
          <w:color w:val="0D0D0D" w:themeColor="text1" w:themeTint="F2"/>
          <w:sz w:val="20"/>
          <w:szCs w:val="20"/>
        </w:rPr>
      </w:pPr>
      <w:proofErr w:type="spellStart"/>
      <w:r w:rsidRPr="00ED4D49">
        <w:rPr>
          <w:rFonts w:asciiTheme="minorHAnsi" w:hAnsiTheme="minorHAnsi"/>
          <w:color w:val="0D0D0D" w:themeColor="text1" w:themeTint="F2"/>
          <w:sz w:val="20"/>
          <w:szCs w:val="20"/>
        </w:rPr>
        <w:t>Srbac</w:t>
      </w:r>
      <w:proofErr w:type="spellEnd"/>
    </w:p>
    <w:p w14:paraId="1B95511A" w14:textId="4B8F08D2" w:rsidR="00BC2294" w:rsidRPr="00ED4D49" w:rsidRDefault="00BC2294" w:rsidP="003263DC">
      <w:pPr>
        <w:pStyle w:val="ListParagraph"/>
        <w:widowControl w:val="0"/>
        <w:numPr>
          <w:ilvl w:val="0"/>
          <w:numId w:val="34"/>
        </w:numPr>
        <w:autoSpaceDE w:val="0"/>
        <w:autoSpaceDN w:val="0"/>
        <w:adjustRightInd w:val="0"/>
        <w:spacing w:before="0" w:after="0" w:line="240" w:lineRule="auto"/>
        <w:jc w:val="both"/>
        <w:rPr>
          <w:rFonts w:asciiTheme="minorHAnsi" w:hAnsiTheme="minorHAnsi"/>
          <w:color w:val="0D0D0D" w:themeColor="text1" w:themeTint="F2"/>
          <w:sz w:val="20"/>
          <w:szCs w:val="20"/>
        </w:rPr>
      </w:pPr>
      <w:proofErr w:type="spellStart"/>
      <w:r w:rsidRPr="00ED4D49">
        <w:rPr>
          <w:rFonts w:asciiTheme="minorHAnsi" w:hAnsiTheme="minorHAnsi"/>
          <w:color w:val="0D0D0D" w:themeColor="text1" w:themeTint="F2"/>
          <w:sz w:val="20"/>
          <w:szCs w:val="20"/>
        </w:rPr>
        <w:t>Derventa</w:t>
      </w:r>
      <w:proofErr w:type="spellEnd"/>
    </w:p>
    <w:p w14:paraId="49522B38" w14:textId="19A8D2F5" w:rsidR="00BC2294" w:rsidRPr="00ED4D49" w:rsidRDefault="00BC2294" w:rsidP="003263DC">
      <w:pPr>
        <w:pStyle w:val="ListParagraph"/>
        <w:widowControl w:val="0"/>
        <w:numPr>
          <w:ilvl w:val="0"/>
          <w:numId w:val="34"/>
        </w:numPr>
        <w:autoSpaceDE w:val="0"/>
        <w:autoSpaceDN w:val="0"/>
        <w:adjustRightInd w:val="0"/>
        <w:spacing w:before="0" w:after="0" w:line="240" w:lineRule="auto"/>
        <w:jc w:val="both"/>
        <w:rPr>
          <w:rFonts w:asciiTheme="minorHAnsi" w:hAnsiTheme="minorHAnsi"/>
          <w:color w:val="0D0D0D" w:themeColor="text1" w:themeTint="F2"/>
          <w:sz w:val="20"/>
          <w:szCs w:val="20"/>
        </w:rPr>
      </w:pPr>
      <w:r w:rsidRPr="00ED4D49">
        <w:rPr>
          <w:rFonts w:asciiTheme="minorHAnsi" w:hAnsiTheme="minorHAnsi"/>
          <w:color w:val="0D0D0D" w:themeColor="text1" w:themeTint="F2"/>
          <w:sz w:val="20"/>
          <w:szCs w:val="20"/>
        </w:rPr>
        <w:t>Brod</w:t>
      </w:r>
    </w:p>
    <w:p w14:paraId="7CB1C722" w14:textId="23C7C2C9" w:rsidR="00BC2294" w:rsidRPr="00ED4D49" w:rsidRDefault="00BC2294" w:rsidP="003263DC">
      <w:pPr>
        <w:pStyle w:val="ListParagraph"/>
        <w:widowControl w:val="0"/>
        <w:numPr>
          <w:ilvl w:val="0"/>
          <w:numId w:val="34"/>
        </w:numPr>
        <w:autoSpaceDE w:val="0"/>
        <w:autoSpaceDN w:val="0"/>
        <w:adjustRightInd w:val="0"/>
        <w:spacing w:before="0" w:after="0" w:line="240" w:lineRule="auto"/>
        <w:jc w:val="both"/>
        <w:rPr>
          <w:rFonts w:asciiTheme="minorHAnsi" w:hAnsiTheme="minorHAnsi"/>
          <w:color w:val="0D0D0D" w:themeColor="text1" w:themeTint="F2"/>
          <w:sz w:val="20"/>
          <w:szCs w:val="20"/>
        </w:rPr>
      </w:pPr>
      <w:proofErr w:type="spellStart"/>
      <w:r w:rsidRPr="00ED4D49">
        <w:rPr>
          <w:rFonts w:asciiTheme="minorHAnsi" w:hAnsiTheme="minorHAnsi"/>
          <w:color w:val="0D0D0D" w:themeColor="text1" w:themeTint="F2"/>
          <w:sz w:val="20"/>
          <w:szCs w:val="20"/>
        </w:rPr>
        <w:t>Šamac</w:t>
      </w:r>
      <w:proofErr w:type="spellEnd"/>
    </w:p>
    <w:p w14:paraId="406F0C09" w14:textId="77777777" w:rsidR="00BC2294" w:rsidRPr="00ED4D49" w:rsidRDefault="00BC2294" w:rsidP="009864D4">
      <w:pPr>
        <w:widowControl w:val="0"/>
        <w:autoSpaceDE w:val="0"/>
        <w:autoSpaceDN w:val="0"/>
        <w:adjustRightInd w:val="0"/>
        <w:spacing w:before="0" w:after="0" w:line="240" w:lineRule="auto"/>
        <w:jc w:val="both"/>
        <w:rPr>
          <w:rFonts w:asciiTheme="minorHAnsi" w:hAnsiTheme="minorHAnsi"/>
          <w:color w:val="0D0D0D" w:themeColor="text1" w:themeTint="F2"/>
          <w:lang w:val="en-US"/>
        </w:rPr>
        <w:sectPr w:rsidR="00BC2294" w:rsidRPr="00ED4D49" w:rsidSect="00BC2294">
          <w:type w:val="continuous"/>
          <w:pgSz w:w="11900" w:h="16840"/>
          <w:pgMar w:top="1440" w:right="1440" w:bottom="1440" w:left="1440" w:header="720" w:footer="720" w:gutter="0"/>
          <w:cols w:num="2" w:space="720"/>
          <w:titlePg/>
          <w:docGrid w:linePitch="360"/>
        </w:sectPr>
      </w:pPr>
    </w:p>
    <w:p w14:paraId="4DC4384A" w14:textId="1B485199" w:rsidR="003263DC" w:rsidRPr="00ED4D49" w:rsidRDefault="003263DC" w:rsidP="009864D4">
      <w:pPr>
        <w:widowControl w:val="0"/>
        <w:autoSpaceDE w:val="0"/>
        <w:autoSpaceDN w:val="0"/>
        <w:adjustRightInd w:val="0"/>
        <w:spacing w:before="0" w:after="0" w:line="240" w:lineRule="auto"/>
        <w:jc w:val="both"/>
        <w:rPr>
          <w:rFonts w:asciiTheme="minorHAnsi" w:hAnsiTheme="minorHAnsi"/>
          <w:color w:val="0D0D0D" w:themeColor="text1" w:themeTint="F2"/>
          <w:lang w:val="en-US"/>
        </w:rPr>
      </w:pPr>
    </w:p>
    <w:p w14:paraId="25B43689" w14:textId="77777777" w:rsidR="00C742CC" w:rsidRPr="00ED4D49" w:rsidRDefault="00C742CC" w:rsidP="009864D4">
      <w:pPr>
        <w:widowControl w:val="0"/>
        <w:autoSpaceDE w:val="0"/>
        <w:autoSpaceDN w:val="0"/>
        <w:adjustRightInd w:val="0"/>
        <w:spacing w:before="0" w:after="0" w:line="240" w:lineRule="auto"/>
        <w:jc w:val="both"/>
        <w:rPr>
          <w:rFonts w:asciiTheme="minorHAnsi" w:hAnsiTheme="minorHAnsi"/>
          <w:color w:val="0D0D0D" w:themeColor="text1" w:themeTint="F2"/>
          <w:lang w:val="en-US"/>
        </w:rPr>
      </w:pPr>
      <w:r w:rsidRPr="00ED4D49">
        <w:rPr>
          <w:rFonts w:asciiTheme="minorHAnsi" w:hAnsiTheme="minorHAnsi"/>
          <w:color w:val="0D0D0D" w:themeColor="text1" w:themeTint="F2"/>
          <w:lang w:val="en-US"/>
        </w:rPr>
        <w:t>Of these 9.9 million m</w:t>
      </w:r>
      <w:r w:rsidRPr="00ED4D49">
        <w:rPr>
          <w:rFonts w:asciiTheme="minorHAnsi" w:hAnsiTheme="minorHAnsi"/>
          <w:color w:val="0D0D0D" w:themeColor="text1" w:themeTint="F2"/>
          <w:vertAlign w:val="superscript"/>
          <w:lang w:val="en-US"/>
        </w:rPr>
        <w:t>2</w:t>
      </w:r>
      <w:r w:rsidRPr="00ED4D49">
        <w:rPr>
          <w:rFonts w:asciiTheme="minorHAnsi" w:hAnsiTheme="minorHAnsi"/>
          <w:color w:val="0D0D0D" w:themeColor="text1" w:themeTint="F2"/>
          <w:lang w:val="en-US"/>
        </w:rPr>
        <w:t>, 1.3 m</w:t>
      </w:r>
      <w:r w:rsidRPr="00ED4D49">
        <w:rPr>
          <w:rFonts w:asciiTheme="minorHAnsi" w:hAnsiTheme="minorHAnsi"/>
          <w:color w:val="0D0D0D" w:themeColor="text1" w:themeTint="F2"/>
          <w:vertAlign w:val="superscript"/>
          <w:lang w:val="en-US"/>
        </w:rPr>
        <w:t xml:space="preserve">2 </w:t>
      </w:r>
      <w:r w:rsidRPr="00ED4D49">
        <w:rPr>
          <w:rFonts w:asciiTheme="minorHAnsi" w:hAnsiTheme="minorHAnsi"/>
          <w:color w:val="0D0D0D" w:themeColor="text1" w:themeTint="F2"/>
          <w:lang w:val="en-US"/>
        </w:rPr>
        <w:t>will undergo clearance activities and the rest will undergo technical survey activities.</w:t>
      </w:r>
    </w:p>
    <w:p w14:paraId="7687D96B" w14:textId="0BA3CB20" w:rsidR="00C742CC" w:rsidRPr="00ED4D49" w:rsidRDefault="00C742CC" w:rsidP="009864D4">
      <w:pPr>
        <w:widowControl w:val="0"/>
        <w:autoSpaceDE w:val="0"/>
        <w:autoSpaceDN w:val="0"/>
        <w:adjustRightInd w:val="0"/>
        <w:spacing w:before="0" w:after="0" w:line="240" w:lineRule="auto"/>
        <w:jc w:val="both"/>
        <w:rPr>
          <w:rFonts w:asciiTheme="minorHAnsi" w:hAnsiTheme="minorHAnsi"/>
          <w:color w:val="0D0D0D" w:themeColor="text1" w:themeTint="F2"/>
          <w:lang w:val="en-US"/>
        </w:rPr>
      </w:pPr>
      <w:r w:rsidRPr="00ED4D49">
        <w:rPr>
          <w:rFonts w:asciiTheme="minorHAnsi" w:hAnsiTheme="minorHAnsi"/>
          <w:color w:val="0D0D0D" w:themeColor="text1" w:themeTint="F2"/>
          <w:lang w:val="en-US"/>
        </w:rPr>
        <w:t xml:space="preserve"> </w:t>
      </w:r>
    </w:p>
    <w:p w14:paraId="696F620D" w14:textId="552B3B1E" w:rsidR="009864D4" w:rsidRPr="00ED4D49" w:rsidRDefault="009864D4" w:rsidP="009864D4">
      <w:pPr>
        <w:widowControl w:val="0"/>
        <w:autoSpaceDE w:val="0"/>
        <w:autoSpaceDN w:val="0"/>
        <w:adjustRightInd w:val="0"/>
        <w:spacing w:before="0" w:after="0" w:line="240" w:lineRule="auto"/>
        <w:jc w:val="both"/>
        <w:rPr>
          <w:rFonts w:asciiTheme="minorHAnsi" w:hAnsiTheme="minorHAnsi"/>
          <w:color w:val="0D0D0D" w:themeColor="text1" w:themeTint="F2"/>
          <w:lang w:val="en-US"/>
        </w:rPr>
      </w:pPr>
      <w:r w:rsidRPr="00ED4D49">
        <w:rPr>
          <w:rFonts w:asciiTheme="minorHAnsi" w:hAnsiTheme="minorHAnsi"/>
          <w:color w:val="0D0D0D" w:themeColor="text1" w:themeTint="F2"/>
          <w:lang w:val="en-US"/>
        </w:rPr>
        <w:t>The figure below illustrates the entire demining area.</w:t>
      </w:r>
    </w:p>
    <w:p w14:paraId="2FD816BD" w14:textId="77777777" w:rsidR="009864D4" w:rsidRPr="00ED4D49" w:rsidRDefault="009864D4" w:rsidP="009864D4">
      <w:pPr>
        <w:rPr>
          <w:lang w:val="en-US"/>
        </w:rPr>
      </w:pPr>
      <w:r w:rsidRPr="00ED4D49">
        <w:rPr>
          <w:noProof/>
          <w:lang w:val="bs-Latn-BA" w:eastAsia="bs-Latn-BA"/>
        </w:rPr>
        <w:drawing>
          <wp:inline distT="0" distB="0" distL="0" distR="0" wp14:anchorId="0FED1107" wp14:editId="14B2EE25">
            <wp:extent cx="5943600" cy="2030730"/>
            <wp:effectExtent l="0" t="0" r="0" b="7620"/>
            <wp:docPr id="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0546750" name="Picture 3"/>
                    <pic:cNvPicPr>
                      <a:picLocks noChangeAspect="1"/>
                    </pic:cNvPicPr>
                  </pic:nvPicPr>
                  <pic:blipFill>
                    <a:blip r:embed="rId44" cstate="screen">
                      <a:extLst>
                        <a:ext uri="{28A0092B-C50C-407E-A947-70E740481C1C}">
                          <a14:useLocalDpi xmlns:a14="http://schemas.microsoft.com/office/drawing/2010/main"/>
                        </a:ext>
                      </a:extLst>
                    </a:blip>
                    <a:srcRect/>
                    <a:stretch>
                      <a:fillRect/>
                    </a:stretch>
                  </pic:blipFill>
                  <pic:spPr>
                    <a:xfrm>
                      <a:off x="0" y="0"/>
                      <a:ext cx="5943600" cy="2030730"/>
                    </a:xfrm>
                    <a:prstGeom prst="rect">
                      <a:avLst/>
                    </a:prstGeom>
                  </pic:spPr>
                </pic:pic>
              </a:graphicData>
            </a:graphic>
          </wp:inline>
        </w:drawing>
      </w:r>
    </w:p>
    <w:p w14:paraId="6337A986" w14:textId="4C5797D1" w:rsidR="009864D4" w:rsidRPr="00ED4D49" w:rsidRDefault="00261A53" w:rsidP="00965FC0">
      <w:pPr>
        <w:jc w:val="both"/>
        <w:rPr>
          <w:lang w:val="en-US" w:eastAsia="x-none"/>
        </w:rPr>
      </w:pPr>
      <w:r w:rsidRPr="00ED4D49">
        <w:rPr>
          <w:lang w:val="en-US" w:eastAsia="x-none"/>
        </w:rPr>
        <w:t>The exact locations</w:t>
      </w:r>
      <w:r w:rsidR="00DF1B45" w:rsidRPr="00ED4D49">
        <w:rPr>
          <w:lang w:val="en-US" w:eastAsia="x-none"/>
        </w:rPr>
        <w:t xml:space="preserve"> where demining works will be undertaken in the framework of the SDIP will be confirmed subsequently.</w:t>
      </w:r>
    </w:p>
    <w:p w14:paraId="3389BD6A" w14:textId="1DC9E32D" w:rsidR="00555E82" w:rsidRPr="00ED4D49" w:rsidRDefault="00555E82" w:rsidP="004C3C6A">
      <w:pPr>
        <w:jc w:val="both"/>
        <w:rPr>
          <w:b/>
          <w:bCs/>
          <w:lang w:val="en-US" w:eastAsia="x-none"/>
        </w:rPr>
      </w:pPr>
      <w:r w:rsidRPr="00ED4D49">
        <w:rPr>
          <w:b/>
          <w:bCs/>
          <w:lang w:val="en-US" w:eastAsia="x-none"/>
        </w:rPr>
        <w:t xml:space="preserve">Procedures </w:t>
      </w:r>
      <w:r w:rsidR="0098475E" w:rsidRPr="00ED4D49">
        <w:rPr>
          <w:b/>
          <w:bCs/>
          <w:lang w:val="en-US" w:eastAsia="x-none"/>
        </w:rPr>
        <w:t xml:space="preserve">to be followed </w:t>
      </w:r>
      <w:r w:rsidRPr="00ED4D49">
        <w:rPr>
          <w:b/>
          <w:bCs/>
          <w:lang w:val="en-US" w:eastAsia="x-none"/>
        </w:rPr>
        <w:t xml:space="preserve">and </w:t>
      </w:r>
      <w:r w:rsidR="006C047F" w:rsidRPr="00ED4D49">
        <w:rPr>
          <w:b/>
          <w:bCs/>
          <w:lang w:val="en-US" w:eastAsia="x-none"/>
        </w:rPr>
        <w:t>responsibilities</w:t>
      </w:r>
    </w:p>
    <w:p w14:paraId="74A90D9D" w14:textId="72B08859" w:rsidR="000F59A6" w:rsidRPr="00ED4D49" w:rsidRDefault="000F59A6" w:rsidP="004C3C6A">
      <w:pPr>
        <w:jc w:val="both"/>
        <w:rPr>
          <w:lang w:val="en-US" w:eastAsia="x-none"/>
        </w:rPr>
      </w:pPr>
      <w:r w:rsidRPr="00ED4D49">
        <w:rPr>
          <w:lang w:val="en-US" w:eastAsia="x-none"/>
        </w:rPr>
        <w:t xml:space="preserve">The demining works in the right bank of the Sava will be conducted following BHMAC’s IMAS-based SOPs. These SOPs lay out the specific technical skills; technical steps and methodologies; work approaches; sampling and surveying approaches; equipment testing and verification approaches; technology solutions to be used; health and safety approaches to protect contractors and the general public; public consultation requirements and procedures; mine and explosive material disposal requirements and approaches; and related actions necessary to ensure robust and safe demining outcomes based on risk mitigation. </w:t>
      </w:r>
    </w:p>
    <w:p w14:paraId="796BB35E" w14:textId="622825AC" w:rsidR="00555E82" w:rsidRPr="00ED4D49" w:rsidRDefault="00555E82" w:rsidP="004C3C6A">
      <w:pPr>
        <w:jc w:val="both"/>
        <w:rPr>
          <w:lang w:val="en-US" w:eastAsia="x-none"/>
        </w:rPr>
      </w:pPr>
      <w:r w:rsidRPr="00ED4D49">
        <w:rPr>
          <w:lang w:val="en-US" w:eastAsia="x-none"/>
        </w:rPr>
        <w:t xml:space="preserve">The BiH State Ministry of Communications and Transport will be the lead implementing agency for demining, with BHMAC participating as technical lead, with the collaboration of the respective Entity level Ministry of Transport and Brcko District Government. The demining civil works will be conducted by one or more experienced contractors to be competitively selected during implementation in accordance with the WB Procurement Framework. In addition, expert supervision services will be provided for the duration of the works, to ensure SOP and IMAS compliance. Completion of demining of the right bank of the Sava is consistent with the goals of the BiH Council of Ministers Mine Action Strategy 2018-2025, and it will contribute to the attainment of </w:t>
      </w:r>
      <w:r w:rsidRPr="00ED4D49">
        <w:rPr>
          <w:lang w:val="en-US" w:eastAsia="x-none"/>
        </w:rPr>
        <w:lastRenderedPageBreak/>
        <w:t>international obligations to which BiH is a signatory, most notably including the Mine Ban Convention, which BiH ratified in September 1998.</w:t>
      </w:r>
    </w:p>
    <w:p w14:paraId="5DA93775" w14:textId="4C0C6204" w:rsidR="00713ED8" w:rsidRPr="00ED4D49" w:rsidRDefault="00265009" w:rsidP="0013329A">
      <w:pPr>
        <w:jc w:val="both"/>
        <w:rPr>
          <w:szCs w:val="20"/>
          <w:lang w:val="en-US" w:eastAsia="x-none"/>
        </w:rPr>
      </w:pPr>
      <w:r w:rsidRPr="00ED4D49">
        <w:rPr>
          <w:b/>
          <w:bCs/>
          <w:lang w:val="en-US" w:eastAsia="x-none"/>
        </w:rPr>
        <w:t>Baseline conditions and p</w:t>
      </w:r>
      <w:r w:rsidR="006C047F" w:rsidRPr="00ED4D49">
        <w:rPr>
          <w:b/>
          <w:bCs/>
          <w:lang w:val="en-US" w:eastAsia="x-none"/>
        </w:rPr>
        <w:t>reliminary identification of risks</w:t>
      </w:r>
      <w:r w:rsidR="0043031F" w:rsidRPr="00ED4D49">
        <w:rPr>
          <w:b/>
          <w:bCs/>
          <w:lang w:val="en-US" w:eastAsia="x-none"/>
        </w:rPr>
        <w:t xml:space="preserve"> </w:t>
      </w:r>
      <w:r w:rsidR="003B3FFB" w:rsidRPr="00ED4D49">
        <w:rPr>
          <w:szCs w:val="20"/>
          <w:lang w:val="en-US" w:eastAsia="x-none"/>
        </w:rPr>
        <w:t>According to information provided by BHMAC, t</w:t>
      </w:r>
      <w:r w:rsidR="006F0E5C" w:rsidRPr="00ED4D49">
        <w:rPr>
          <w:szCs w:val="20"/>
          <w:lang w:val="en-US" w:eastAsia="x-none"/>
        </w:rPr>
        <w:t>he land along the entire stretch of the Sava River right bank planned for demining is</w:t>
      </w:r>
      <w:r w:rsidR="0013329A" w:rsidRPr="00ED4D49">
        <w:rPr>
          <w:szCs w:val="20"/>
          <w:lang w:val="en-US" w:eastAsia="x-none"/>
        </w:rPr>
        <w:t xml:space="preserve"> </w:t>
      </w:r>
      <w:r w:rsidR="00B87879" w:rsidRPr="00ED4D49">
        <w:rPr>
          <w:szCs w:val="20"/>
          <w:lang w:val="en-US" w:eastAsia="x-none"/>
        </w:rPr>
        <w:t xml:space="preserve">abandoned </w:t>
      </w:r>
      <w:r w:rsidR="006F0E5C" w:rsidRPr="00ED4D49">
        <w:rPr>
          <w:szCs w:val="20"/>
          <w:lang w:val="en-US" w:eastAsia="x-none"/>
        </w:rPr>
        <w:t>land overgrown with vegetation</w:t>
      </w:r>
      <w:r w:rsidR="00D74F19" w:rsidRPr="00ED4D49">
        <w:rPr>
          <w:szCs w:val="20"/>
          <w:lang w:val="en-US" w:eastAsia="x-none"/>
        </w:rPr>
        <w:t>,</w:t>
      </w:r>
      <w:r w:rsidR="0033489D" w:rsidRPr="00ED4D49">
        <w:rPr>
          <w:szCs w:val="20"/>
          <w:lang w:val="en-US" w:eastAsia="x-none"/>
        </w:rPr>
        <w:t xml:space="preserve"> </w:t>
      </w:r>
      <w:r w:rsidR="00713ED8" w:rsidRPr="00ED4D49">
        <w:rPr>
          <w:szCs w:val="20"/>
          <w:lang w:val="en-US" w:eastAsia="x-none"/>
        </w:rPr>
        <w:t>with downed trees and even solid waste accumulated in some places.</w:t>
      </w:r>
    </w:p>
    <w:p w14:paraId="2106EDB4" w14:textId="12191F34" w:rsidR="00155B98" w:rsidRPr="00ED4D49" w:rsidRDefault="004E3EAB" w:rsidP="00155B98">
      <w:pPr>
        <w:jc w:val="both"/>
        <w:rPr>
          <w:szCs w:val="20"/>
          <w:lang w:val="en-US" w:eastAsia="x-none"/>
        </w:rPr>
      </w:pPr>
      <w:r w:rsidRPr="00ED4D49">
        <w:rPr>
          <w:szCs w:val="20"/>
          <w:lang w:val="en-US" w:eastAsia="x-none"/>
        </w:rPr>
        <w:t>However, e</w:t>
      </w:r>
      <w:r w:rsidR="0033489D" w:rsidRPr="00ED4D49">
        <w:rPr>
          <w:szCs w:val="20"/>
          <w:lang w:val="en-US" w:eastAsia="x-none"/>
        </w:rPr>
        <w:t xml:space="preserve">ven though demining activities will be focused on the river bank itself, there is a concern that mines could have </w:t>
      </w:r>
      <w:r w:rsidR="0013329A" w:rsidRPr="00ED4D49">
        <w:rPr>
          <w:szCs w:val="20"/>
          <w:lang w:val="en-US" w:eastAsia="x-none"/>
        </w:rPr>
        <w:t>moved</w:t>
      </w:r>
      <w:r w:rsidR="0033489D" w:rsidRPr="00ED4D49">
        <w:rPr>
          <w:szCs w:val="20"/>
          <w:lang w:val="en-US" w:eastAsia="x-none"/>
        </w:rPr>
        <w:t xml:space="preserve"> into deeper territory (about 50-300 m) </w:t>
      </w:r>
      <w:r w:rsidR="0013329A" w:rsidRPr="00ED4D49">
        <w:rPr>
          <w:szCs w:val="20"/>
          <w:lang w:val="en-US" w:eastAsia="x-none"/>
        </w:rPr>
        <w:t>through drainage</w:t>
      </w:r>
      <w:r w:rsidR="0038387B" w:rsidRPr="00ED4D49">
        <w:rPr>
          <w:szCs w:val="20"/>
          <w:lang w:val="en-US" w:eastAsia="x-none"/>
        </w:rPr>
        <w:t xml:space="preserve"> or irrigation</w:t>
      </w:r>
      <w:r w:rsidR="0013329A" w:rsidRPr="00ED4D49">
        <w:rPr>
          <w:szCs w:val="20"/>
          <w:lang w:val="en-US" w:eastAsia="x-none"/>
        </w:rPr>
        <w:t xml:space="preserve"> channels </w:t>
      </w:r>
      <w:r w:rsidR="0033489D" w:rsidRPr="00ED4D49">
        <w:rPr>
          <w:szCs w:val="20"/>
          <w:lang w:val="en-US" w:eastAsia="x-none"/>
        </w:rPr>
        <w:t>during the major floods in 2014.</w:t>
      </w:r>
      <w:r w:rsidR="00A20D5A" w:rsidRPr="00ED4D49">
        <w:rPr>
          <w:szCs w:val="20"/>
          <w:lang w:val="en-US" w:eastAsia="x-none"/>
        </w:rPr>
        <w:t xml:space="preserve"> </w:t>
      </w:r>
      <w:r w:rsidR="00713ED8" w:rsidRPr="00ED4D49">
        <w:rPr>
          <w:szCs w:val="20"/>
          <w:lang w:val="en-US" w:eastAsia="x-none"/>
        </w:rPr>
        <w:t>This means that some agricultural and forest land could be affected (currently mostly unused due to mine concerns). There</w:t>
      </w:r>
      <w:r w:rsidR="00A20D5A" w:rsidRPr="00ED4D49">
        <w:rPr>
          <w:szCs w:val="20"/>
          <w:lang w:val="en-US" w:eastAsia="x-none"/>
        </w:rPr>
        <w:t xml:space="preserve"> is also a concern that mines could have moved on to the river islands of the Sava River. </w:t>
      </w:r>
      <w:r w:rsidR="00147206" w:rsidRPr="00ED4D49">
        <w:rPr>
          <w:szCs w:val="20"/>
          <w:lang w:val="en-US" w:eastAsia="x-none"/>
        </w:rPr>
        <w:t xml:space="preserve">Therefore, the risk is that the area to be demined will be greater than expected. The terrain conditions (difficulties in access due to overgrown vegetation) </w:t>
      </w:r>
      <w:r w:rsidR="000639F3" w:rsidRPr="00ED4D49">
        <w:rPr>
          <w:szCs w:val="20"/>
          <w:lang w:val="en-US" w:eastAsia="x-none"/>
        </w:rPr>
        <w:t xml:space="preserve">may </w:t>
      </w:r>
      <w:r w:rsidR="00887FF4" w:rsidRPr="00ED4D49">
        <w:rPr>
          <w:szCs w:val="20"/>
          <w:lang w:val="en-US" w:eastAsia="x-none"/>
        </w:rPr>
        <w:t xml:space="preserve">hinder the demining efforts. In addition, </w:t>
      </w:r>
      <w:r w:rsidR="00A20D5A" w:rsidRPr="00ED4D49">
        <w:rPr>
          <w:szCs w:val="20"/>
          <w:lang w:val="en-US" w:eastAsia="x-none"/>
        </w:rPr>
        <w:t xml:space="preserve">more complex operations </w:t>
      </w:r>
      <w:r w:rsidR="00887FF4" w:rsidRPr="00ED4D49">
        <w:rPr>
          <w:szCs w:val="20"/>
          <w:lang w:val="en-US" w:eastAsia="x-none"/>
        </w:rPr>
        <w:t>in the river itself may be needed, s</w:t>
      </w:r>
      <w:r w:rsidR="00A20D5A" w:rsidRPr="00ED4D49">
        <w:rPr>
          <w:szCs w:val="20"/>
          <w:lang w:val="en-US" w:eastAsia="x-none"/>
        </w:rPr>
        <w:t>uch as underwater diving at certain locations</w:t>
      </w:r>
      <w:r w:rsidR="00887FF4" w:rsidRPr="00ED4D49">
        <w:rPr>
          <w:szCs w:val="20"/>
          <w:lang w:val="en-US" w:eastAsia="x-none"/>
        </w:rPr>
        <w:t>, e.g. around river islands, bridges, etc.</w:t>
      </w:r>
    </w:p>
    <w:p w14:paraId="320D2ECF" w14:textId="315311F7" w:rsidR="00713ED8" w:rsidRPr="00ED4D49" w:rsidRDefault="00713ED8" w:rsidP="00713ED8">
      <w:pPr>
        <w:jc w:val="both"/>
        <w:rPr>
          <w:szCs w:val="20"/>
          <w:lang w:val="en-US" w:eastAsia="x-none"/>
        </w:rPr>
      </w:pPr>
      <w:r w:rsidRPr="00ED4D49">
        <w:rPr>
          <w:szCs w:val="20"/>
          <w:lang w:val="en-US" w:eastAsia="x-none"/>
        </w:rPr>
        <w:t xml:space="preserve">Land ownership is a mix of public and private land – the river bank is publicly owned, whereas the potentially affected agricultural and forest land into which the mines could have moved is private land – but is estimated at only 2-3% or even less of the entire land stretch. </w:t>
      </w:r>
    </w:p>
    <w:p w14:paraId="173D34AE" w14:textId="25FDB4F1" w:rsidR="00B87879" w:rsidRPr="00ED4D49" w:rsidRDefault="00B87879" w:rsidP="00B87879">
      <w:pPr>
        <w:jc w:val="both"/>
        <w:rPr>
          <w:szCs w:val="20"/>
          <w:lang w:val="en-US" w:eastAsia="x-none"/>
        </w:rPr>
      </w:pPr>
      <w:r w:rsidRPr="00ED4D49">
        <w:rPr>
          <w:szCs w:val="20"/>
          <w:lang w:val="en-US" w:eastAsia="x-none"/>
        </w:rPr>
        <w:t>A formal risk assessment has not been carried by BHMAC to date.</w:t>
      </w:r>
      <w:r w:rsidR="00E502DB" w:rsidRPr="00ED4D49">
        <w:rPr>
          <w:szCs w:val="20"/>
          <w:lang w:val="en-US" w:eastAsia="x-none"/>
        </w:rPr>
        <w:t xml:space="preserve"> Specific risks will be identified during the phase of developing a site-specific ESMP (see below). </w:t>
      </w:r>
    </w:p>
    <w:p w14:paraId="5850BCF2" w14:textId="1182755D" w:rsidR="00DF49B8" w:rsidRPr="00ED4D49" w:rsidRDefault="00DF49B8" w:rsidP="004C3C6A">
      <w:pPr>
        <w:jc w:val="both"/>
        <w:rPr>
          <w:b/>
          <w:bCs/>
          <w:lang w:val="en-US" w:eastAsia="x-none"/>
        </w:rPr>
      </w:pPr>
      <w:r w:rsidRPr="00ED4D49">
        <w:rPr>
          <w:b/>
          <w:bCs/>
          <w:lang w:val="en-US" w:eastAsia="x-none"/>
        </w:rPr>
        <w:t xml:space="preserve">Site-specific ESMP </w:t>
      </w:r>
    </w:p>
    <w:p w14:paraId="234ACF23" w14:textId="18D9E897" w:rsidR="00554874" w:rsidRPr="00ED4D49" w:rsidRDefault="00554874" w:rsidP="004C3C6A">
      <w:pPr>
        <w:jc w:val="both"/>
        <w:rPr>
          <w:lang w:val="en-US" w:eastAsia="x-none"/>
        </w:rPr>
      </w:pPr>
      <w:r w:rsidRPr="00ED4D49">
        <w:rPr>
          <w:lang w:val="en-US" w:eastAsia="x-none"/>
        </w:rPr>
        <w:t>During SDIP implementation, and upon confirmation of grant financing, a Site-specific Environmental and Social Management Plan (ESMP) will be developed to complement and further inform the way demining activities will be conducted. This ESMP will be consulted publicly and disclosed prior to the commencement of civil works, and in a manner consistent with SOP and IMAS principles.</w:t>
      </w:r>
    </w:p>
    <w:p w14:paraId="03B6F641" w14:textId="51F2BC84" w:rsidR="00554874" w:rsidRPr="00ED4D49" w:rsidRDefault="00554874" w:rsidP="004C3C6A">
      <w:pPr>
        <w:jc w:val="both"/>
        <w:rPr>
          <w:lang w:val="en-US" w:eastAsia="x-none"/>
        </w:rPr>
      </w:pPr>
      <w:r w:rsidRPr="00ED4D49">
        <w:rPr>
          <w:lang w:val="en-US" w:eastAsia="x-none"/>
        </w:rPr>
        <w:t xml:space="preserve">The ESMP is expected to set forth the requirements to be followed by contractors and project implementing agencies regarding such key actions as establishing security zones around expected demining areas; marking demining areas; developing demining works according to established security, safety, and technical protocols (SOPs and IMAS); </w:t>
      </w:r>
      <w:r w:rsidR="00707F43" w:rsidRPr="00ED4D49">
        <w:rPr>
          <w:lang w:val="en-US" w:eastAsia="x-none"/>
        </w:rPr>
        <w:t>providing</w:t>
      </w:r>
      <w:r w:rsidRPr="00ED4D49">
        <w:rPr>
          <w:lang w:val="en-US" w:eastAsia="x-none"/>
        </w:rPr>
        <w:t xml:space="preserve"> full personal protection, including insurance provision, for all demining personnel</w:t>
      </w:r>
      <w:r w:rsidR="00707F43" w:rsidRPr="00ED4D49">
        <w:rPr>
          <w:lang w:val="en-US" w:eastAsia="x-none"/>
        </w:rPr>
        <w:t xml:space="preserve">, and deploying protections for </w:t>
      </w:r>
      <w:r w:rsidRPr="00ED4D49">
        <w:rPr>
          <w:lang w:val="en-US" w:eastAsia="x-none"/>
        </w:rPr>
        <w:t>local populations deemed exposed to the demining zones (if any)</w:t>
      </w:r>
      <w:r w:rsidR="00707F43" w:rsidRPr="00ED4D49">
        <w:rPr>
          <w:lang w:val="en-US" w:eastAsia="x-none"/>
        </w:rPr>
        <w:t>; and ensuring awareness and the sharing of information about the demining works, with proper disclosure of plans and timelines, appropriate signage and warnings, expected rules and behaviors by contractors and personnel, and recommendations to local communities. As part of the ESMP process, BHMAC will update existing surveys and mappings of mined areas to more accurately estimate the</w:t>
      </w:r>
      <w:r w:rsidR="003F3EF6" w:rsidRPr="00ED4D49">
        <w:rPr>
          <w:lang w:val="en-US" w:eastAsia="x-none"/>
        </w:rPr>
        <w:t xml:space="preserve"> current and up-to-date</w:t>
      </w:r>
      <w:r w:rsidR="00707F43" w:rsidRPr="00ED4D49">
        <w:rPr>
          <w:lang w:val="en-US" w:eastAsia="x-none"/>
        </w:rPr>
        <w:t xml:space="preserve"> extent </w:t>
      </w:r>
      <w:r w:rsidR="003F3EF6" w:rsidRPr="00ED4D49">
        <w:rPr>
          <w:lang w:val="en-US" w:eastAsia="x-none"/>
        </w:rPr>
        <w:t xml:space="preserve">and nature </w:t>
      </w:r>
      <w:r w:rsidR="00707F43" w:rsidRPr="00ED4D49">
        <w:rPr>
          <w:lang w:val="en-US" w:eastAsia="x-none"/>
        </w:rPr>
        <w:t xml:space="preserve">of the demining need, the likely social and environmental disruption that demining activities may cause, and the key measures to mitigate this disruption. As part of the public disclosure and outreach, the ESMP will also highlight the overall positive impact that demining is expected to have, by de-risking and re-opening </w:t>
      </w:r>
      <w:r w:rsidR="003F3EF6" w:rsidRPr="00ED4D49">
        <w:rPr>
          <w:lang w:val="en-US" w:eastAsia="x-none"/>
        </w:rPr>
        <w:t xml:space="preserve">up </w:t>
      </w:r>
      <w:r w:rsidR="00707F43" w:rsidRPr="00ED4D49">
        <w:rPr>
          <w:lang w:val="en-US" w:eastAsia="x-none"/>
        </w:rPr>
        <w:t xml:space="preserve">the currently affected areas along the </w:t>
      </w:r>
      <w:proofErr w:type="gramStart"/>
      <w:r w:rsidR="00707F43" w:rsidRPr="00ED4D49">
        <w:rPr>
          <w:lang w:val="en-US" w:eastAsia="x-none"/>
        </w:rPr>
        <w:t>Sava river</w:t>
      </w:r>
      <w:proofErr w:type="gramEnd"/>
      <w:r w:rsidR="00707F43" w:rsidRPr="00ED4D49">
        <w:rPr>
          <w:lang w:val="en-US" w:eastAsia="x-none"/>
        </w:rPr>
        <w:t xml:space="preserve"> right bank</w:t>
      </w:r>
      <w:r w:rsidR="003F3EF6" w:rsidRPr="00ED4D49">
        <w:rPr>
          <w:lang w:val="en-US" w:eastAsia="x-none"/>
        </w:rPr>
        <w:t xml:space="preserve"> for not only economic but also ecological activity</w:t>
      </w:r>
      <w:r w:rsidR="00707F43" w:rsidRPr="00ED4D49">
        <w:rPr>
          <w:lang w:val="en-US" w:eastAsia="x-none"/>
        </w:rPr>
        <w:t>.</w:t>
      </w:r>
    </w:p>
    <w:p w14:paraId="55E3AC0E" w14:textId="7BD774B7" w:rsidR="00882738" w:rsidRPr="00ED4D49" w:rsidRDefault="00882738" w:rsidP="007C7B75">
      <w:pPr>
        <w:pStyle w:val="ListParagraph"/>
        <w:widowControl w:val="0"/>
        <w:autoSpaceDE w:val="0"/>
        <w:autoSpaceDN w:val="0"/>
        <w:adjustRightInd w:val="0"/>
        <w:spacing w:before="0" w:after="0" w:line="240" w:lineRule="auto"/>
        <w:ind w:left="0"/>
        <w:jc w:val="both"/>
        <w:rPr>
          <w:sz w:val="20"/>
          <w:lang w:eastAsia="x-none"/>
        </w:rPr>
      </w:pPr>
      <w:bookmarkStart w:id="260" w:name="_Hlk30157251"/>
      <w:r w:rsidRPr="00ED4D49">
        <w:rPr>
          <w:sz w:val="20"/>
          <w:lang w:eastAsia="x-none"/>
        </w:rPr>
        <w:t xml:space="preserve">The ESMP will be prepared in line with approved </w:t>
      </w:r>
      <w:proofErr w:type="spellStart"/>
      <w:r w:rsidRPr="00ED4D49">
        <w:rPr>
          <w:sz w:val="20"/>
          <w:lang w:eastAsia="x-none"/>
        </w:rPr>
        <w:t>ToRs</w:t>
      </w:r>
      <w:proofErr w:type="spellEnd"/>
      <w:r w:rsidRPr="00ED4D49">
        <w:rPr>
          <w:sz w:val="20"/>
          <w:lang w:eastAsia="x-none"/>
        </w:rPr>
        <w:t xml:space="preserve"> once the demining locations are finalized. The ESMP preparation and review process </w:t>
      </w:r>
      <w:r w:rsidR="00E25A69" w:rsidRPr="00ED4D49">
        <w:rPr>
          <w:sz w:val="20"/>
          <w:lang w:eastAsia="x-none"/>
        </w:rPr>
        <w:t>is</w:t>
      </w:r>
      <w:r w:rsidRPr="00ED4D49">
        <w:rPr>
          <w:sz w:val="20"/>
          <w:lang w:eastAsia="x-none"/>
        </w:rPr>
        <w:t xml:space="preserve"> also be reflected in the ESCP</w:t>
      </w:r>
      <w:r w:rsidR="007C7B75" w:rsidRPr="00ED4D49">
        <w:rPr>
          <w:sz w:val="20"/>
          <w:lang w:eastAsia="x-none"/>
        </w:rPr>
        <w:t>.</w:t>
      </w:r>
      <w:r w:rsidRPr="00ED4D49">
        <w:rPr>
          <w:sz w:val="20"/>
          <w:lang w:eastAsia="x-none"/>
        </w:rPr>
        <w:t xml:space="preserve"> </w:t>
      </w:r>
    </w:p>
    <w:bookmarkEnd w:id="260"/>
    <w:p w14:paraId="047D55EB" w14:textId="39CED0DC" w:rsidR="006D6536" w:rsidRPr="00ED4D49" w:rsidRDefault="006D6536" w:rsidP="003505C2">
      <w:pPr>
        <w:spacing w:before="0" w:after="0" w:line="240" w:lineRule="auto"/>
        <w:jc w:val="both"/>
        <w:rPr>
          <w:lang w:val="en-US" w:eastAsia="x-none"/>
        </w:rPr>
      </w:pPr>
    </w:p>
    <w:p w14:paraId="67F1786C" w14:textId="69C2345F" w:rsidR="001D71BE" w:rsidRPr="00ED4D49" w:rsidRDefault="001D71BE" w:rsidP="001D71BE">
      <w:pPr>
        <w:pStyle w:val="Heading1"/>
        <w:rPr>
          <w:lang w:val="en-US"/>
        </w:rPr>
      </w:pPr>
      <w:bookmarkStart w:id="261" w:name="_Toc31811106"/>
      <w:r w:rsidRPr="00ED4D49">
        <w:rPr>
          <w:lang w:val="en-US"/>
        </w:rPr>
        <w:t>PUBLIC CONSULTATION</w:t>
      </w:r>
      <w:r w:rsidR="00A05261" w:rsidRPr="00ED4D49">
        <w:rPr>
          <w:lang w:val="en-US"/>
        </w:rPr>
        <w:t>S</w:t>
      </w:r>
      <w:r w:rsidRPr="00ED4D49">
        <w:rPr>
          <w:lang w:val="en-US"/>
        </w:rPr>
        <w:t xml:space="preserve"> PROCESS</w:t>
      </w:r>
      <w:bookmarkEnd w:id="261"/>
    </w:p>
    <w:p w14:paraId="53394B34" w14:textId="77777777" w:rsidR="00A05261" w:rsidRPr="00ED4D49" w:rsidRDefault="00A05261" w:rsidP="00A05261">
      <w:pPr>
        <w:widowControl w:val="0"/>
        <w:jc w:val="both"/>
        <w:rPr>
          <w:rFonts w:cs="Calibri"/>
          <w:szCs w:val="20"/>
          <w:lang w:val="en-US"/>
        </w:rPr>
      </w:pPr>
      <w:r w:rsidRPr="00ED4D49">
        <w:rPr>
          <w:rFonts w:cs="Calibri"/>
          <w:szCs w:val="20"/>
          <w:lang w:val="en-US"/>
        </w:rPr>
        <w:t xml:space="preserve">The WB standard on </w:t>
      </w:r>
      <w:r w:rsidRPr="00ED4D49">
        <w:rPr>
          <w:rFonts w:cs="Calibri"/>
          <w:color w:val="1F4E79"/>
          <w:szCs w:val="20"/>
          <w:lang w:val="en-US"/>
        </w:rPr>
        <w:t xml:space="preserve">Stakeholder Engagement and Information Disclosure 10 </w:t>
      </w:r>
      <w:r w:rsidRPr="00ED4D49">
        <w:rPr>
          <w:rFonts w:cs="Calibri"/>
          <w:szCs w:val="20"/>
          <w:lang w:val="en-US"/>
        </w:rPr>
        <w:t>(“</w:t>
      </w:r>
      <w:r w:rsidRPr="00ED4D49">
        <w:rPr>
          <w:rFonts w:cs="Calibri"/>
          <w:color w:val="1F4E79"/>
          <w:szCs w:val="20"/>
          <w:lang w:val="en-US"/>
        </w:rPr>
        <w:t>ESS10</w:t>
      </w:r>
      <w:r w:rsidRPr="00ED4D49">
        <w:rPr>
          <w:rFonts w:cs="Calibri"/>
          <w:szCs w:val="20"/>
          <w:lang w:val="en-US"/>
        </w:rPr>
        <w:t>“) recognizes the importance of open and transparent engagement between the Borrower and project stakeholders as an essential element of good international practice. Effective stakeholder engagement can improve the E&amp;S sustainability of projects, enhance project acceptance, and make a significant contribution to successful project design and implementation.</w:t>
      </w:r>
    </w:p>
    <w:p w14:paraId="5806F436" w14:textId="77777777" w:rsidR="00A05261" w:rsidRPr="00ED4D49" w:rsidRDefault="00A05261" w:rsidP="00A05261">
      <w:pPr>
        <w:jc w:val="both"/>
        <w:rPr>
          <w:lang w:val="en-US"/>
        </w:rPr>
      </w:pPr>
      <w:r w:rsidRPr="00ED4D49">
        <w:rPr>
          <w:lang w:val="en-US"/>
        </w:rPr>
        <w:lastRenderedPageBreak/>
        <w:t>Pursuant to the World Bank requirements, stakeholder engagement is an inclusive process implemented throughout project life-cycle, and it is most effective if launched at early stage of project development. Engagement should begin as early as possible at project preparation, as timely identification of and consultation with the stakeholders enable views and opinions of these groups to be taken into account in the project design and implementation.</w:t>
      </w:r>
    </w:p>
    <w:p w14:paraId="1DD3B228" w14:textId="77777777" w:rsidR="00A05261" w:rsidRPr="00ED4D49" w:rsidRDefault="00A05261" w:rsidP="00A05261">
      <w:pPr>
        <w:jc w:val="both"/>
        <w:rPr>
          <w:lang w:val="en-US" w:eastAsia="x-none"/>
        </w:rPr>
      </w:pPr>
      <w:r w:rsidRPr="00ED4D49">
        <w:rPr>
          <w:lang w:val="en-US"/>
        </w:rPr>
        <w:t>In line with these requirements, t</w:t>
      </w:r>
      <w:r w:rsidRPr="00ED4D49">
        <w:rPr>
          <w:lang w:val="en-US" w:eastAsia="x-none"/>
        </w:rPr>
        <w:t xml:space="preserve">he set of documents that will guide the further </w:t>
      </w:r>
      <w:r w:rsidRPr="00ED4D49">
        <w:rPr>
          <w:rFonts w:cs="Calibri"/>
          <w:szCs w:val="20"/>
          <w:lang w:val="en-US"/>
        </w:rPr>
        <w:t>E&amp;S</w:t>
      </w:r>
      <w:r w:rsidRPr="00ED4D49">
        <w:rPr>
          <w:lang w:val="en-US" w:eastAsia="x-none"/>
        </w:rPr>
        <w:t xml:space="preserve"> due diligence during sub-project implementation based on the 2018 WB </w:t>
      </w:r>
      <w:r w:rsidRPr="00ED4D49">
        <w:rPr>
          <w:rFonts w:cs="Calibri"/>
          <w:szCs w:val="20"/>
          <w:lang w:val="en-US"/>
        </w:rPr>
        <w:t>E&amp;S</w:t>
      </w:r>
      <w:r w:rsidRPr="00ED4D49">
        <w:rPr>
          <w:lang w:val="en-US" w:eastAsia="x-none"/>
        </w:rPr>
        <w:t xml:space="preserve"> Framework including:</w:t>
      </w:r>
    </w:p>
    <w:p w14:paraId="5D6669A4" w14:textId="77777777" w:rsidR="00A05261" w:rsidRPr="00ED4D49" w:rsidRDefault="00A05261" w:rsidP="00190B9D">
      <w:pPr>
        <w:pStyle w:val="Bullets"/>
      </w:pPr>
      <w:r w:rsidRPr="00ED4D49">
        <w:t>the Environmental and Social Management Framework (ESMF)</w:t>
      </w:r>
    </w:p>
    <w:p w14:paraId="3CEFB2DD" w14:textId="77777777" w:rsidR="00A05261" w:rsidRPr="00ED4D49" w:rsidRDefault="00A05261" w:rsidP="00190B9D">
      <w:pPr>
        <w:pStyle w:val="Bullets"/>
      </w:pPr>
      <w:r w:rsidRPr="00ED4D49">
        <w:t>the Environmental and Social Commitment Plan (ESCP)</w:t>
      </w:r>
    </w:p>
    <w:p w14:paraId="52AD8C8B" w14:textId="77777777" w:rsidR="00A05261" w:rsidRPr="00ED4D49" w:rsidRDefault="00A05261" w:rsidP="00190B9D">
      <w:pPr>
        <w:pStyle w:val="Bullets"/>
      </w:pPr>
      <w:r w:rsidRPr="00ED4D49">
        <w:t>the Stakeholder Engagement Plan (SEP)</w:t>
      </w:r>
    </w:p>
    <w:p w14:paraId="66F59C8A" w14:textId="77777777" w:rsidR="00A05261" w:rsidRPr="00ED4D49" w:rsidRDefault="00A05261" w:rsidP="00190B9D">
      <w:pPr>
        <w:pStyle w:val="Bullets"/>
      </w:pPr>
      <w:r w:rsidRPr="00ED4D49">
        <w:t>the Resettlement Policy Framework (RPF) and</w:t>
      </w:r>
    </w:p>
    <w:p w14:paraId="7783577C" w14:textId="39B36A32" w:rsidR="00A05261" w:rsidRPr="00ED4D49" w:rsidRDefault="00A05261" w:rsidP="00190B9D">
      <w:pPr>
        <w:pStyle w:val="Bullets"/>
      </w:pPr>
      <w:r w:rsidRPr="00ED4D49">
        <w:t xml:space="preserve">the </w:t>
      </w:r>
      <w:r w:rsidR="00B71C89" w:rsidRPr="00ED4D49">
        <w:t>Labor</w:t>
      </w:r>
      <w:r w:rsidRPr="00ED4D49">
        <w:t xml:space="preserve"> Management Plan (LMP)</w:t>
      </w:r>
    </w:p>
    <w:p w14:paraId="04C02BD5" w14:textId="07CC93A9" w:rsidR="00A05261" w:rsidRPr="00ED4D49" w:rsidRDefault="00A05261" w:rsidP="0054431F">
      <w:pPr>
        <w:rPr>
          <w:lang w:val="en-US" w:eastAsia="x-none"/>
        </w:rPr>
      </w:pPr>
      <w:bookmarkStart w:id="262" w:name="_Hlk31811274"/>
      <w:r w:rsidRPr="00ED4D49">
        <w:rPr>
          <w:lang w:val="en-US" w:eastAsia="x-none"/>
        </w:rPr>
        <w:t>was disclosed to the public on December 3</w:t>
      </w:r>
      <w:r w:rsidR="0054431F" w:rsidRPr="00ED4D49">
        <w:rPr>
          <w:lang w:val="en-US" w:eastAsia="x-none"/>
        </w:rPr>
        <w:t>1</w:t>
      </w:r>
      <w:r w:rsidRPr="00ED4D49">
        <w:rPr>
          <w:lang w:val="en-US" w:eastAsia="x-none"/>
        </w:rPr>
        <w:t xml:space="preserve">, 2019 through the website of </w:t>
      </w:r>
      <w:r w:rsidRPr="00ED4D49">
        <w:rPr>
          <w:iCs/>
          <w:lang w:val="en-US"/>
        </w:rPr>
        <w:t xml:space="preserve">the </w:t>
      </w:r>
      <w:r w:rsidRPr="00ED4D49">
        <w:rPr>
          <w:lang w:val="en-US" w:eastAsia="x-none"/>
        </w:rPr>
        <w:t>Ministry of Agriculture and Rural Development (link:</w:t>
      </w:r>
      <w:r w:rsidRPr="00ED4D49">
        <w:rPr>
          <w:lang w:val="en-US"/>
        </w:rPr>
        <w:t xml:space="preserve"> </w:t>
      </w:r>
      <w:hyperlink r:id="rId45" w:anchor="collapsible1" w:history="1">
        <w:r w:rsidR="0054431F" w:rsidRPr="00ED4D49">
          <w:rPr>
            <w:rStyle w:val="Hyperlink"/>
            <w:lang w:val="en-US"/>
          </w:rPr>
          <w:t>http://www.vladars.net/sr-SP-Cyrl/Vlada/Ministarstva/mps/Pages/default.aspx#collapsible1</w:t>
        </w:r>
      </w:hyperlink>
      <w:r w:rsidR="0054431F" w:rsidRPr="00ED4D49">
        <w:rPr>
          <w:lang w:val="en-US"/>
        </w:rPr>
        <w:t xml:space="preserve"> under the link „</w:t>
      </w:r>
      <w:proofErr w:type="spellStart"/>
      <w:r w:rsidR="0054431F" w:rsidRPr="00ED4D49">
        <w:rPr>
          <w:lang w:val="en-US"/>
        </w:rPr>
        <w:t>Јединица</w:t>
      </w:r>
      <w:proofErr w:type="spellEnd"/>
      <w:r w:rsidR="0054431F" w:rsidRPr="00ED4D49">
        <w:rPr>
          <w:lang w:val="en-US"/>
        </w:rPr>
        <w:t xml:space="preserve"> </w:t>
      </w:r>
      <w:proofErr w:type="spellStart"/>
      <w:r w:rsidR="0054431F" w:rsidRPr="00ED4D49">
        <w:rPr>
          <w:lang w:val="en-US"/>
        </w:rPr>
        <w:t>за</w:t>
      </w:r>
      <w:proofErr w:type="spellEnd"/>
      <w:r w:rsidR="0054431F" w:rsidRPr="00ED4D49">
        <w:rPr>
          <w:lang w:val="en-US"/>
        </w:rPr>
        <w:t xml:space="preserve"> </w:t>
      </w:r>
      <w:proofErr w:type="spellStart"/>
      <w:r w:rsidR="0054431F" w:rsidRPr="00ED4D49">
        <w:rPr>
          <w:lang w:val="en-US"/>
        </w:rPr>
        <w:t>координацију</w:t>
      </w:r>
      <w:proofErr w:type="spellEnd"/>
      <w:r w:rsidR="0054431F" w:rsidRPr="00ED4D49">
        <w:rPr>
          <w:lang w:val="en-US"/>
        </w:rPr>
        <w:t xml:space="preserve"> </w:t>
      </w:r>
      <w:proofErr w:type="spellStart"/>
      <w:r w:rsidR="0054431F" w:rsidRPr="00ED4D49">
        <w:rPr>
          <w:lang w:val="en-US"/>
        </w:rPr>
        <w:t>пољопривредних</w:t>
      </w:r>
      <w:proofErr w:type="spellEnd"/>
      <w:r w:rsidR="0054431F" w:rsidRPr="00ED4D49">
        <w:rPr>
          <w:lang w:val="en-US"/>
        </w:rPr>
        <w:t xml:space="preserve"> </w:t>
      </w:r>
      <w:proofErr w:type="spellStart"/>
      <w:r w:rsidR="0054431F" w:rsidRPr="00ED4D49">
        <w:rPr>
          <w:lang w:val="en-US"/>
        </w:rPr>
        <w:t>пројеката</w:t>
      </w:r>
      <w:proofErr w:type="spellEnd"/>
      <w:r w:rsidR="0054431F" w:rsidRPr="00ED4D49">
        <w:rPr>
          <w:lang w:val="en-US"/>
        </w:rPr>
        <w:t xml:space="preserve"> -</w:t>
      </w:r>
      <w:proofErr w:type="spellStart"/>
      <w:r w:rsidR="0054431F" w:rsidRPr="00ED4D49">
        <w:rPr>
          <w:lang w:val="en-US"/>
        </w:rPr>
        <w:t>набавке</w:t>
      </w:r>
      <w:proofErr w:type="spellEnd"/>
      <w:r w:rsidR="0054431F" w:rsidRPr="00ED4D49">
        <w:rPr>
          <w:lang w:val="en-US"/>
        </w:rPr>
        <w:t>“</w:t>
      </w:r>
      <w:r w:rsidRPr="00ED4D49">
        <w:rPr>
          <w:lang w:val="en-US" w:eastAsia="x-none"/>
        </w:rPr>
        <w:t>).</w:t>
      </w:r>
    </w:p>
    <w:p w14:paraId="5F5E04EB" w14:textId="3B692779" w:rsidR="0054431F" w:rsidRPr="00ED4D49" w:rsidRDefault="00A05261" w:rsidP="0054431F">
      <w:pPr>
        <w:jc w:val="both"/>
        <w:rPr>
          <w:lang w:val="en-US" w:eastAsia="x-none"/>
        </w:rPr>
      </w:pPr>
      <w:r w:rsidRPr="00ED4D49">
        <w:rPr>
          <w:lang w:val="en-US" w:eastAsia="x-none"/>
        </w:rPr>
        <w:t>On January 2</w:t>
      </w:r>
      <w:r w:rsidR="0054431F" w:rsidRPr="00ED4D49">
        <w:rPr>
          <w:lang w:val="en-US" w:eastAsia="x-none"/>
        </w:rPr>
        <w:t>2</w:t>
      </w:r>
      <w:r w:rsidRPr="00ED4D49">
        <w:rPr>
          <w:lang w:val="en-US" w:eastAsia="x-none"/>
        </w:rPr>
        <w:t xml:space="preserve">, 2020, the </w:t>
      </w:r>
      <w:r w:rsidR="00FA7F62" w:rsidRPr="00ED4D49">
        <w:rPr>
          <w:lang w:val="en-US" w:eastAsia="x-none"/>
        </w:rPr>
        <w:t>PIU</w:t>
      </w:r>
      <w:r w:rsidRPr="00ED4D49">
        <w:rPr>
          <w:lang w:val="en-US" w:eastAsia="x-none"/>
        </w:rPr>
        <w:t xml:space="preserve"> announced that the public hearing took place on January 2</w:t>
      </w:r>
      <w:r w:rsidR="0054431F" w:rsidRPr="00ED4D49">
        <w:rPr>
          <w:lang w:val="en-US" w:eastAsia="x-none"/>
        </w:rPr>
        <w:t>9</w:t>
      </w:r>
      <w:r w:rsidRPr="00ED4D49">
        <w:rPr>
          <w:lang w:val="en-US" w:eastAsia="x-none"/>
        </w:rPr>
        <w:t>, 2020 in</w:t>
      </w:r>
      <w:r w:rsidR="009F39BD" w:rsidRPr="00ED4D49">
        <w:rPr>
          <w:lang w:val="en-US" w:eastAsia="x-none"/>
        </w:rPr>
        <w:t xml:space="preserve"> the</w:t>
      </w:r>
      <w:r w:rsidRPr="00ED4D49">
        <w:rPr>
          <w:lang w:val="en-US" w:eastAsia="x-none"/>
        </w:rPr>
        <w:t xml:space="preserve"> </w:t>
      </w:r>
      <w:r w:rsidR="0054431F" w:rsidRPr="00ED4D49">
        <w:rPr>
          <w:lang w:val="en-US" w:eastAsia="x-none"/>
        </w:rPr>
        <w:t>City of Banja Luka</w:t>
      </w:r>
      <w:r w:rsidR="00FA7F62" w:rsidRPr="00ED4D49">
        <w:rPr>
          <w:lang w:val="en-US" w:eastAsia="x-none"/>
        </w:rPr>
        <w:t xml:space="preserve">. The </w:t>
      </w:r>
      <w:r w:rsidR="0054431F" w:rsidRPr="00ED4D49">
        <w:rPr>
          <w:lang w:val="en-US" w:eastAsia="x-none"/>
        </w:rPr>
        <w:t xml:space="preserve">invitations </w:t>
      </w:r>
      <w:r w:rsidR="00FA7F62" w:rsidRPr="00ED4D49">
        <w:rPr>
          <w:lang w:val="en-US" w:eastAsia="x-none"/>
        </w:rPr>
        <w:t xml:space="preserve">were sent </w:t>
      </w:r>
      <w:r w:rsidR="0054431F" w:rsidRPr="00ED4D49">
        <w:rPr>
          <w:lang w:val="en-US" w:eastAsia="x-none"/>
        </w:rPr>
        <w:t xml:space="preserve">to 20 </w:t>
      </w:r>
      <w:r w:rsidR="007724C4" w:rsidRPr="00ED4D49">
        <w:rPr>
          <w:lang w:val="en-US" w:eastAsia="x-none"/>
        </w:rPr>
        <w:t xml:space="preserve">local self-governments </w:t>
      </w:r>
      <w:r w:rsidR="0054431F" w:rsidRPr="00ED4D49">
        <w:rPr>
          <w:lang w:val="en-US" w:eastAsia="x-none"/>
        </w:rPr>
        <w:t xml:space="preserve">in the Sava and Drina River Basins (Banja Luka, </w:t>
      </w:r>
      <w:proofErr w:type="spellStart"/>
      <w:r w:rsidR="0054431F" w:rsidRPr="00ED4D49">
        <w:rPr>
          <w:lang w:val="en-US" w:eastAsia="x-none"/>
        </w:rPr>
        <w:t>Prijedor</w:t>
      </w:r>
      <w:proofErr w:type="spellEnd"/>
      <w:r w:rsidR="0054431F" w:rsidRPr="00ED4D49">
        <w:rPr>
          <w:lang w:val="en-US" w:eastAsia="x-none"/>
        </w:rPr>
        <w:t xml:space="preserve">, Kostajnica, </w:t>
      </w:r>
      <w:proofErr w:type="spellStart"/>
      <w:r w:rsidR="0054431F" w:rsidRPr="00ED4D49">
        <w:rPr>
          <w:lang w:val="en-US" w:eastAsia="x-none"/>
        </w:rPr>
        <w:t>Milići</w:t>
      </w:r>
      <w:proofErr w:type="spellEnd"/>
      <w:r w:rsidR="0054431F" w:rsidRPr="00ED4D49">
        <w:rPr>
          <w:lang w:val="en-US" w:eastAsia="x-none"/>
        </w:rPr>
        <w:t xml:space="preserve">, Doboj, </w:t>
      </w:r>
      <w:proofErr w:type="spellStart"/>
      <w:r w:rsidR="0054431F" w:rsidRPr="00ED4D49">
        <w:rPr>
          <w:lang w:val="en-US" w:eastAsia="x-none"/>
        </w:rPr>
        <w:t>Laktaši</w:t>
      </w:r>
      <w:proofErr w:type="spellEnd"/>
      <w:r w:rsidR="0054431F" w:rsidRPr="00ED4D49">
        <w:rPr>
          <w:lang w:val="en-US" w:eastAsia="x-none"/>
        </w:rPr>
        <w:t xml:space="preserve">, Bijeljina, </w:t>
      </w:r>
      <w:proofErr w:type="spellStart"/>
      <w:r w:rsidR="0054431F" w:rsidRPr="00ED4D49">
        <w:rPr>
          <w:lang w:val="en-US" w:eastAsia="x-none"/>
        </w:rPr>
        <w:t>Šamac</w:t>
      </w:r>
      <w:proofErr w:type="spellEnd"/>
      <w:r w:rsidR="0054431F" w:rsidRPr="00ED4D49">
        <w:rPr>
          <w:lang w:val="en-US" w:eastAsia="x-none"/>
        </w:rPr>
        <w:t xml:space="preserve">, </w:t>
      </w:r>
      <w:proofErr w:type="spellStart"/>
      <w:r w:rsidR="0054431F" w:rsidRPr="00ED4D49">
        <w:rPr>
          <w:lang w:val="en-US" w:eastAsia="x-none"/>
        </w:rPr>
        <w:t>Zvornik</w:t>
      </w:r>
      <w:proofErr w:type="spellEnd"/>
      <w:r w:rsidR="0054431F" w:rsidRPr="00ED4D49">
        <w:rPr>
          <w:lang w:val="en-US" w:eastAsia="x-none"/>
        </w:rPr>
        <w:t xml:space="preserve">, </w:t>
      </w:r>
      <w:proofErr w:type="spellStart"/>
      <w:r w:rsidR="007724C4" w:rsidRPr="00ED4D49">
        <w:rPr>
          <w:lang w:val="en-US" w:eastAsia="x-none"/>
        </w:rPr>
        <w:t>Višegrad</w:t>
      </w:r>
      <w:proofErr w:type="spellEnd"/>
      <w:r w:rsidR="007724C4" w:rsidRPr="00ED4D49">
        <w:rPr>
          <w:lang w:val="en-US" w:eastAsia="x-none"/>
        </w:rPr>
        <w:t xml:space="preserve">, </w:t>
      </w:r>
      <w:proofErr w:type="spellStart"/>
      <w:r w:rsidR="0054431F" w:rsidRPr="00ED4D49">
        <w:rPr>
          <w:lang w:val="en-US" w:eastAsia="x-none"/>
        </w:rPr>
        <w:t>Foča</w:t>
      </w:r>
      <w:proofErr w:type="spellEnd"/>
      <w:r w:rsidR="0054431F" w:rsidRPr="00ED4D49">
        <w:rPr>
          <w:lang w:val="en-US" w:eastAsia="x-none"/>
        </w:rPr>
        <w:t xml:space="preserve">, </w:t>
      </w:r>
      <w:proofErr w:type="spellStart"/>
      <w:r w:rsidR="0054431F" w:rsidRPr="00ED4D49">
        <w:rPr>
          <w:lang w:val="en-US" w:eastAsia="x-none"/>
        </w:rPr>
        <w:t>Šamac</w:t>
      </w:r>
      <w:proofErr w:type="spellEnd"/>
      <w:r w:rsidR="0054431F" w:rsidRPr="00ED4D49">
        <w:rPr>
          <w:lang w:val="en-US" w:eastAsia="x-none"/>
        </w:rPr>
        <w:t xml:space="preserve">, </w:t>
      </w:r>
      <w:proofErr w:type="spellStart"/>
      <w:r w:rsidR="0054431F" w:rsidRPr="00ED4D49">
        <w:rPr>
          <w:lang w:val="en-US" w:eastAsia="x-none"/>
        </w:rPr>
        <w:t>Modriča</w:t>
      </w:r>
      <w:proofErr w:type="spellEnd"/>
      <w:r w:rsidR="0054431F" w:rsidRPr="00ED4D49">
        <w:rPr>
          <w:lang w:val="en-US" w:eastAsia="x-none"/>
        </w:rPr>
        <w:t xml:space="preserve">, </w:t>
      </w:r>
      <w:proofErr w:type="spellStart"/>
      <w:r w:rsidR="0054431F" w:rsidRPr="00ED4D49">
        <w:rPr>
          <w:lang w:val="en-US" w:eastAsia="x-none"/>
        </w:rPr>
        <w:t>Kozarska</w:t>
      </w:r>
      <w:proofErr w:type="spellEnd"/>
      <w:r w:rsidR="0054431F" w:rsidRPr="00ED4D49">
        <w:rPr>
          <w:lang w:val="en-US" w:eastAsia="x-none"/>
        </w:rPr>
        <w:t xml:space="preserve"> </w:t>
      </w:r>
      <w:proofErr w:type="spellStart"/>
      <w:r w:rsidR="0054431F" w:rsidRPr="00ED4D49">
        <w:rPr>
          <w:lang w:val="en-US" w:eastAsia="x-none"/>
        </w:rPr>
        <w:t>Dubica</w:t>
      </w:r>
      <w:proofErr w:type="spellEnd"/>
      <w:r w:rsidR="0054431F" w:rsidRPr="00ED4D49">
        <w:rPr>
          <w:lang w:val="en-US" w:eastAsia="x-none"/>
        </w:rPr>
        <w:t xml:space="preserve">, </w:t>
      </w:r>
      <w:proofErr w:type="spellStart"/>
      <w:r w:rsidR="0054431F" w:rsidRPr="00ED4D49">
        <w:rPr>
          <w:lang w:val="en-US" w:eastAsia="x-none"/>
        </w:rPr>
        <w:t>Derventa</w:t>
      </w:r>
      <w:proofErr w:type="spellEnd"/>
      <w:r w:rsidR="0054431F" w:rsidRPr="00ED4D49">
        <w:rPr>
          <w:lang w:val="en-US" w:eastAsia="x-none"/>
        </w:rPr>
        <w:t xml:space="preserve">, </w:t>
      </w:r>
      <w:proofErr w:type="spellStart"/>
      <w:r w:rsidR="0054431F" w:rsidRPr="00ED4D49">
        <w:rPr>
          <w:lang w:val="en-US" w:eastAsia="x-none"/>
        </w:rPr>
        <w:t>Gradiška</w:t>
      </w:r>
      <w:proofErr w:type="spellEnd"/>
      <w:r w:rsidR="0054431F" w:rsidRPr="00ED4D49">
        <w:rPr>
          <w:lang w:val="en-US" w:eastAsia="x-none"/>
        </w:rPr>
        <w:t xml:space="preserve">, </w:t>
      </w:r>
      <w:proofErr w:type="spellStart"/>
      <w:r w:rsidR="0054431F" w:rsidRPr="00ED4D49">
        <w:rPr>
          <w:lang w:val="en-US" w:eastAsia="x-none"/>
        </w:rPr>
        <w:t>Čelinac</w:t>
      </w:r>
      <w:proofErr w:type="spellEnd"/>
      <w:r w:rsidR="0054431F" w:rsidRPr="00ED4D49">
        <w:rPr>
          <w:lang w:val="en-US" w:eastAsia="x-none"/>
        </w:rPr>
        <w:t xml:space="preserve">, Brod, Kotor </w:t>
      </w:r>
      <w:proofErr w:type="spellStart"/>
      <w:r w:rsidR="0054431F" w:rsidRPr="00ED4D49">
        <w:rPr>
          <w:lang w:val="en-US" w:eastAsia="x-none"/>
        </w:rPr>
        <w:t>Varoš</w:t>
      </w:r>
      <w:proofErr w:type="spellEnd"/>
      <w:r w:rsidR="0054431F" w:rsidRPr="00ED4D49">
        <w:rPr>
          <w:lang w:val="en-US" w:eastAsia="x-none"/>
        </w:rPr>
        <w:t xml:space="preserve">, Novi Grad). </w:t>
      </w:r>
      <w:r w:rsidR="007724C4" w:rsidRPr="00ED4D49">
        <w:rPr>
          <w:lang w:val="en-US" w:eastAsia="x-none"/>
        </w:rPr>
        <w:t>10 local self-governments officially confirmed the receipt of the invitation and their participation.</w:t>
      </w:r>
      <w:r w:rsidR="00FA7F62" w:rsidRPr="00ED4D49">
        <w:rPr>
          <w:lang w:val="en-US" w:eastAsia="x-none"/>
        </w:rPr>
        <w:t xml:space="preserve"> </w:t>
      </w:r>
      <w:r w:rsidR="00A72834" w:rsidRPr="00ED4D49">
        <w:rPr>
          <w:lang w:val="en-US" w:eastAsia="x-none"/>
        </w:rPr>
        <w:t xml:space="preserve">They also </w:t>
      </w:r>
      <w:r w:rsidR="00B71C89" w:rsidRPr="00ED4D49">
        <w:rPr>
          <w:lang w:val="en-US" w:eastAsia="x-none"/>
        </w:rPr>
        <w:t>published</w:t>
      </w:r>
      <w:r w:rsidR="00A72834" w:rsidRPr="00ED4D49">
        <w:rPr>
          <w:lang w:val="en-US" w:eastAsia="x-none"/>
        </w:rPr>
        <w:t xml:space="preserve"> documents on their webpages.</w:t>
      </w:r>
    </w:p>
    <w:p w14:paraId="4C1C18B6" w14:textId="5223C555" w:rsidR="00126BA1" w:rsidRPr="00ED4D49" w:rsidRDefault="00126BA1" w:rsidP="0054431F">
      <w:pPr>
        <w:jc w:val="both"/>
        <w:rPr>
          <w:lang w:val="en-US" w:eastAsia="x-none"/>
        </w:rPr>
      </w:pPr>
    </w:p>
    <w:p w14:paraId="79D822B4" w14:textId="016CB940" w:rsidR="00A52FFB" w:rsidRPr="00ED4D49" w:rsidRDefault="00126BA1" w:rsidP="00A05261">
      <w:pPr>
        <w:jc w:val="both"/>
        <w:rPr>
          <w:lang w:val="en-US" w:eastAsia="x-none"/>
        </w:rPr>
      </w:pPr>
      <w:r w:rsidRPr="00ED4D49">
        <w:rPr>
          <w:lang w:val="en-US" w:eastAsia="x-none"/>
        </w:rPr>
        <w:t>The revised ESMF, as of July 2022</w:t>
      </w:r>
      <w:r w:rsidR="00753C12" w:rsidRPr="00ED4D49">
        <w:rPr>
          <w:lang w:val="en-US" w:eastAsia="x-none"/>
        </w:rPr>
        <w:t xml:space="preserve">, has </w:t>
      </w:r>
      <w:proofErr w:type="spellStart"/>
      <w:r w:rsidR="00753C12" w:rsidRPr="00ED4D49">
        <w:rPr>
          <w:lang w:val="en-US" w:eastAsia="x-none"/>
        </w:rPr>
        <w:t>been</w:t>
      </w:r>
      <w:r w:rsidRPr="00ED4D49">
        <w:rPr>
          <w:lang w:val="en-US" w:eastAsia="x-none"/>
        </w:rPr>
        <w:t>disclosed</w:t>
      </w:r>
      <w:proofErr w:type="spellEnd"/>
      <w:r w:rsidRPr="00ED4D49">
        <w:rPr>
          <w:lang w:val="en-US" w:eastAsia="x-none"/>
        </w:rPr>
        <w:t xml:space="preserve"> on the websites of Brcko </w:t>
      </w:r>
      <w:proofErr w:type="spellStart"/>
      <w:proofErr w:type="gramStart"/>
      <w:r w:rsidRPr="00ED4D49">
        <w:rPr>
          <w:lang w:val="en-US" w:eastAsia="x-none"/>
        </w:rPr>
        <w:t>District</w:t>
      </w:r>
      <w:r w:rsidR="00753C12" w:rsidRPr="00ED4D49">
        <w:rPr>
          <w:lang w:val="en-US" w:eastAsia="x-none"/>
        </w:rPr>
        <w:t>,</w:t>
      </w:r>
      <w:r w:rsidRPr="00ED4D49">
        <w:rPr>
          <w:lang w:val="en-US" w:eastAsia="x-none"/>
        </w:rPr>
        <w:t>Federation</w:t>
      </w:r>
      <w:proofErr w:type="spellEnd"/>
      <w:proofErr w:type="gramEnd"/>
      <w:r w:rsidRPr="00ED4D49">
        <w:rPr>
          <w:lang w:val="en-US" w:eastAsia="x-none"/>
        </w:rPr>
        <w:t xml:space="preserve"> BiH</w:t>
      </w:r>
      <w:r w:rsidR="00753C12" w:rsidRPr="00ED4D49">
        <w:rPr>
          <w:lang w:val="en-US" w:eastAsia="x-none"/>
        </w:rPr>
        <w:t xml:space="preserve"> and the BIH MCT websites in early March 2023</w:t>
      </w:r>
      <w:r w:rsidRPr="00ED4D49">
        <w:rPr>
          <w:lang w:val="en-US" w:eastAsia="x-none"/>
        </w:rPr>
        <w:t xml:space="preserve"> following a similar procedure on public consultations </w:t>
      </w:r>
      <w:r w:rsidR="002E22D9" w:rsidRPr="00ED4D49">
        <w:rPr>
          <w:lang w:val="en-US" w:eastAsia="x-none"/>
        </w:rPr>
        <w:t xml:space="preserve">to those that were carried out in January 2020. The ESMF </w:t>
      </w:r>
      <w:r w:rsidR="00684A94" w:rsidRPr="00ED4D49">
        <w:rPr>
          <w:lang w:val="en-US" w:eastAsia="x-none"/>
        </w:rPr>
        <w:t>has been</w:t>
      </w:r>
      <w:r w:rsidR="002E22D9" w:rsidRPr="00ED4D49">
        <w:rPr>
          <w:lang w:val="en-US" w:eastAsia="x-none"/>
        </w:rPr>
        <w:t xml:space="preserve"> updated to reflect the conclusions of the </w:t>
      </w:r>
      <w:proofErr w:type="spellStart"/>
      <w:r w:rsidR="002E22D9" w:rsidRPr="00ED4D49">
        <w:rPr>
          <w:lang w:val="en-US" w:eastAsia="x-none"/>
        </w:rPr>
        <w:t>consulatations</w:t>
      </w:r>
      <w:proofErr w:type="spellEnd"/>
      <w:r w:rsidR="002E22D9" w:rsidRPr="00ED4D49">
        <w:rPr>
          <w:lang w:val="en-US" w:eastAsia="x-none"/>
        </w:rPr>
        <w:t xml:space="preserve">, written comments received, </w:t>
      </w:r>
      <w:r w:rsidR="006F6F8A" w:rsidRPr="00ED4D49">
        <w:rPr>
          <w:lang w:val="en-US" w:eastAsia="x-none"/>
        </w:rPr>
        <w:t xml:space="preserve">and to include the updated version of the Minutes of Meeting and list of participants. </w:t>
      </w:r>
      <w:bookmarkEnd w:id="262"/>
      <w:r w:rsidR="00A52FFB" w:rsidRPr="00ED4D49">
        <w:rPr>
          <w:lang w:val="en-US" w:eastAsia="x-none"/>
        </w:rPr>
        <w:t xml:space="preserve">A public hearing has been organized in Brcko on March </w:t>
      </w:r>
      <w:r w:rsidR="00041A74" w:rsidRPr="00ED4D49">
        <w:rPr>
          <w:lang w:val="en-US" w:eastAsia="x-none"/>
        </w:rPr>
        <w:t>16, 2023</w:t>
      </w:r>
      <w:r w:rsidR="00234F29" w:rsidRPr="00ED4D49">
        <w:rPr>
          <w:lang w:val="en-US" w:eastAsia="x-none"/>
        </w:rPr>
        <w:t>, while targeted invitations and notifications have been sent to the key counterparts. It is important to note tha</w:t>
      </w:r>
      <w:r w:rsidR="006E2764" w:rsidRPr="00ED4D49">
        <w:rPr>
          <w:lang w:val="en-US" w:eastAsia="x-none"/>
        </w:rPr>
        <w:t>t the FBIH PIU has had long standing consultations and stakeholder engagement on previous projects in the anticipated project areas and on specific project sites</w:t>
      </w:r>
      <w:r w:rsidR="00467A8A" w:rsidRPr="00ED4D49">
        <w:rPr>
          <w:lang w:val="en-US" w:eastAsia="x-none"/>
        </w:rPr>
        <w:t xml:space="preserve">, so for those municipalities a kind request was sent in writing for providing comments, if any on the Framework set of documents. </w:t>
      </w:r>
    </w:p>
    <w:p w14:paraId="49DF4793" w14:textId="35B19CC6" w:rsidR="00A05261" w:rsidRPr="00ED4D49" w:rsidRDefault="00A05261" w:rsidP="00A05261">
      <w:pPr>
        <w:jc w:val="both"/>
        <w:rPr>
          <w:lang w:val="en-US" w:eastAsia="x-none"/>
        </w:rPr>
      </w:pPr>
      <w:r w:rsidRPr="00ED4D49">
        <w:rPr>
          <w:lang w:val="en-US" w:eastAsia="x-none"/>
        </w:rPr>
        <w:t xml:space="preserve">The minutes from the public hearing with an accompanying list of participants and photographs is included in Annex </w:t>
      </w:r>
      <w:r w:rsidR="007724C4" w:rsidRPr="00ED4D49">
        <w:rPr>
          <w:lang w:val="en-US" w:eastAsia="x-none"/>
        </w:rPr>
        <w:t>G</w:t>
      </w:r>
      <w:r w:rsidRPr="00ED4D49">
        <w:rPr>
          <w:lang w:val="en-US" w:eastAsia="x-none"/>
        </w:rPr>
        <w:t xml:space="preserve">. </w:t>
      </w:r>
    </w:p>
    <w:p w14:paraId="15C9B0E4" w14:textId="1FD6661B" w:rsidR="00A05261" w:rsidRPr="00ED4D49" w:rsidRDefault="00A05261" w:rsidP="00A05261">
      <w:pPr>
        <w:jc w:val="both"/>
        <w:rPr>
          <w:lang w:val="en-US" w:eastAsia="x-none"/>
        </w:rPr>
      </w:pPr>
      <w:r w:rsidRPr="00ED4D49">
        <w:rPr>
          <w:lang w:val="en-US" w:eastAsia="x-none"/>
        </w:rPr>
        <w:t>This ESMF has been updated to include the outcomes of the public consultation process</w:t>
      </w:r>
      <w:r w:rsidR="00467A8A" w:rsidRPr="00ED4D49">
        <w:rPr>
          <w:lang w:val="en-US" w:eastAsia="x-none"/>
        </w:rPr>
        <w:t>, which focused on the project components and providing more clarity on the scope, with no actual comments or questions on the environmental and social risk management</w:t>
      </w:r>
      <w:r w:rsidRPr="00ED4D49">
        <w:rPr>
          <w:lang w:val="en-US" w:eastAsia="x-none"/>
        </w:rPr>
        <w:t>.</w:t>
      </w:r>
    </w:p>
    <w:p w14:paraId="705D013F" w14:textId="77777777" w:rsidR="001D71BE" w:rsidRPr="00ED4D49" w:rsidRDefault="001D71BE" w:rsidP="001D71BE">
      <w:pPr>
        <w:rPr>
          <w:lang w:val="en-US" w:eastAsia="x-none"/>
        </w:rPr>
      </w:pPr>
    </w:p>
    <w:p w14:paraId="07171356" w14:textId="2209E32D" w:rsidR="003309A6" w:rsidRPr="00ED4D49" w:rsidRDefault="003309A6" w:rsidP="001D71BE">
      <w:pPr>
        <w:rPr>
          <w:lang w:val="en-US" w:eastAsia="x-none"/>
        </w:rPr>
        <w:sectPr w:rsidR="003309A6" w:rsidRPr="00ED4D49" w:rsidSect="00BC2294">
          <w:type w:val="continuous"/>
          <w:pgSz w:w="11900" w:h="16840"/>
          <w:pgMar w:top="1440" w:right="1440" w:bottom="1440" w:left="1440" w:header="720" w:footer="720" w:gutter="0"/>
          <w:cols w:space="720"/>
          <w:titlePg/>
          <w:docGrid w:linePitch="360"/>
        </w:sectPr>
      </w:pPr>
    </w:p>
    <w:p w14:paraId="279BC3B7" w14:textId="1DB014B5" w:rsidR="001D71BE" w:rsidRPr="00ED4D49" w:rsidRDefault="001D71BE" w:rsidP="001D71BE">
      <w:pPr>
        <w:rPr>
          <w:lang w:val="en-US" w:eastAsia="x-none"/>
        </w:rPr>
      </w:pPr>
    </w:p>
    <w:p w14:paraId="2A48157A" w14:textId="6842DBA7" w:rsidR="00B92829" w:rsidRPr="00ED4D49" w:rsidRDefault="00B92829" w:rsidP="00254054">
      <w:pPr>
        <w:pStyle w:val="Heading1"/>
        <w:numPr>
          <w:ilvl w:val="0"/>
          <w:numId w:val="0"/>
        </w:numPr>
        <w:rPr>
          <w:lang w:val="en-US"/>
        </w:rPr>
      </w:pPr>
      <w:bookmarkStart w:id="263" w:name="_Toc31811107"/>
      <w:r w:rsidRPr="00ED4D49">
        <w:rPr>
          <w:lang w:val="en-US"/>
        </w:rPr>
        <w:t>ANNEXES</w:t>
      </w:r>
      <w:bookmarkEnd w:id="263"/>
    </w:p>
    <w:p w14:paraId="29B00BC2" w14:textId="77777777" w:rsidR="00B92829" w:rsidRPr="00ED4D49" w:rsidRDefault="00B92829" w:rsidP="00B92829">
      <w:pPr>
        <w:jc w:val="both"/>
        <w:rPr>
          <w:rFonts w:cs="Calibri"/>
          <w:lang w:val="en-US" w:eastAsia="x-none"/>
        </w:rPr>
      </w:pP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1015"/>
        <w:gridCol w:w="7995"/>
      </w:tblGrid>
      <w:tr w:rsidR="00A0077D" w:rsidRPr="00ED4D49" w14:paraId="07F9DE0A" w14:textId="77777777" w:rsidTr="003162D3">
        <w:tc>
          <w:tcPr>
            <w:tcW w:w="1015" w:type="dxa"/>
            <w:shd w:val="clear" w:color="auto" w:fill="auto"/>
          </w:tcPr>
          <w:p w14:paraId="1274B6BE" w14:textId="57F13AB1" w:rsidR="00A0077D" w:rsidRPr="00ED4D49" w:rsidRDefault="00A0077D" w:rsidP="00A0077D">
            <w:pPr>
              <w:jc w:val="center"/>
              <w:rPr>
                <w:rFonts w:cs="Calibri"/>
                <w:lang w:val="en-US" w:eastAsia="x-none"/>
              </w:rPr>
            </w:pPr>
            <w:r w:rsidRPr="00ED4D49">
              <w:rPr>
                <w:rFonts w:cs="Calibri"/>
                <w:lang w:val="en-US" w:eastAsia="x-none"/>
              </w:rPr>
              <w:t>A</w:t>
            </w:r>
          </w:p>
        </w:tc>
        <w:tc>
          <w:tcPr>
            <w:tcW w:w="7995" w:type="dxa"/>
            <w:shd w:val="clear" w:color="auto" w:fill="auto"/>
          </w:tcPr>
          <w:p w14:paraId="22934CE6" w14:textId="1D2ECFB8" w:rsidR="00A0077D" w:rsidRPr="00ED4D49" w:rsidRDefault="00A0077D" w:rsidP="00A0077D">
            <w:pPr>
              <w:jc w:val="both"/>
              <w:rPr>
                <w:rStyle w:val="SubtleEmphasis"/>
                <w:iCs w:val="0"/>
                <w:lang w:val="en-US"/>
              </w:rPr>
            </w:pPr>
            <w:r w:rsidRPr="00ED4D49">
              <w:rPr>
                <w:rStyle w:val="SubtleEmphasis"/>
                <w:iCs w:val="0"/>
                <w:lang w:val="en-US"/>
              </w:rPr>
              <w:fldChar w:fldCharType="begin"/>
            </w:r>
            <w:r w:rsidRPr="00ED4D49">
              <w:rPr>
                <w:rStyle w:val="SubtleEmphasis"/>
                <w:iCs w:val="0"/>
                <w:lang w:val="en-US"/>
              </w:rPr>
              <w:instrText xml:space="preserve"> REF _Ref22568975 \h </w:instrText>
            </w:r>
            <w:r w:rsidR="00C27BB5" w:rsidRPr="00ED4D49">
              <w:rPr>
                <w:rStyle w:val="SubtleEmphasis"/>
                <w:iCs w:val="0"/>
                <w:lang w:val="en-US"/>
              </w:rPr>
              <w:instrText xml:space="preserve"> \* MERGEFORMAT </w:instrText>
            </w:r>
            <w:r w:rsidRPr="00ED4D49">
              <w:rPr>
                <w:rStyle w:val="SubtleEmphasis"/>
                <w:iCs w:val="0"/>
                <w:lang w:val="en-US"/>
              </w:rPr>
            </w:r>
            <w:r w:rsidRPr="00ED4D49">
              <w:rPr>
                <w:rStyle w:val="SubtleEmphasis"/>
                <w:iCs w:val="0"/>
                <w:lang w:val="en-US"/>
              </w:rPr>
              <w:fldChar w:fldCharType="separate"/>
            </w:r>
            <w:r w:rsidR="00F60130" w:rsidRPr="00ED4D49">
              <w:rPr>
                <w:rStyle w:val="SubtleEmphasis"/>
                <w:lang w:val="en-US"/>
              </w:rPr>
              <w:t>Sites of Cultural and Historical Heritage in Municipalities of the DRB</w:t>
            </w:r>
            <w:r w:rsidRPr="00ED4D49">
              <w:rPr>
                <w:rStyle w:val="SubtleEmphasis"/>
                <w:iCs w:val="0"/>
                <w:lang w:val="en-US"/>
              </w:rPr>
              <w:fldChar w:fldCharType="end"/>
            </w:r>
          </w:p>
        </w:tc>
      </w:tr>
      <w:tr w:rsidR="00A0077D" w:rsidRPr="00ED4D49" w14:paraId="6CE1B8A7" w14:textId="77777777" w:rsidTr="003162D3">
        <w:tc>
          <w:tcPr>
            <w:tcW w:w="1015" w:type="dxa"/>
            <w:shd w:val="clear" w:color="auto" w:fill="auto"/>
          </w:tcPr>
          <w:p w14:paraId="132CE12E" w14:textId="684AC210" w:rsidR="00A0077D" w:rsidRPr="00ED4D49" w:rsidRDefault="00A0077D" w:rsidP="00A0077D">
            <w:pPr>
              <w:jc w:val="center"/>
              <w:rPr>
                <w:rFonts w:cs="Calibri"/>
                <w:lang w:val="en-US" w:eastAsia="x-none"/>
              </w:rPr>
            </w:pPr>
            <w:r w:rsidRPr="00ED4D49">
              <w:rPr>
                <w:rFonts w:cs="Calibri"/>
                <w:iCs/>
                <w:lang w:val="en-US" w:eastAsia="x-none"/>
              </w:rPr>
              <w:t>B</w:t>
            </w:r>
          </w:p>
        </w:tc>
        <w:tc>
          <w:tcPr>
            <w:tcW w:w="7995" w:type="dxa"/>
            <w:shd w:val="clear" w:color="auto" w:fill="auto"/>
          </w:tcPr>
          <w:p w14:paraId="3BC76E5D" w14:textId="74CBFE7A" w:rsidR="00A0077D" w:rsidRPr="00ED4D49" w:rsidRDefault="00A0077D" w:rsidP="00A0077D">
            <w:pPr>
              <w:jc w:val="both"/>
              <w:rPr>
                <w:rStyle w:val="SubtleEmphasis"/>
                <w:iCs w:val="0"/>
                <w:lang w:val="en-US"/>
              </w:rPr>
            </w:pPr>
            <w:r w:rsidRPr="00ED4D49">
              <w:rPr>
                <w:rStyle w:val="SubtleEmphasis"/>
                <w:iCs w:val="0"/>
                <w:lang w:val="en-US"/>
              </w:rPr>
              <w:fldChar w:fldCharType="begin"/>
            </w:r>
            <w:r w:rsidRPr="00ED4D49">
              <w:rPr>
                <w:rStyle w:val="SubtleEmphasis"/>
                <w:iCs w:val="0"/>
                <w:lang w:val="en-US"/>
              </w:rPr>
              <w:instrText xml:space="preserve"> REF _Ref22553156 \h </w:instrText>
            </w:r>
            <w:r w:rsidR="00C27BB5" w:rsidRPr="00ED4D49">
              <w:rPr>
                <w:rStyle w:val="SubtleEmphasis"/>
                <w:iCs w:val="0"/>
                <w:lang w:val="en-US"/>
              </w:rPr>
              <w:instrText xml:space="preserve"> \* MERGEFORMAT </w:instrText>
            </w:r>
            <w:r w:rsidRPr="00ED4D49">
              <w:rPr>
                <w:rStyle w:val="SubtleEmphasis"/>
                <w:iCs w:val="0"/>
                <w:lang w:val="en-US"/>
              </w:rPr>
            </w:r>
            <w:r w:rsidRPr="00ED4D49">
              <w:rPr>
                <w:rStyle w:val="SubtleEmphasis"/>
                <w:iCs w:val="0"/>
                <w:lang w:val="en-US"/>
              </w:rPr>
              <w:fldChar w:fldCharType="separate"/>
            </w:r>
            <w:r w:rsidR="00F60130" w:rsidRPr="00ED4D49">
              <w:rPr>
                <w:rStyle w:val="SubtleEmphasis"/>
                <w:lang w:val="en-US"/>
              </w:rPr>
              <w:t xml:space="preserve">Sites of Cultural and Historical Heritage in Municipalities of the </w:t>
            </w:r>
            <w:r w:rsidRPr="00ED4D49">
              <w:rPr>
                <w:rStyle w:val="SubtleEmphasis"/>
                <w:iCs w:val="0"/>
                <w:lang w:val="en-US"/>
              </w:rPr>
              <w:fldChar w:fldCharType="end"/>
            </w:r>
          </w:p>
        </w:tc>
      </w:tr>
      <w:tr w:rsidR="00A0077D" w:rsidRPr="00ED4D49" w14:paraId="3410E956" w14:textId="77777777" w:rsidTr="003162D3">
        <w:tc>
          <w:tcPr>
            <w:tcW w:w="1015" w:type="dxa"/>
            <w:shd w:val="clear" w:color="auto" w:fill="auto"/>
          </w:tcPr>
          <w:p w14:paraId="61BFD788" w14:textId="63D3CB18" w:rsidR="00A0077D" w:rsidRPr="00ED4D49" w:rsidRDefault="00A0077D" w:rsidP="00A0077D">
            <w:pPr>
              <w:jc w:val="center"/>
              <w:rPr>
                <w:rFonts w:cs="Calibri"/>
                <w:lang w:val="en-US" w:eastAsia="x-none"/>
              </w:rPr>
            </w:pPr>
            <w:r w:rsidRPr="00ED4D49">
              <w:rPr>
                <w:rFonts w:cs="Calibri"/>
                <w:lang w:val="en-US" w:eastAsia="x-none"/>
              </w:rPr>
              <w:t>C</w:t>
            </w:r>
          </w:p>
        </w:tc>
        <w:tc>
          <w:tcPr>
            <w:tcW w:w="7995" w:type="dxa"/>
            <w:shd w:val="clear" w:color="auto" w:fill="auto"/>
          </w:tcPr>
          <w:p w14:paraId="17BC763E" w14:textId="5D6F6555" w:rsidR="00A0077D" w:rsidRPr="00ED4D49" w:rsidRDefault="00284391" w:rsidP="00A0077D">
            <w:pPr>
              <w:jc w:val="both"/>
              <w:rPr>
                <w:rStyle w:val="SubtleEmphasis"/>
                <w:lang w:val="en-US"/>
              </w:rPr>
            </w:pPr>
            <w:r w:rsidRPr="00ED4D49">
              <w:rPr>
                <w:rStyle w:val="SubtleEmphasis"/>
                <w:iCs w:val="0"/>
                <w:lang w:val="en-US"/>
              </w:rPr>
              <w:fldChar w:fldCharType="begin"/>
            </w:r>
            <w:r w:rsidRPr="00ED4D49">
              <w:rPr>
                <w:rStyle w:val="SubtleEmphasis"/>
                <w:iCs w:val="0"/>
                <w:lang w:val="en-US"/>
              </w:rPr>
              <w:instrText xml:space="preserve"> REF _Ref22584504 \h </w:instrText>
            </w:r>
            <w:r w:rsidR="00C27BB5" w:rsidRPr="00ED4D49">
              <w:rPr>
                <w:rStyle w:val="SubtleEmphasis"/>
                <w:iCs w:val="0"/>
                <w:lang w:val="en-US"/>
              </w:rPr>
              <w:instrText xml:space="preserve"> \* MERGEFORMAT </w:instrText>
            </w:r>
            <w:r w:rsidRPr="00ED4D49">
              <w:rPr>
                <w:rStyle w:val="SubtleEmphasis"/>
                <w:iCs w:val="0"/>
                <w:lang w:val="en-US"/>
              </w:rPr>
            </w:r>
            <w:r w:rsidRPr="00ED4D49">
              <w:rPr>
                <w:rStyle w:val="SubtleEmphasis"/>
                <w:iCs w:val="0"/>
                <w:lang w:val="en-US"/>
              </w:rPr>
              <w:fldChar w:fldCharType="separate"/>
            </w:r>
            <w:r w:rsidR="00F60130" w:rsidRPr="00ED4D49">
              <w:rPr>
                <w:rStyle w:val="SubtleEmphasis"/>
                <w:lang w:val="en-US"/>
              </w:rPr>
              <w:t>Overview of Cantonal Ministries Responsible for Water Management and Environmental Issues</w:t>
            </w:r>
            <w:r w:rsidRPr="00ED4D49">
              <w:rPr>
                <w:rStyle w:val="SubtleEmphasis"/>
                <w:iCs w:val="0"/>
                <w:lang w:val="en-US"/>
              </w:rPr>
              <w:fldChar w:fldCharType="end"/>
            </w:r>
          </w:p>
        </w:tc>
      </w:tr>
      <w:tr w:rsidR="00A0077D" w:rsidRPr="00ED4D49" w14:paraId="25714BB2" w14:textId="77777777" w:rsidTr="003162D3">
        <w:tc>
          <w:tcPr>
            <w:tcW w:w="1015" w:type="dxa"/>
            <w:shd w:val="clear" w:color="auto" w:fill="auto"/>
          </w:tcPr>
          <w:p w14:paraId="07D466A8" w14:textId="321E9CB3" w:rsidR="00A0077D" w:rsidRPr="00ED4D49" w:rsidRDefault="00A0077D" w:rsidP="00A0077D">
            <w:pPr>
              <w:jc w:val="center"/>
              <w:rPr>
                <w:rFonts w:cs="Calibri"/>
                <w:lang w:val="en-US" w:eastAsia="x-none"/>
              </w:rPr>
            </w:pPr>
            <w:r w:rsidRPr="00ED4D49">
              <w:rPr>
                <w:rFonts w:cs="Calibri"/>
                <w:lang w:val="en-US" w:eastAsia="x-none"/>
              </w:rPr>
              <w:t>D</w:t>
            </w:r>
          </w:p>
        </w:tc>
        <w:tc>
          <w:tcPr>
            <w:tcW w:w="7995" w:type="dxa"/>
            <w:shd w:val="clear" w:color="auto" w:fill="auto"/>
          </w:tcPr>
          <w:p w14:paraId="7A72E969" w14:textId="366CD616" w:rsidR="00A0077D" w:rsidRPr="00ED4D49" w:rsidRDefault="00A0077D" w:rsidP="00A0077D">
            <w:pPr>
              <w:jc w:val="both"/>
              <w:rPr>
                <w:rStyle w:val="SubtleEmphasis"/>
                <w:lang w:val="en-US"/>
              </w:rPr>
            </w:pPr>
            <w:r w:rsidRPr="00ED4D49">
              <w:rPr>
                <w:rStyle w:val="SubtleEmphasis"/>
                <w:lang w:val="en-US"/>
              </w:rPr>
              <w:fldChar w:fldCharType="begin"/>
            </w:r>
            <w:r w:rsidRPr="00ED4D49">
              <w:rPr>
                <w:rStyle w:val="SubtleEmphasis"/>
                <w:lang w:val="en-US"/>
              </w:rPr>
              <w:instrText xml:space="preserve"> REF _Ref22310961 \h  \* MERGEFORMAT </w:instrText>
            </w:r>
            <w:r w:rsidRPr="00ED4D49">
              <w:rPr>
                <w:rStyle w:val="SubtleEmphasis"/>
                <w:lang w:val="en-US"/>
              </w:rPr>
            </w:r>
            <w:r w:rsidRPr="00ED4D49">
              <w:rPr>
                <w:rStyle w:val="SubtleEmphasis"/>
                <w:lang w:val="en-US"/>
              </w:rPr>
              <w:fldChar w:fldCharType="separate"/>
            </w:r>
            <w:r w:rsidR="00F60130" w:rsidRPr="00ED4D49">
              <w:rPr>
                <w:rStyle w:val="SubtleEmphasis"/>
                <w:iCs w:val="0"/>
                <w:lang w:val="en-US"/>
              </w:rPr>
              <w:t>Generic Environmental and Social Management Plan for the Project</w:t>
            </w:r>
            <w:r w:rsidRPr="00ED4D49">
              <w:rPr>
                <w:rStyle w:val="SubtleEmphasis"/>
                <w:lang w:val="en-US"/>
              </w:rPr>
              <w:fldChar w:fldCharType="end"/>
            </w:r>
          </w:p>
        </w:tc>
      </w:tr>
      <w:tr w:rsidR="00A0077D" w:rsidRPr="00ED4D49" w14:paraId="3132F385" w14:textId="77777777" w:rsidTr="003162D3">
        <w:tc>
          <w:tcPr>
            <w:tcW w:w="1015" w:type="dxa"/>
            <w:shd w:val="clear" w:color="auto" w:fill="auto"/>
          </w:tcPr>
          <w:p w14:paraId="0671AA88" w14:textId="140040BC" w:rsidR="00A0077D" w:rsidRPr="00ED4D49" w:rsidRDefault="00A0077D" w:rsidP="00A0077D">
            <w:pPr>
              <w:jc w:val="center"/>
              <w:rPr>
                <w:rFonts w:cs="Calibri"/>
                <w:lang w:val="en-US" w:eastAsia="x-none"/>
              </w:rPr>
            </w:pPr>
            <w:r w:rsidRPr="00ED4D49">
              <w:rPr>
                <w:rFonts w:cs="Calibri"/>
                <w:lang w:val="en-US" w:eastAsia="x-none"/>
              </w:rPr>
              <w:t>E</w:t>
            </w:r>
          </w:p>
        </w:tc>
        <w:tc>
          <w:tcPr>
            <w:tcW w:w="7995" w:type="dxa"/>
            <w:shd w:val="clear" w:color="auto" w:fill="auto"/>
          </w:tcPr>
          <w:p w14:paraId="51A7E617" w14:textId="0FA966E4" w:rsidR="00A0077D" w:rsidRPr="00ED4D49" w:rsidRDefault="00A0077D" w:rsidP="00A0077D">
            <w:pPr>
              <w:jc w:val="both"/>
              <w:rPr>
                <w:rStyle w:val="SubtleEmphasis"/>
                <w:iCs w:val="0"/>
                <w:lang w:val="en-US"/>
              </w:rPr>
            </w:pPr>
            <w:r w:rsidRPr="00ED4D49">
              <w:rPr>
                <w:rStyle w:val="SubtleEmphasis"/>
                <w:iCs w:val="0"/>
                <w:lang w:val="en-US"/>
              </w:rPr>
              <w:fldChar w:fldCharType="begin"/>
            </w:r>
            <w:r w:rsidRPr="00ED4D49">
              <w:rPr>
                <w:rStyle w:val="SubtleEmphasis"/>
                <w:iCs w:val="0"/>
                <w:lang w:val="en-US"/>
              </w:rPr>
              <w:instrText xml:space="preserve"> REF _Ref22311169 \h  \* MERGEFORMAT </w:instrText>
            </w:r>
            <w:r w:rsidRPr="00ED4D49">
              <w:rPr>
                <w:rStyle w:val="SubtleEmphasis"/>
                <w:iCs w:val="0"/>
                <w:lang w:val="en-US"/>
              </w:rPr>
            </w:r>
            <w:r w:rsidRPr="00ED4D49">
              <w:rPr>
                <w:rStyle w:val="SubtleEmphasis"/>
                <w:iCs w:val="0"/>
                <w:lang w:val="en-US"/>
              </w:rPr>
              <w:fldChar w:fldCharType="separate"/>
            </w:r>
            <w:r w:rsidR="00F60130" w:rsidRPr="00ED4D49">
              <w:rPr>
                <w:rStyle w:val="SubtleEmphasis"/>
                <w:iCs w:val="0"/>
                <w:lang w:val="en-US"/>
              </w:rPr>
              <w:t>Indicative outline of</w:t>
            </w:r>
            <w:r w:rsidR="00F60130" w:rsidRPr="00ED4D49">
              <w:rPr>
                <w:rStyle w:val="SubtleEmphasis"/>
                <w:lang w:val="en-US"/>
              </w:rPr>
              <w:t xml:space="preserve"> ESIA </w:t>
            </w:r>
            <w:r w:rsidRPr="00ED4D49">
              <w:rPr>
                <w:rStyle w:val="SubtleEmphasis"/>
                <w:iCs w:val="0"/>
                <w:lang w:val="en-US"/>
              </w:rPr>
              <w:fldChar w:fldCharType="end"/>
            </w:r>
          </w:p>
        </w:tc>
      </w:tr>
      <w:tr w:rsidR="00A0077D" w:rsidRPr="00ED4D49" w14:paraId="6A3490F5" w14:textId="77777777" w:rsidTr="003162D3">
        <w:tc>
          <w:tcPr>
            <w:tcW w:w="1015" w:type="dxa"/>
            <w:shd w:val="clear" w:color="auto" w:fill="auto"/>
          </w:tcPr>
          <w:p w14:paraId="188C55EC" w14:textId="68C01B80" w:rsidR="00A0077D" w:rsidRPr="00ED4D49" w:rsidRDefault="00A0077D" w:rsidP="00A0077D">
            <w:pPr>
              <w:jc w:val="center"/>
              <w:rPr>
                <w:rFonts w:cs="Calibri"/>
                <w:lang w:val="en-US" w:eastAsia="x-none"/>
              </w:rPr>
            </w:pPr>
            <w:r w:rsidRPr="00ED4D49">
              <w:rPr>
                <w:rFonts w:cs="Calibri"/>
                <w:lang w:val="en-US" w:eastAsia="x-none"/>
              </w:rPr>
              <w:t>F</w:t>
            </w:r>
          </w:p>
        </w:tc>
        <w:tc>
          <w:tcPr>
            <w:tcW w:w="7995" w:type="dxa"/>
            <w:shd w:val="clear" w:color="auto" w:fill="auto"/>
          </w:tcPr>
          <w:p w14:paraId="5AC8F38F" w14:textId="2E2BB1F9" w:rsidR="00A0077D" w:rsidRPr="00ED4D49" w:rsidRDefault="00A0077D" w:rsidP="00A0077D">
            <w:pPr>
              <w:jc w:val="both"/>
              <w:rPr>
                <w:rStyle w:val="SubtleEmphasis"/>
                <w:iCs w:val="0"/>
                <w:lang w:val="en-US"/>
              </w:rPr>
            </w:pPr>
            <w:r w:rsidRPr="00ED4D49">
              <w:rPr>
                <w:rStyle w:val="SubtleEmphasis"/>
                <w:iCs w:val="0"/>
                <w:lang w:val="en-US"/>
              </w:rPr>
              <w:fldChar w:fldCharType="begin"/>
            </w:r>
            <w:r w:rsidRPr="00ED4D49">
              <w:rPr>
                <w:rStyle w:val="SubtleEmphasis"/>
                <w:iCs w:val="0"/>
                <w:lang w:val="en-US"/>
              </w:rPr>
              <w:instrText xml:space="preserve"> REF _Ref22311221 \h  \* MERGEFORMAT </w:instrText>
            </w:r>
            <w:r w:rsidRPr="00ED4D49">
              <w:rPr>
                <w:rStyle w:val="SubtleEmphasis"/>
                <w:iCs w:val="0"/>
                <w:lang w:val="en-US"/>
              </w:rPr>
            </w:r>
            <w:r w:rsidRPr="00ED4D49">
              <w:rPr>
                <w:rStyle w:val="SubtleEmphasis"/>
                <w:iCs w:val="0"/>
                <w:lang w:val="en-US"/>
              </w:rPr>
              <w:fldChar w:fldCharType="separate"/>
            </w:r>
            <w:r w:rsidR="00F60130" w:rsidRPr="00ED4D49">
              <w:rPr>
                <w:rStyle w:val="SubtleEmphasis"/>
                <w:iCs w:val="0"/>
                <w:lang w:val="en-US"/>
              </w:rPr>
              <w:t>Indicative outline of</w:t>
            </w:r>
            <w:r w:rsidR="00F60130" w:rsidRPr="00ED4D49">
              <w:rPr>
                <w:rStyle w:val="SubtleEmphasis"/>
                <w:lang w:val="en-US"/>
              </w:rPr>
              <w:t xml:space="preserve"> site-specific ESMP </w:t>
            </w:r>
            <w:r w:rsidRPr="00ED4D49">
              <w:rPr>
                <w:rStyle w:val="SubtleEmphasis"/>
                <w:iCs w:val="0"/>
                <w:lang w:val="en-US"/>
              </w:rPr>
              <w:fldChar w:fldCharType="end"/>
            </w:r>
          </w:p>
        </w:tc>
      </w:tr>
      <w:tr w:rsidR="001D71BE" w:rsidRPr="00ED4D49" w14:paraId="5B00F9D4" w14:textId="77777777" w:rsidTr="003162D3">
        <w:tc>
          <w:tcPr>
            <w:tcW w:w="1015" w:type="dxa"/>
            <w:shd w:val="clear" w:color="auto" w:fill="auto"/>
          </w:tcPr>
          <w:p w14:paraId="2FFF5382" w14:textId="4F7D0DDC" w:rsidR="001D71BE" w:rsidRPr="00ED4D49" w:rsidRDefault="001D71BE" w:rsidP="00A0077D">
            <w:pPr>
              <w:jc w:val="center"/>
              <w:rPr>
                <w:rFonts w:cs="Calibri"/>
                <w:lang w:val="en-US" w:eastAsia="x-none"/>
              </w:rPr>
            </w:pPr>
            <w:r w:rsidRPr="00ED4D49">
              <w:rPr>
                <w:rFonts w:cs="Calibri"/>
                <w:lang w:val="en-US" w:eastAsia="x-none"/>
              </w:rPr>
              <w:t>G</w:t>
            </w:r>
          </w:p>
        </w:tc>
        <w:tc>
          <w:tcPr>
            <w:tcW w:w="7995" w:type="dxa"/>
            <w:shd w:val="clear" w:color="auto" w:fill="auto"/>
          </w:tcPr>
          <w:p w14:paraId="71336044" w14:textId="212F5496" w:rsidR="001D71BE" w:rsidRPr="00ED4D49" w:rsidRDefault="001D71BE" w:rsidP="00A0077D">
            <w:pPr>
              <w:jc w:val="both"/>
              <w:rPr>
                <w:rStyle w:val="SubtleEmphasis"/>
                <w:iCs w:val="0"/>
                <w:lang w:val="en-US"/>
              </w:rPr>
            </w:pPr>
            <w:r w:rsidRPr="00ED4D49">
              <w:rPr>
                <w:rStyle w:val="SubtleEmphasis"/>
                <w:iCs w:val="0"/>
                <w:lang w:val="en-US"/>
              </w:rPr>
              <w:fldChar w:fldCharType="begin"/>
            </w:r>
            <w:r w:rsidRPr="00ED4D49">
              <w:rPr>
                <w:rStyle w:val="SubtleEmphasis"/>
                <w:iCs w:val="0"/>
                <w:lang w:val="en-US"/>
              </w:rPr>
              <w:instrText xml:space="preserve"> REF _Ref22893216 \h  \* MERGEFORMAT </w:instrText>
            </w:r>
            <w:r w:rsidRPr="00ED4D49">
              <w:rPr>
                <w:rStyle w:val="SubtleEmphasis"/>
                <w:iCs w:val="0"/>
                <w:lang w:val="en-US"/>
              </w:rPr>
            </w:r>
            <w:r w:rsidRPr="00ED4D49">
              <w:rPr>
                <w:rStyle w:val="SubtleEmphasis"/>
                <w:iCs w:val="0"/>
                <w:lang w:val="en-US"/>
              </w:rPr>
              <w:fldChar w:fldCharType="separate"/>
            </w:r>
            <w:r w:rsidR="00F60130" w:rsidRPr="00ED4D49">
              <w:rPr>
                <w:rStyle w:val="SubtleEmphasis"/>
                <w:lang w:val="en-US"/>
              </w:rPr>
              <w:t>Minutes from the public consultations</w:t>
            </w:r>
            <w:r w:rsidRPr="00ED4D49">
              <w:rPr>
                <w:rStyle w:val="SubtleEmphasis"/>
                <w:iCs w:val="0"/>
                <w:lang w:val="en-US"/>
              </w:rPr>
              <w:fldChar w:fldCharType="end"/>
            </w:r>
          </w:p>
        </w:tc>
      </w:tr>
    </w:tbl>
    <w:p w14:paraId="7A42FD21" w14:textId="77777777" w:rsidR="00B92829" w:rsidRPr="00ED4D49" w:rsidRDefault="00B92829" w:rsidP="00B92829">
      <w:pPr>
        <w:jc w:val="both"/>
        <w:rPr>
          <w:rFonts w:cs="Calibri"/>
          <w:lang w:val="en-US" w:eastAsia="x-none"/>
        </w:rPr>
        <w:sectPr w:rsidR="00B92829" w:rsidRPr="00ED4D49" w:rsidSect="00F57E67">
          <w:pgSz w:w="11900" w:h="16840"/>
          <w:pgMar w:top="1440" w:right="1440" w:bottom="1440" w:left="1440" w:header="720" w:footer="720" w:gutter="0"/>
          <w:cols w:space="720"/>
          <w:titlePg/>
          <w:docGrid w:linePitch="360"/>
        </w:sectPr>
      </w:pPr>
    </w:p>
    <w:p w14:paraId="5B727F50" w14:textId="49FE6385" w:rsidR="00A0077D" w:rsidRPr="00ED4D49" w:rsidRDefault="00A0077D" w:rsidP="00530056">
      <w:pPr>
        <w:pStyle w:val="Heading2"/>
        <w:numPr>
          <w:ilvl w:val="0"/>
          <w:numId w:val="30"/>
        </w:numPr>
        <w:ind w:left="426" w:hanging="426"/>
      </w:pPr>
      <w:bookmarkStart w:id="264" w:name="_Ref22568975"/>
      <w:bookmarkStart w:id="265" w:name="_Toc22569771"/>
      <w:bookmarkStart w:id="266" w:name="_Toc22570324"/>
      <w:bookmarkStart w:id="267" w:name="_Toc31811108"/>
      <w:bookmarkStart w:id="268" w:name="_Ref20824365"/>
      <w:bookmarkStart w:id="269" w:name="_Toc20858960"/>
      <w:bookmarkStart w:id="270" w:name="_Ref5710440"/>
      <w:bookmarkStart w:id="271" w:name="_Ref5710453"/>
      <w:bookmarkStart w:id="272" w:name="_Ref5710476"/>
      <w:bookmarkStart w:id="273" w:name="_Ref5710497"/>
      <w:bookmarkStart w:id="274" w:name="_Ref5710585"/>
      <w:bookmarkStart w:id="275" w:name="_Ref5710609"/>
      <w:bookmarkStart w:id="276" w:name="_Ref5710691"/>
      <w:r w:rsidRPr="00ED4D49">
        <w:lastRenderedPageBreak/>
        <w:t>Sites of Cultural and Historical Heritage in Municipalities of the DRB</w:t>
      </w:r>
      <w:bookmarkEnd w:id="264"/>
      <w:bookmarkEnd w:id="265"/>
      <w:bookmarkEnd w:id="266"/>
      <w:bookmarkEnd w:id="267"/>
      <w:r w:rsidRPr="00ED4D49">
        <w:t xml:space="preserve"> </w:t>
      </w: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1751"/>
        <w:gridCol w:w="7259"/>
      </w:tblGrid>
      <w:tr w:rsidR="00284391" w:rsidRPr="00ED4D49" w14:paraId="6639A65B" w14:textId="77777777" w:rsidTr="00284391">
        <w:trPr>
          <w:tblHeader/>
        </w:trPr>
        <w:tc>
          <w:tcPr>
            <w:tcW w:w="1751" w:type="dxa"/>
            <w:tcBorders>
              <w:top w:val="single" w:sz="4" w:space="0" w:color="BFBFBF"/>
              <w:left w:val="single" w:sz="4" w:space="0" w:color="BFBFBF"/>
              <w:bottom w:val="single" w:sz="4" w:space="0" w:color="BFBFBF"/>
              <w:right w:val="single" w:sz="4" w:space="0" w:color="BFBFBF"/>
            </w:tcBorders>
            <w:shd w:val="clear" w:color="auto" w:fill="auto"/>
            <w:vAlign w:val="center"/>
          </w:tcPr>
          <w:p w14:paraId="22B572D6" w14:textId="77777777" w:rsidR="00284391" w:rsidRPr="00ED4D49" w:rsidRDefault="00284391" w:rsidP="00284391">
            <w:pPr>
              <w:rPr>
                <w:rFonts w:cs="Calibri"/>
                <w:color w:val="336699"/>
                <w:sz w:val="16"/>
                <w:szCs w:val="16"/>
                <w:lang w:val="en-US"/>
              </w:rPr>
            </w:pPr>
            <w:r w:rsidRPr="00ED4D49">
              <w:rPr>
                <w:rFonts w:cs="Calibri"/>
                <w:color w:val="336699"/>
                <w:sz w:val="16"/>
                <w:szCs w:val="16"/>
                <w:lang w:val="en-US"/>
              </w:rPr>
              <w:t>Entity/Municipality</w:t>
            </w:r>
          </w:p>
        </w:tc>
        <w:tc>
          <w:tcPr>
            <w:tcW w:w="7259" w:type="dxa"/>
            <w:tcBorders>
              <w:top w:val="single" w:sz="4" w:space="0" w:color="BFBFBF"/>
              <w:left w:val="single" w:sz="4" w:space="0" w:color="BFBFBF"/>
              <w:bottom w:val="single" w:sz="4" w:space="0" w:color="BFBFBF"/>
              <w:right w:val="single" w:sz="4" w:space="0" w:color="BFBFBF"/>
            </w:tcBorders>
            <w:shd w:val="clear" w:color="auto" w:fill="auto"/>
            <w:vAlign w:val="center"/>
          </w:tcPr>
          <w:p w14:paraId="2603434D" w14:textId="77777777" w:rsidR="00284391" w:rsidRPr="00ED4D49" w:rsidRDefault="00284391" w:rsidP="00284391">
            <w:pPr>
              <w:rPr>
                <w:rFonts w:cs="Calibri"/>
                <w:color w:val="336699"/>
                <w:sz w:val="16"/>
                <w:szCs w:val="16"/>
                <w:lang w:val="en-US"/>
              </w:rPr>
            </w:pPr>
            <w:r w:rsidRPr="00ED4D49">
              <w:rPr>
                <w:rFonts w:cs="Calibri"/>
                <w:color w:val="336699"/>
                <w:sz w:val="16"/>
                <w:szCs w:val="16"/>
                <w:lang w:val="en-US"/>
              </w:rPr>
              <w:t>Site</w:t>
            </w:r>
          </w:p>
        </w:tc>
      </w:tr>
      <w:tr w:rsidR="00284391" w:rsidRPr="00ED4D49" w14:paraId="102CDE0A" w14:textId="77777777" w:rsidTr="00284391">
        <w:tc>
          <w:tcPr>
            <w:tcW w:w="9010" w:type="dxa"/>
            <w:gridSpan w:val="2"/>
            <w:shd w:val="clear" w:color="auto" w:fill="auto"/>
            <w:vAlign w:val="center"/>
          </w:tcPr>
          <w:p w14:paraId="4CAFD28A" w14:textId="77777777" w:rsidR="00284391" w:rsidRPr="00ED4D49" w:rsidRDefault="00284391" w:rsidP="00C27BB5">
            <w:pPr>
              <w:spacing w:before="0" w:after="0"/>
              <w:ind w:right="144"/>
              <w:rPr>
                <w:rFonts w:cs="Calibri"/>
                <w:b/>
                <w:sz w:val="16"/>
                <w:szCs w:val="16"/>
                <w:lang w:val="en-US"/>
              </w:rPr>
            </w:pPr>
            <w:r w:rsidRPr="00ED4D49">
              <w:rPr>
                <w:rFonts w:cs="Calibri"/>
                <w:b/>
                <w:color w:val="000000"/>
                <w:sz w:val="16"/>
                <w:szCs w:val="16"/>
                <w:lang w:val="en-US" w:eastAsia="bs-Latn-BA"/>
              </w:rPr>
              <w:t>RS</w:t>
            </w:r>
          </w:p>
        </w:tc>
      </w:tr>
      <w:tr w:rsidR="00284391" w:rsidRPr="00ED4D49" w14:paraId="7A514E1B" w14:textId="77777777" w:rsidTr="00284391">
        <w:tc>
          <w:tcPr>
            <w:tcW w:w="1751" w:type="dxa"/>
            <w:vMerge w:val="restart"/>
            <w:shd w:val="clear" w:color="auto" w:fill="auto"/>
            <w:vAlign w:val="center"/>
          </w:tcPr>
          <w:p w14:paraId="244EDA4F" w14:textId="77777777" w:rsidR="00284391" w:rsidRPr="00ED4D49" w:rsidRDefault="00284391" w:rsidP="00C27BB5">
            <w:pPr>
              <w:rPr>
                <w:rFonts w:cs="Calibri"/>
                <w:color w:val="000000"/>
                <w:sz w:val="16"/>
                <w:szCs w:val="16"/>
                <w:lang w:val="en-US" w:eastAsia="bs-Latn-BA"/>
              </w:rPr>
            </w:pPr>
            <w:r w:rsidRPr="00ED4D49">
              <w:rPr>
                <w:rFonts w:cs="Calibri"/>
                <w:color w:val="000000"/>
                <w:sz w:val="16"/>
                <w:szCs w:val="16"/>
                <w:lang w:val="en-US" w:eastAsia="bs-Latn-BA"/>
              </w:rPr>
              <w:t>Bijeljina</w:t>
            </w:r>
          </w:p>
        </w:tc>
        <w:tc>
          <w:tcPr>
            <w:tcW w:w="7259" w:type="dxa"/>
            <w:shd w:val="clear" w:color="auto" w:fill="auto"/>
            <w:vAlign w:val="center"/>
          </w:tcPr>
          <w:p w14:paraId="0019D6C7" w14:textId="77777777" w:rsidR="00284391" w:rsidRPr="00ED4D49" w:rsidRDefault="00284391" w:rsidP="00C27BB5">
            <w:pPr>
              <w:autoSpaceDE w:val="0"/>
              <w:autoSpaceDN w:val="0"/>
              <w:adjustRightInd w:val="0"/>
              <w:spacing w:before="0" w:after="0" w:line="240" w:lineRule="auto"/>
              <w:rPr>
                <w:rFonts w:cs="Calibri"/>
                <w:sz w:val="16"/>
                <w:szCs w:val="16"/>
                <w:lang w:val="en-US"/>
              </w:rPr>
            </w:pPr>
            <w:r w:rsidRPr="00ED4D49">
              <w:rPr>
                <w:rFonts w:cs="Calibri"/>
                <w:sz w:val="16"/>
                <w:szCs w:val="16"/>
                <w:lang w:val="en-US"/>
              </w:rPr>
              <w:t>Atik (</w:t>
            </w:r>
            <w:proofErr w:type="gramStart"/>
            <w:r w:rsidRPr="00ED4D49">
              <w:rPr>
                <w:rFonts w:cs="Calibri"/>
                <w:sz w:val="16"/>
                <w:szCs w:val="16"/>
                <w:lang w:val="en-US"/>
              </w:rPr>
              <w:t>Old mosque</w:t>
            </w:r>
            <w:proofErr w:type="gramEnd"/>
            <w:r w:rsidRPr="00ED4D49">
              <w:rPr>
                <w:rFonts w:cs="Calibri"/>
                <w:sz w:val="16"/>
                <w:szCs w:val="16"/>
                <w:lang w:val="en-US"/>
              </w:rPr>
              <w:t xml:space="preserve"> or Sultan Sulayman's mosque) with harem and </w:t>
            </w:r>
            <w:proofErr w:type="spellStart"/>
            <w:r w:rsidRPr="00ED4D49">
              <w:rPr>
                <w:rFonts w:cs="Calibri"/>
                <w:sz w:val="16"/>
                <w:szCs w:val="16"/>
                <w:lang w:val="en-US"/>
              </w:rPr>
              <w:t>turbe</w:t>
            </w:r>
            <w:proofErr w:type="spellEnd"/>
            <w:r w:rsidRPr="00ED4D49">
              <w:rPr>
                <w:rFonts w:cs="Calibri"/>
                <w:sz w:val="16"/>
                <w:szCs w:val="16"/>
                <w:lang w:val="en-US"/>
              </w:rPr>
              <w:t>, the site and remains of the architectural ensemble</w:t>
            </w:r>
          </w:p>
        </w:tc>
      </w:tr>
      <w:tr w:rsidR="00284391" w:rsidRPr="00ED4D49" w14:paraId="17489AA3" w14:textId="77777777" w:rsidTr="00284391">
        <w:tc>
          <w:tcPr>
            <w:tcW w:w="1751" w:type="dxa"/>
            <w:vMerge/>
            <w:shd w:val="clear" w:color="auto" w:fill="auto"/>
            <w:vAlign w:val="center"/>
          </w:tcPr>
          <w:p w14:paraId="1C2E5C65" w14:textId="77777777" w:rsidR="00284391" w:rsidRPr="00ED4D49" w:rsidRDefault="00284391" w:rsidP="00C27BB5">
            <w:pPr>
              <w:rPr>
                <w:rFonts w:cs="Calibri"/>
                <w:color w:val="000000"/>
                <w:sz w:val="16"/>
                <w:szCs w:val="16"/>
                <w:lang w:val="en-US" w:eastAsia="bs-Latn-BA"/>
              </w:rPr>
            </w:pPr>
          </w:p>
        </w:tc>
        <w:tc>
          <w:tcPr>
            <w:tcW w:w="7259" w:type="dxa"/>
            <w:shd w:val="clear" w:color="auto" w:fill="auto"/>
            <w:vAlign w:val="center"/>
          </w:tcPr>
          <w:p w14:paraId="399B5640" w14:textId="77777777" w:rsidR="00284391" w:rsidRPr="00ED4D49" w:rsidRDefault="00284391" w:rsidP="00C27BB5">
            <w:pPr>
              <w:autoSpaceDE w:val="0"/>
              <w:autoSpaceDN w:val="0"/>
              <w:adjustRightInd w:val="0"/>
              <w:spacing w:before="0" w:after="0" w:line="240" w:lineRule="auto"/>
              <w:rPr>
                <w:rFonts w:cs="Calibri"/>
                <w:sz w:val="16"/>
                <w:szCs w:val="16"/>
                <w:lang w:val="en-US"/>
              </w:rPr>
            </w:pPr>
            <w:r w:rsidRPr="00ED4D49">
              <w:rPr>
                <w:rFonts w:cs="Calibri"/>
                <w:sz w:val="16"/>
                <w:szCs w:val="16"/>
                <w:lang w:val="en-US"/>
              </w:rPr>
              <w:t xml:space="preserve">Church of the Holy Trinity in </w:t>
            </w:r>
            <w:proofErr w:type="spellStart"/>
            <w:r w:rsidRPr="00ED4D49">
              <w:rPr>
                <w:rFonts w:cs="Calibri"/>
                <w:sz w:val="16"/>
                <w:szCs w:val="16"/>
                <w:lang w:val="en-US"/>
              </w:rPr>
              <w:t>Tavna</w:t>
            </w:r>
            <w:proofErr w:type="spellEnd"/>
            <w:r w:rsidRPr="00ED4D49">
              <w:rPr>
                <w:rFonts w:cs="Calibri"/>
                <w:sz w:val="16"/>
                <w:szCs w:val="16"/>
                <w:lang w:val="en-US"/>
              </w:rPr>
              <w:t xml:space="preserve"> (Monastery church </w:t>
            </w:r>
            <w:proofErr w:type="spellStart"/>
            <w:r w:rsidRPr="00ED4D49">
              <w:rPr>
                <w:rFonts w:cs="Calibri"/>
                <w:sz w:val="16"/>
                <w:szCs w:val="16"/>
                <w:lang w:val="en-US"/>
              </w:rPr>
              <w:t>Tavna</w:t>
            </w:r>
            <w:proofErr w:type="spellEnd"/>
            <w:r w:rsidRPr="00ED4D49">
              <w:rPr>
                <w:rFonts w:cs="Calibri"/>
                <w:sz w:val="16"/>
                <w:szCs w:val="16"/>
                <w:lang w:val="en-US"/>
              </w:rPr>
              <w:t>), the historic monument</w:t>
            </w:r>
          </w:p>
        </w:tc>
      </w:tr>
      <w:tr w:rsidR="00284391" w:rsidRPr="00ED4D49" w14:paraId="72F617B1" w14:textId="77777777" w:rsidTr="00284391">
        <w:tc>
          <w:tcPr>
            <w:tcW w:w="1751" w:type="dxa"/>
            <w:vMerge/>
            <w:shd w:val="clear" w:color="auto" w:fill="auto"/>
            <w:vAlign w:val="center"/>
          </w:tcPr>
          <w:p w14:paraId="57611A55" w14:textId="77777777" w:rsidR="00284391" w:rsidRPr="00ED4D49" w:rsidRDefault="00284391" w:rsidP="00C27BB5">
            <w:pPr>
              <w:rPr>
                <w:rFonts w:cs="Calibri"/>
                <w:color w:val="000000"/>
                <w:sz w:val="16"/>
                <w:szCs w:val="16"/>
                <w:lang w:val="en-US" w:eastAsia="bs-Latn-BA"/>
              </w:rPr>
            </w:pPr>
          </w:p>
        </w:tc>
        <w:tc>
          <w:tcPr>
            <w:tcW w:w="7259" w:type="dxa"/>
            <w:shd w:val="clear" w:color="auto" w:fill="auto"/>
            <w:vAlign w:val="center"/>
          </w:tcPr>
          <w:p w14:paraId="433C14C8" w14:textId="77777777" w:rsidR="00284391" w:rsidRPr="00ED4D49" w:rsidRDefault="00284391" w:rsidP="00C27BB5">
            <w:pPr>
              <w:autoSpaceDE w:val="0"/>
              <w:autoSpaceDN w:val="0"/>
              <w:adjustRightInd w:val="0"/>
              <w:spacing w:before="0" w:after="0" w:line="240" w:lineRule="auto"/>
              <w:rPr>
                <w:rFonts w:cs="Calibri"/>
                <w:sz w:val="16"/>
                <w:szCs w:val="16"/>
                <w:lang w:val="en-US"/>
              </w:rPr>
            </w:pPr>
            <w:r w:rsidRPr="00ED4D49">
              <w:rPr>
                <w:rFonts w:cs="Calibri"/>
                <w:sz w:val="16"/>
                <w:szCs w:val="16"/>
                <w:lang w:val="en-US"/>
              </w:rPr>
              <w:t xml:space="preserve">Novo Selo (Franz </w:t>
            </w:r>
            <w:proofErr w:type="spellStart"/>
            <w:r w:rsidRPr="00ED4D49">
              <w:rPr>
                <w:rFonts w:cs="Calibri"/>
                <w:sz w:val="16"/>
                <w:szCs w:val="16"/>
                <w:lang w:val="en-US"/>
              </w:rPr>
              <w:t>Josefsfeld</w:t>
            </w:r>
            <w:proofErr w:type="spellEnd"/>
            <w:r w:rsidRPr="00ED4D49">
              <w:rPr>
                <w:rFonts w:cs="Calibri"/>
                <w:sz w:val="16"/>
                <w:szCs w:val="16"/>
                <w:lang w:val="en-US"/>
              </w:rPr>
              <w:t>), the architectural ensemble</w:t>
            </w:r>
          </w:p>
        </w:tc>
      </w:tr>
      <w:tr w:rsidR="00284391" w:rsidRPr="00ED4D49" w14:paraId="0A06A712" w14:textId="77777777" w:rsidTr="00284391">
        <w:tc>
          <w:tcPr>
            <w:tcW w:w="1751" w:type="dxa"/>
            <w:vMerge w:val="restart"/>
            <w:shd w:val="clear" w:color="auto" w:fill="auto"/>
            <w:vAlign w:val="center"/>
          </w:tcPr>
          <w:p w14:paraId="65F7D5BD" w14:textId="77777777" w:rsidR="00284391" w:rsidRPr="00ED4D49" w:rsidRDefault="00284391" w:rsidP="00C27BB5">
            <w:pPr>
              <w:rPr>
                <w:rFonts w:cs="Calibri"/>
                <w:color w:val="000000"/>
                <w:sz w:val="16"/>
                <w:szCs w:val="16"/>
                <w:lang w:val="en-US" w:eastAsia="bs-Latn-BA"/>
              </w:rPr>
            </w:pPr>
            <w:proofErr w:type="spellStart"/>
            <w:r w:rsidRPr="00ED4D49">
              <w:rPr>
                <w:rFonts w:cs="Calibri"/>
                <w:color w:val="000000"/>
                <w:sz w:val="16"/>
                <w:szCs w:val="16"/>
                <w:lang w:val="en-US" w:eastAsia="bs-Latn-BA"/>
              </w:rPr>
              <w:t>Čajniče</w:t>
            </w:r>
            <w:proofErr w:type="spellEnd"/>
          </w:p>
        </w:tc>
        <w:tc>
          <w:tcPr>
            <w:tcW w:w="7259" w:type="dxa"/>
            <w:shd w:val="clear" w:color="auto" w:fill="auto"/>
            <w:vAlign w:val="center"/>
          </w:tcPr>
          <w:p w14:paraId="6FCF97FD" w14:textId="77777777" w:rsidR="00284391" w:rsidRPr="00ED4D49" w:rsidRDefault="00284391" w:rsidP="00C27BB5">
            <w:pPr>
              <w:autoSpaceDE w:val="0"/>
              <w:autoSpaceDN w:val="0"/>
              <w:adjustRightInd w:val="0"/>
              <w:spacing w:before="0" w:after="0" w:line="240" w:lineRule="auto"/>
              <w:rPr>
                <w:rFonts w:cs="Calibri"/>
                <w:sz w:val="16"/>
                <w:szCs w:val="16"/>
                <w:lang w:val="en-US"/>
              </w:rPr>
            </w:pPr>
            <w:r w:rsidRPr="00ED4D49">
              <w:rPr>
                <w:rFonts w:cs="Calibri"/>
                <w:sz w:val="16"/>
                <w:szCs w:val="16"/>
                <w:lang w:val="en-US"/>
              </w:rPr>
              <w:t xml:space="preserve">Church of the Ascension of Christ and the Church of the Dormition of the </w:t>
            </w:r>
            <w:proofErr w:type="gramStart"/>
            <w:r w:rsidRPr="00ED4D49">
              <w:rPr>
                <w:rFonts w:cs="Calibri"/>
                <w:sz w:val="16"/>
                <w:szCs w:val="16"/>
                <w:lang w:val="en-US"/>
              </w:rPr>
              <w:t>Mother</w:t>
            </w:r>
            <w:proofErr w:type="gramEnd"/>
            <w:r w:rsidRPr="00ED4D49">
              <w:rPr>
                <w:rFonts w:cs="Calibri"/>
                <w:sz w:val="16"/>
                <w:szCs w:val="16"/>
                <w:lang w:val="en-US"/>
              </w:rPr>
              <w:t xml:space="preserve"> of God, the architectural ensemble</w:t>
            </w:r>
          </w:p>
        </w:tc>
      </w:tr>
      <w:tr w:rsidR="00284391" w:rsidRPr="00ED4D49" w14:paraId="5737EFA3" w14:textId="77777777" w:rsidTr="00284391">
        <w:tc>
          <w:tcPr>
            <w:tcW w:w="1751" w:type="dxa"/>
            <w:vMerge/>
            <w:shd w:val="clear" w:color="auto" w:fill="auto"/>
            <w:vAlign w:val="center"/>
          </w:tcPr>
          <w:p w14:paraId="3C440F38" w14:textId="77777777" w:rsidR="00284391" w:rsidRPr="00ED4D49" w:rsidRDefault="00284391" w:rsidP="00C27BB5">
            <w:pPr>
              <w:rPr>
                <w:rFonts w:cs="Calibri"/>
                <w:color w:val="000000"/>
                <w:sz w:val="16"/>
                <w:szCs w:val="16"/>
                <w:lang w:val="en-US" w:eastAsia="bs-Latn-BA"/>
              </w:rPr>
            </w:pPr>
          </w:p>
        </w:tc>
        <w:tc>
          <w:tcPr>
            <w:tcW w:w="7259" w:type="dxa"/>
            <w:shd w:val="clear" w:color="auto" w:fill="auto"/>
            <w:vAlign w:val="center"/>
          </w:tcPr>
          <w:p w14:paraId="1A089B3B" w14:textId="77777777" w:rsidR="00284391" w:rsidRPr="00ED4D49" w:rsidRDefault="00284391" w:rsidP="00C27BB5">
            <w:pPr>
              <w:autoSpaceDE w:val="0"/>
              <w:autoSpaceDN w:val="0"/>
              <w:adjustRightInd w:val="0"/>
              <w:spacing w:before="0" w:after="0" w:line="240" w:lineRule="auto"/>
              <w:rPr>
                <w:rFonts w:cs="Calibri"/>
                <w:sz w:val="16"/>
                <w:szCs w:val="16"/>
                <w:lang w:val="en-US"/>
              </w:rPr>
            </w:pPr>
            <w:r w:rsidRPr="00ED4D49">
              <w:rPr>
                <w:rFonts w:cs="Calibri"/>
                <w:sz w:val="16"/>
                <w:szCs w:val="16"/>
                <w:lang w:val="en-US"/>
              </w:rPr>
              <w:t xml:space="preserve">Mosque with harem in </w:t>
            </w:r>
            <w:proofErr w:type="spellStart"/>
            <w:r w:rsidRPr="00ED4D49">
              <w:rPr>
                <w:rFonts w:cs="Calibri"/>
                <w:sz w:val="16"/>
                <w:szCs w:val="16"/>
                <w:lang w:val="en-US"/>
              </w:rPr>
              <w:t>Djakovici</w:t>
            </w:r>
            <w:proofErr w:type="spellEnd"/>
            <w:r w:rsidRPr="00ED4D49">
              <w:rPr>
                <w:rFonts w:cs="Calibri"/>
                <w:sz w:val="16"/>
                <w:szCs w:val="16"/>
                <w:lang w:val="en-US"/>
              </w:rPr>
              <w:t>, the remains of the architectural ensemble</w:t>
            </w:r>
          </w:p>
        </w:tc>
      </w:tr>
      <w:tr w:rsidR="00284391" w:rsidRPr="00ED4D49" w14:paraId="70005FF3" w14:textId="77777777" w:rsidTr="00284391">
        <w:tc>
          <w:tcPr>
            <w:tcW w:w="1751" w:type="dxa"/>
            <w:vMerge/>
            <w:shd w:val="clear" w:color="auto" w:fill="auto"/>
            <w:vAlign w:val="center"/>
          </w:tcPr>
          <w:p w14:paraId="17F12BD1" w14:textId="77777777" w:rsidR="00284391" w:rsidRPr="00ED4D49" w:rsidRDefault="00284391" w:rsidP="00C27BB5">
            <w:pPr>
              <w:rPr>
                <w:rFonts w:cs="Calibri"/>
                <w:color w:val="000000"/>
                <w:sz w:val="16"/>
                <w:szCs w:val="16"/>
                <w:lang w:val="en-US" w:eastAsia="bs-Latn-BA"/>
              </w:rPr>
            </w:pPr>
          </w:p>
        </w:tc>
        <w:tc>
          <w:tcPr>
            <w:tcW w:w="7259" w:type="dxa"/>
            <w:shd w:val="clear" w:color="auto" w:fill="auto"/>
            <w:vAlign w:val="center"/>
          </w:tcPr>
          <w:p w14:paraId="1A2A9E1C" w14:textId="77777777" w:rsidR="00284391" w:rsidRPr="00ED4D49" w:rsidRDefault="00284391" w:rsidP="00C27BB5">
            <w:pPr>
              <w:autoSpaceDE w:val="0"/>
              <w:autoSpaceDN w:val="0"/>
              <w:adjustRightInd w:val="0"/>
              <w:spacing w:before="0" w:after="0" w:line="240" w:lineRule="auto"/>
              <w:rPr>
                <w:rFonts w:cs="Calibri"/>
                <w:sz w:val="16"/>
                <w:szCs w:val="16"/>
                <w:lang w:val="en-US"/>
              </w:rPr>
            </w:pPr>
            <w:r w:rsidRPr="00ED4D49">
              <w:rPr>
                <w:rFonts w:cs="Calibri"/>
                <w:sz w:val="16"/>
                <w:szCs w:val="16"/>
                <w:lang w:val="en-US"/>
              </w:rPr>
              <w:t xml:space="preserve">Mosque with harem in </w:t>
            </w:r>
            <w:proofErr w:type="spellStart"/>
            <w:r w:rsidRPr="00ED4D49">
              <w:rPr>
                <w:rFonts w:cs="Calibri"/>
                <w:sz w:val="16"/>
                <w:szCs w:val="16"/>
                <w:lang w:val="en-US"/>
              </w:rPr>
              <w:t>Medjurjecje</w:t>
            </w:r>
            <w:proofErr w:type="spellEnd"/>
            <w:r w:rsidRPr="00ED4D49">
              <w:rPr>
                <w:rFonts w:cs="Calibri"/>
                <w:sz w:val="16"/>
                <w:szCs w:val="16"/>
                <w:lang w:val="en-US"/>
              </w:rPr>
              <w:t xml:space="preserve"> (</w:t>
            </w:r>
            <w:proofErr w:type="spellStart"/>
            <w:r w:rsidRPr="00ED4D49">
              <w:rPr>
                <w:rFonts w:cs="Calibri"/>
                <w:sz w:val="16"/>
                <w:szCs w:val="16"/>
                <w:lang w:val="en-US"/>
              </w:rPr>
              <w:t>Maldovan</w:t>
            </w:r>
            <w:proofErr w:type="spellEnd"/>
            <w:r w:rsidRPr="00ED4D49">
              <w:rPr>
                <w:rFonts w:cs="Calibri"/>
                <w:sz w:val="16"/>
                <w:szCs w:val="16"/>
                <w:lang w:val="en-US"/>
              </w:rPr>
              <w:t xml:space="preserve"> pasha mosque), the site and remains of the architectural ensemble</w:t>
            </w:r>
          </w:p>
        </w:tc>
      </w:tr>
      <w:tr w:rsidR="00284391" w:rsidRPr="00ED4D49" w14:paraId="60E62CA9" w14:textId="77777777" w:rsidTr="00284391">
        <w:tc>
          <w:tcPr>
            <w:tcW w:w="1751" w:type="dxa"/>
            <w:vMerge/>
            <w:shd w:val="clear" w:color="auto" w:fill="auto"/>
            <w:vAlign w:val="center"/>
          </w:tcPr>
          <w:p w14:paraId="596DEDEE" w14:textId="77777777" w:rsidR="00284391" w:rsidRPr="00ED4D49" w:rsidRDefault="00284391" w:rsidP="00C27BB5">
            <w:pPr>
              <w:rPr>
                <w:rFonts w:cs="Calibri"/>
                <w:color w:val="000000"/>
                <w:sz w:val="16"/>
                <w:szCs w:val="16"/>
                <w:lang w:val="en-US" w:eastAsia="bs-Latn-BA"/>
              </w:rPr>
            </w:pPr>
          </w:p>
        </w:tc>
        <w:tc>
          <w:tcPr>
            <w:tcW w:w="7259" w:type="dxa"/>
            <w:shd w:val="clear" w:color="auto" w:fill="auto"/>
            <w:vAlign w:val="center"/>
          </w:tcPr>
          <w:p w14:paraId="694D98A7" w14:textId="77777777" w:rsidR="00284391" w:rsidRPr="00ED4D49" w:rsidRDefault="00284391" w:rsidP="00C27BB5">
            <w:pPr>
              <w:autoSpaceDE w:val="0"/>
              <w:autoSpaceDN w:val="0"/>
              <w:adjustRightInd w:val="0"/>
              <w:spacing w:before="0" w:after="0" w:line="240" w:lineRule="auto"/>
              <w:rPr>
                <w:rFonts w:cs="Calibri"/>
                <w:sz w:val="16"/>
                <w:szCs w:val="16"/>
                <w:lang w:val="en-US"/>
              </w:rPr>
            </w:pPr>
            <w:proofErr w:type="spellStart"/>
            <w:r w:rsidRPr="00ED4D49">
              <w:rPr>
                <w:rFonts w:cs="Calibri"/>
                <w:sz w:val="16"/>
                <w:szCs w:val="16"/>
                <w:lang w:val="en-US"/>
              </w:rPr>
              <w:t>Cajnice</w:t>
            </w:r>
            <w:proofErr w:type="spellEnd"/>
            <w:r w:rsidRPr="00ED4D49">
              <w:rPr>
                <w:rFonts w:cs="Calibri"/>
                <w:sz w:val="16"/>
                <w:szCs w:val="16"/>
                <w:lang w:val="en-US"/>
              </w:rPr>
              <w:t xml:space="preserve"> Gospel kept in the Museum of the Church of the Dormition of the </w:t>
            </w:r>
            <w:proofErr w:type="gramStart"/>
            <w:r w:rsidRPr="00ED4D49">
              <w:rPr>
                <w:rFonts w:cs="Calibri"/>
                <w:sz w:val="16"/>
                <w:szCs w:val="16"/>
                <w:lang w:val="en-US"/>
              </w:rPr>
              <w:t>Mother</w:t>
            </w:r>
            <w:proofErr w:type="gramEnd"/>
            <w:r w:rsidRPr="00ED4D49">
              <w:rPr>
                <w:rFonts w:cs="Calibri"/>
                <w:sz w:val="16"/>
                <w:szCs w:val="16"/>
                <w:lang w:val="en-US"/>
              </w:rPr>
              <w:t xml:space="preserve"> of God and the Church of the Ascension of Christ in </w:t>
            </w:r>
            <w:proofErr w:type="spellStart"/>
            <w:r w:rsidRPr="00ED4D49">
              <w:rPr>
                <w:rFonts w:cs="Calibri"/>
                <w:sz w:val="16"/>
                <w:szCs w:val="16"/>
                <w:lang w:val="en-US"/>
              </w:rPr>
              <w:t>Cajnice</w:t>
            </w:r>
            <w:proofErr w:type="spellEnd"/>
            <w:r w:rsidRPr="00ED4D49">
              <w:rPr>
                <w:rFonts w:cs="Calibri"/>
                <w:sz w:val="16"/>
                <w:szCs w:val="16"/>
                <w:lang w:val="en-US"/>
              </w:rPr>
              <w:t>, the movable asset</w:t>
            </w:r>
          </w:p>
        </w:tc>
      </w:tr>
      <w:tr w:rsidR="00284391" w:rsidRPr="00ED4D49" w14:paraId="40278CD5" w14:textId="77777777" w:rsidTr="00284391">
        <w:tc>
          <w:tcPr>
            <w:tcW w:w="1751" w:type="dxa"/>
            <w:vMerge/>
            <w:shd w:val="clear" w:color="auto" w:fill="auto"/>
            <w:vAlign w:val="center"/>
          </w:tcPr>
          <w:p w14:paraId="794C421B" w14:textId="77777777" w:rsidR="00284391" w:rsidRPr="00ED4D49" w:rsidRDefault="00284391" w:rsidP="00C27BB5">
            <w:pPr>
              <w:rPr>
                <w:rFonts w:cs="Calibri"/>
                <w:color w:val="000000"/>
                <w:sz w:val="16"/>
                <w:szCs w:val="16"/>
                <w:lang w:val="en-US" w:eastAsia="bs-Latn-BA"/>
              </w:rPr>
            </w:pPr>
          </w:p>
        </w:tc>
        <w:tc>
          <w:tcPr>
            <w:tcW w:w="7259" w:type="dxa"/>
            <w:shd w:val="clear" w:color="auto" w:fill="auto"/>
            <w:vAlign w:val="center"/>
          </w:tcPr>
          <w:p w14:paraId="7D910987" w14:textId="77777777" w:rsidR="00284391" w:rsidRPr="00ED4D49" w:rsidRDefault="00284391" w:rsidP="00C27BB5">
            <w:pPr>
              <w:autoSpaceDE w:val="0"/>
              <w:autoSpaceDN w:val="0"/>
              <w:adjustRightInd w:val="0"/>
              <w:spacing w:before="0" w:after="0" w:line="240" w:lineRule="auto"/>
              <w:rPr>
                <w:rFonts w:cs="Calibri"/>
                <w:sz w:val="16"/>
                <w:szCs w:val="16"/>
                <w:lang w:val="en-US"/>
              </w:rPr>
            </w:pPr>
            <w:r w:rsidRPr="00ED4D49">
              <w:rPr>
                <w:rFonts w:cs="Calibri"/>
                <w:sz w:val="16"/>
                <w:szCs w:val="16"/>
                <w:lang w:val="en-US"/>
              </w:rPr>
              <w:t xml:space="preserve">Mir‐Muhammad (Mehmed and </w:t>
            </w:r>
            <w:proofErr w:type="spellStart"/>
            <w:r w:rsidRPr="00ED4D49">
              <w:rPr>
                <w:rFonts w:cs="Calibri"/>
                <w:sz w:val="16"/>
                <w:szCs w:val="16"/>
                <w:lang w:val="en-US"/>
              </w:rPr>
              <w:t>Mustaj</w:t>
            </w:r>
            <w:proofErr w:type="spellEnd"/>
            <w:r w:rsidRPr="00ED4D49">
              <w:rPr>
                <w:rFonts w:cs="Calibri"/>
                <w:sz w:val="16"/>
                <w:szCs w:val="16"/>
                <w:lang w:val="en-US"/>
              </w:rPr>
              <w:t>‐bey) mosque, the site and remains of the architectural ensemble</w:t>
            </w:r>
          </w:p>
        </w:tc>
      </w:tr>
      <w:tr w:rsidR="00284391" w:rsidRPr="00ED4D49" w14:paraId="336C00CA" w14:textId="77777777" w:rsidTr="00284391">
        <w:tc>
          <w:tcPr>
            <w:tcW w:w="1751" w:type="dxa"/>
            <w:vMerge/>
            <w:shd w:val="clear" w:color="auto" w:fill="auto"/>
            <w:vAlign w:val="center"/>
          </w:tcPr>
          <w:p w14:paraId="4852ACE8" w14:textId="77777777" w:rsidR="00284391" w:rsidRPr="00ED4D49" w:rsidRDefault="00284391" w:rsidP="00C27BB5">
            <w:pPr>
              <w:rPr>
                <w:rFonts w:cs="Calibri"/>
                <w:color w:val="000000"/>
                <w:sz w:val="16"/>
                <w:szCs w:val="16"/>
                <w:lang w:val="en-US" w:eastAsia="bs-Latn-BA"/>
              </w:rPr>
            </w:pPr>
          </w:p>
        </w:tc>
        <w:tc>
          <w:tcPr>
            <w:tcW w:w="7259" w:type="dxa"/>
            <w:shd w:val="clear" w:color="auto" w:fill="auto"/>
            <w:vAlign w:val="center"/>
          </w:tcPr>
          <w:p w14:paraId="26C01ED8" w14:textId="77777777" w:rsidR="00284391" w:rsidRPr="00ED4D49" w:rsidRDefault="00284391" w:rsidP="00C27BB5">
            <w:pPr>
              <w:autoSpaceDE w:val="0"/>
              <w:autoSpaceDN w:val="0"/>
              <w:adjustRightInd w:val="0"/>
              <w:spacing w:before="0" w:after="0" w:line="240" w:lineRule="auto"/>
              <w:rPr>
                <w:rFonts w:cs="Calibri"/>
                <w:sz w:val="16"/>
                <w:szCs w:val="16"/>
                <w:lang w:val="en-US"/>
              </w:rPr>
            </w:pPr>
            <w:r w:rsidRPr="00ED4D49">
              <w:rPr>
                <w:rFonts w:cs="Calibri"/>
                <w:sz w:val="16"/>
                <w:szCs w:val="16"/>
                <w:lang w:val="en-US"/>
              </w:rPr>
              <w:t xml:space="preserve">The Necropolis with </w:t>
            </w:r>
            <w:proofErr w:type="spellStart"/>
            <w:r w:rsidRPr="00ED4D49">
              <w:rPr>
                <w:rFonts w:cs="Calibri"/>
                <w:sz w:val="16"/>
                <w:szCs w:val="16"/>
                <w:lang w:val="en-US"/>
              </w:rPr>
              <w:t>stecak</w:t>
            </w:r>
            <w:proofErr w:type="spellEnd"/>
            <w:r w:rsidRPr="00ED4D49">
              <w:rPr>
                <w:rFonts w:cs="Calibri"/>
                <w:sz w:val="16"/>
                <w:szCs w:val="16"/>
                <w:lang w:val="en-US"/>
              </w:rPr>
              <w:t xml:space="preserve"> tombstones at the locality </w:t>
            </w:r>
            <w:proofErr w:type="spellStart"/>
            <w:r w:rsidRPr="00ED4D49">
              <w:rPr>
                <w:rFonts w:cs="Calibri"/>
                <w:sz w:val="16"/>
                <w:szCs w:val="16"/>
                <w:lang w:val="en-US"/>
              </w:rPr>
              <w:t>Mramorje</w:t>
            </w:r>
            <w:proofErr w:type="spellEnd"/>
            <w:r w:rsidRPr="00ED4D49">
              <w:rPr>
                <w:rFonts w:cs="Calibri"/>
                <w:sz w:val="16"/>
                <w:szCs w:val="16"/>
                <w:lang w:val="en-US"/>
              </w:rPr>
              <w:t xml:space="preserve">, in the </w:t>
            </w:r>
            <w:proofErr w:type="spellStart"/>
            <w:r w:rsidRPr="00ED4D49">
              <w:rPr>
                <w:rFonts w:cs="Calibri"/>
                <w:sz w:val="16"/>
                <w:szCs w:val="16"/>
                <w:lang w:val="en-US"/>
              </w:rPr>
              <w:t>Hrid</w:t>
            </w:r>
            <w:proofErr w:type="spellEnd"/>
            <w:r w:rsidRPr="00ED4D49">
              <w:rPr>
                <w:rFonts w:cs="Calibri"/>
                <w:sz w:val="16"/>
                <w:szCs w:val="16"/>
                <w:lang w:val="en-US"/>
              </w:rPr>
              <w:t xml:space="preserve"> village in </w:t>
            </w:r>
            <w:proofErr w:type="spellStart"/>
            <w:r w:rsidRPr="00ED4D49">
              <w:rPr>
                <w:rFonts w:cs="Calibri"/>
                <w:sz w:val="16"/>
                <w:szCs w:val="16"/>
                <w:lang w:val="en-US"/>
              </w:rPr>
              <w:t>Medjurjecje</w:t>
            </w:r>
            <w:proofErr w:type="spellEnd"/>
            <w:r w:rsidRPr="00ED4D49">
              <w:rPr>
                <w:rFonts w:cs="Calibri"/>
                <w:sz w:val="16"/>
                <w:szCs w:val="16"/>
                <w:lang w:val="en-US"/>
              </w:rPr>
              <w:t>, the historic site</w:t>
            </w:r>
          </w:p>
        </w:tc>
      </w:tr>
      <w:tr w:rsidR="00284391" w:rsidRPr="00ED4D49" w14:paraId="6AA11B40" w14:textId="77777777" w:rsidTr="00284391">
        <w:tc>
          <w:tcPr>
            <w:tcW w:w="1751" w:type="dxa"/>
            <w:vMerge/>
            <w:shd w:val="clear" w:color="auto" w:fill="auto"/>
            <w:vAlign w:val="center"/>
          </w:tcPr>
          <w:p w14:paraId="51670153" w14:textId="77777777" w:rsidR="00284391" w:rsidRPr="00ED4D49" w:rsidRDefault="00284391" w:rsidP="00C27BB5">
            <w:pPr>
              <w:rPr>
                <w:rFonts w:cs="Calibri"/>
                <w:color w:val="000000"/>
                <w:sz w:val="16"/>
                <w:szCs w:val="16"/>
                <w:lang w:val="en-US" w:eastAsia="bs-Latn-BA"/>
              </w:rPr>
            </w:pPr>
          </w:p>
        </w:tc>
        <w:tc>
          <w:tcPr>
            <w:tcW w:w="7259" w:type="dxa"/>
            <w:shd w:val="clear" w:color="auto" w:fill="auto"/>
            <w:vAlign w:val="center"/>
          </w:tcPr>
          <w:p w14:paraId="77AAB2FA" w14:textId="77777777" w:rsidR="00284391" w:rsidRPr="00ED4D49" w:rsidRDefault="00284391" w:rsidP="00C27BB5">
            <w:pPr>
              <w:autoSpaceDE w:val="0"/>
              <w:autoSpaceDN w:val="0"/>
              <w:adjustRightInd w:val="0"/>
              <w:spacing w:before="0" w:after="0" w:line="240" w:lineRule="auto"/>
              <w:rPr>
                <w:rFonts w:cs="Calibri"/>
                <w:sz w:val="16"/>
                <w:szCs w:val="16"/>
                <w:lang w:val="en-US"/>
              </w:rPr>
            </w:pPr>
            <w:r w:rsidRPr="00ED4D49">
              <w:rPr>
                <w:rFonts w:cs="Calibri"/>
                <w:sz w:val="16"/>
                <w:szCs w:val="16"/>
                <w:lang w:val="en-US"/>
              </w:rPr>
              <w:t xml:space="preserve">The Necropolis with </w:t>
            </w:r>
            <w:proofErr w:type="spellStart"/>
            <w:r w:rsidRPr="00ED4D49">
              <w:rPr>
                <w:rFonts w:cs="Calibri"/>
                <w:sz w:val="16"/>
                <w:szCs w:val="16"/>
                <w:lang w:val="en-US"/>
              </w:rPr>
              <w:t>stecak</w:t>
            </w:r>
            <w:proofErr w:type="spellEnd"/>
            <w:r w:rsidRPr="00ED4D49">
              <w:rPr>
                <w:rFonts w:cs="Calibri"/>
                <w:sz w:val="16"/>
                <w:szCs w:val="16"/>
                <w:lang w:val="en-US"/>
              </w:rPr>
              <w:t xml:space="preserve"> tombstones at the locality Omedjak, in the </w:t>
            </w:r>
            <w:proofErr w:type="spellStart"/>
            <w:r w:rsidRPr="00ED4D49">
              <w:rPr>
                <w:rFonts w:cs="Calibri"/>
                <w:sz w:val="16"/>
                <w:szCs w:val="16"/>
                <w:lang w:val="en-US"/>
              </w:rPr>
              <w:t>Sudici</w:t>
            </w:r>
            <w:proofErr w:type="spellEnd"/>
            <w:r w:rsidRPr="00ED4D49">
              <w:rPr>
                <w:rFonts w:cs="Calibri"/>
                <w:sz w:val="16"/>
                <w:szCs w:val="16"/>
                <w:lang w:val="en-US"/>
              </w:rPr>
              <w:t xml:space="preserve"> village, the historic site</w:t>
            </w:r>
          </w:p>
        </w:tc>
      </w:tr>
      <w:tr w:rsidR="00284391" w:rsidRPr="00ED4D49" w14:paraId="2BAA44E3" w14:textId="77777777" w:rsidTr="00284391">
        <w:tc>
          <w:tcPr>
            <w:tcW w:w="1751" w:type="dxa"/>
            <w:vMerge/>
            <w:shd w:val="clear" w:color="auto" w:fill="auto"/>
            <w:vAlign w:val="center"/>
          </w:tcPr>
          <w:p w14:paraId="419F5EF6" w14:textId="77777777" w:rsidR="00284391" w:rsidRPr="00ED4D49" w:rsidRDefault="00284391" w:rsidP="00C27BB5">
            <w:pPr>
              <w:rPr>
                <w:rFonts w:cs="Calibri"/>
                <w:color w:val="000000"/>
                <w:sz w:val="16"/>
                <w:szCs w:val="16"/>
                <w:lang w:val="en-US" w:eastAsia="bs-Latn-BA"/>
              </w:rPr>
            </w:pPr>
          </w:p>
        </w:tc>
        <w:tc>
          <w:tcPr>
            <w:tcW w:w="7259" w:type="dxa"/>
            <w:shd w:val="clear" w:color="auto" w:fill="auto"/>
            <w:vAlign w:val="center"/>
          </w:tcPr>
          <w:p w14:paraId="1A0ACEBF" w14:textId="77777777" w:rsidR="00284391" w:rsidRPr="00ED4D49" w:rsidRDefault="00284391" w:rsidP="00C27BB5">
            <w:pPr>
              <w:autoSpaceDE w:val="0"/>
              <w:autoSpaceDN w:val="0"/>
              <w:adjustRightInd w:val="0"/>
              <w:spacing w:before="0" w:after="0" w:line="240" w:lineRule="auto"/>
              <w:rPr>
                <w:rFonts w:cs="Calibri"/>
                <w:sz w:val="16"/>
                <w:szCs w:val="16"/>
                <w:lang w:val="en-US"/>
              </w:rPr>
            </w:pPr>
            <w:r w:rsidRPr="00ED4D49">
              <w:rPr>
                <w:rFonts w:cs="Calibri"/>
                <w:sz w:val="16"/>
                <w:szCs w:val="16"/>
                <w:lang w:val="en-US"/>
              </w:rPr>
              <w:t xml:space="preserve">The Necropolis with </w:t>
            </w:r>
            <w:proofErr w:type="spellStart"/>
            <w:r w:rsidRPr="00ED4D49">
              <w:rPr>
                <w:rFonts w:cs="Calibri"/>
                <w:sz w:val="16"/>
                <w:szCs w:val="16"/>
                <w:lang w:val="en-US"/>
              </w:rPr>
              <w:t>stecak</w:t>
            </w:r>
            <w:proofErr w:type="spellEnd"/>
            <w:r w:rsidRPr="00ED4D49">
              <w:rPr>
                <w:rFonts w:cs="Calibri"/>
                <w:sz w:val="16"/>
                <w:szCs w:val="16"/>
                <w:lang w:val="en-US"/>
              </w:rPr>
              <w:t xml:space="preserve"> tombstones at the locality </w:t>
            </w:r>
            <w:proofErr w:type="spellStart"/>
            <w:r w:rsidRPr="00ED4D49">
              <w:rPr>
                <w:rFonts w:cs="Calibri"/>
                <w:sz w:val="16"/>
                <w:szCs w:val="16"/>
                <w:lang w:val="en-US"/>
              </w:rPr>
              <w:t>Stijene</w:t>
            </w:r>
            <w:proofErr w:type="spellEnd"/>
            <w:r w:rsidRPr="00ED4D49">
              <w:rPr>
                <w:rFonts w:cs="Calibri"/>
                <w:sz w:val="16"/>
                <w:szCs w:val="16"/>
                <w:lang w:val="en-US"/>
              </w:rPr>
              <w:t xml:space="preserve"> (Rocks), in the </w:t>
            </w:r>
            <w:proofErr w:type="spellStart"/>
            <w:r w:rsidRPr="00ED4D49">
              <w:rPr>
                <w:rFonts w:cs="Calibri"/>
                <w:sz w:val="16"/>
                <w:szCs w:val="16"/>
                <w:lang w:val="en-US"/>
              </w:rPr>
              <w:t>Vihnici</w:t>
            </w:r>
            <w:proofErr w:type="spellEnd"/>
            <w:r w:rsidRPr="00ED4D49">
              <w:rPr>
                <w:rFonts w:cs="Calibri"/>
                <w:sz w:val="16"/>
                <w:szCs w:val="16"/>
                <w:lang w:val="en-US"/>
              </w:rPr>
              <w:t xml:space="preserve"> village, the historic site</w:t>
            </w:r>
          </w:p>
        </w:tc>
      </w:tr>
      <w:tr w:rsidR="00284391" w:rsidRPr="00ED4D49" w14:paraId="7C10DBBF" w14:textId="77777777" w:rsidTr="00284391">
        <w:tc>
          <w:tcPr>
            <w:tcW w:w="1751" w:type="dxa"/>
            <w:vMerge/>
            <w:shd w:val="clear" w:color="auto" w:fill="auto"/>
            <w:vAlign w:val="center"/>
          </w:tcPr>
          <w:p w14:paraId="3E218797" w14:textId="77777777" w:rsidR="00284391" w:rsidRPr="00ED4D49" w:rsidRDefault="00284391" w:rsidP="00C27BB5">
            <w:pPr>
              <w:rPr>
                <w:rFonts w:cs="Calibri"/>
                <w:color w:val="000000"/>
                <w:sz w:val="16"/>
                <w:szCs w:val="16"/>
                <w:lang w:val="en-US" w:eastAsia="bs-Latn-BA"/>
              </w:rPr>
            </w:pPr>
          </w:p>
        </w:tc>
        <w:tc>
          <w:tcPr>
            <w:tcW w:w="7259" w:type="dxa"/>
            <w:shd w:val="clear" w:color="auto" w:fill="auto"/>
            <w:vAlign w:val="center"/>
          </w:tcPr>
          <w:p w14:paraId="275B7E81" w14:textId="77777777" w:rsidR="00284391" w:rsidRPr="00ED4D49" w:rsidRDefault="00284391" w:rsidP="00C27BB5">
            <w:pPr>
              <w:autoSpaceDE w:val="0"/>
              <w:autoSpaceDN w:val="0"/>
              <w:adjustRightInd w:val="0"/>
              <w:spacing w:before="0" w:after="0" w:line="240" w:lineRule="auto"/>
              <w:rPr>
                <w:rFonts w:cs="Calibri"/>
                <w:sz w:val="16"/>
                <w:szCs w:val="16"/>
                <w:lang w:val="en-US"/>
              </w:rPr>
            </w:pPr>
            <w:r w:rsidRPr="00ED4D49">
              <w:rPr>
                <w:rFonts w:cs="Calibri"/>
                <w:sz w:val="16"/>
                <w:szCs w:val="16"/>
                <w:lang w:val="en-US"/>
              </w:rPr>
              <w:t xml:space="preserve">The Necropolis with </w:t>
            </w:r>
            <w:proofErr w:type="spellStart"/>
            <w:r w:rsidRPr="00ED4D49">
              <w:rPr>
                <w:rFonts w:cs="Calibri"/>
                <w:sz w:val="16"/>
                <w:szCs w:val="16"/>
                <w:lang w:val="en-US"/>
              </w:rPr>
              <w:t>stecak</w:t>
            </w:r>
            <w:proofErr w:type="spellEnd"/>
            <w:r w:rsidRPr="00ED4D49">
              <w:rPr>
                <w:rFonts w:cs="Calibri"/>
                <w:sz w:val="16"/>
                <w:szCs w:val="16"/>
                <w:lang w:val="en-US"/>
              </w:rPr>
              <w:t xml:space="preserve"> tombstones at the locality </w:t>
            </w:r>
            <w:proofErr w:type="spellStart"/>
            <w:r w:rsidRPr="00ED4D49">
              <w:rPr>
                <w:rFonts w:cs="Calibri"/>
                <w:sz w:val="16"/>
                <w:szCs w:val="16"/>
                <w:lang w:val="en-US"/>
              </w:rPr>
              <w:t>Suhodanj</w:t>
            </w:r>
            <w:proofErr w:type="spellEnd"/>
            <w:r w:rsidRPr="00ED4D49">
              <w:rPr>
                <w:rFonts w:cs="Calibri"/>
                <w:sz w:val="16"/>
                <w:szCs w:val="16"/>
                <w:lang w:val="en-US"/>
              </w:rPr>
              <w:t xml:space="preserve">, in the </w:t>
            </w:r>
            <w:proofErr w:type="spellStart"/>
            <w:r w:rsidRPr="00ED4D49">
              <w:rPr>
                <w:rFonts w:cs="Calibri"/>
                <w:sz w:val="16"/>
                <w:szCs w:val="16"/>
                <w:lang w:val="en-US"/>
              </w:rPr>
              <w:t>Milatkovici</w:t>
            </w:r>
            <w:proofErr w:type="spellEnd"/>
            <w:r w:rsidRPr="00ED4D49">
              <w:rPr>
                <w:rFonts w:cs="Calibri"/>
                <w:sz w:val="16"/>
                <w:szCs w:val="16"/>
                <w:lang w:val="en-US"/>
              </w:rPr>
              <w:t xml:space="preserve"> village, the historic site</w:t>
            </w:r>
          </w:p>
        </w:tc>
      </w:tr>
      <w:tr w:rsidR="00284391" w:rsidRPr="00ED4D49" w14:paraId="57C92F77" w14:textId="77777777" w:rsidTr="00284391">
        <w:tc>
          <w:tcPr>
            <w:tcW w:w="1751" w:type="dxa"/>
            <w:vMerge/>
            <w:shd w:val="clear" w:color="auto" w:fill="auto"/>
            <w:vAlign w:val="center"/>
          </w:tcPr>
          <w:p w14:paraId="2DCB3A21" w14:textId="77777777" w:rsidR="00284391" w:rsidRPr="00ED4D49" w:rsidRDefault="00284391" w:rsidP="00C27BB5">
            <w:pPr>
              <w:rPr>
                <w:rFonts w:cs="Calibri"/>
                <w:color w:val="000000"/>
                <w:sz w:val="16"/>
                <w:szCs w:val="16"/>
                <w:lang w:val="en-US" w:eastAsia="bs-Latn-BA"/>
              </w:rPr>
            </w:pPr>
          </w:p>
        </w:tc>
        <w:tc>
          <w:tcPr>
            <w:tcW w:w="7259" w:type="dxa"/>
            <w:shd w:val="clear" w:color="auto" w:fill="auto"/>
            <w:vAlign w:val="center"/>
          </w:tcPr>
          <w:p w14:paraId="6881D4AF" w14:textId="77777777" w:rsidR="00284391" w:rsidRPr="00ED4D49" w:rsidRDefault="00284391" w:rsidP="00C27BB5">
            <w:pPr>
              <w:autoSpaceDE w:val="0"/>
              <w:autoSpaceDN w:val="0"/>
              <w:adjustRightInd w:val="0"/>
              <w:spacing w:before="0" w:after="0" w:line="240" w:lineRule="auto"/>
              <w:rPr>
                <w:rFonts w:cs="Calibri"/>
                <w:sz w:val="16"/>
                <w:szCs w:val="16"/>
                <w:lang w:val="en-US"/>
              </w:rPr>
            </w:pPr>
            <w:r w:rsidRPr="00ED4D49">
              <w:rPr>
                <w:rFonts w:cs="Calibri"/>
                <w:sz w:val="16"/>
                <w:szCs w:val="16"/>
                <w:lang w:val="en-US"/>
              </w:rPr>
              <w:t xml:space="preserve">Seven tombs and old </w:t>
            </w:r>
            <w:proofErr w:type="spellStart"/>
            <w:r w:rsidRPr="00ED4D49">
              <w:rPr>
                <w:rFonts w:cs="Calibri"/>
                <w:sz w:val="16"/>
                <w:szCs w:val="16"/>
                <w:lang w:val="en-US"/>
              </w:rPr>
              <w:t>nisan</w:t>
            </w:r>
            <w:proofErr w:type="spellEnd"/>
            <w:r w:rsidRPr="00ED4D49">
              <w:rPr>
                <w:rFonts w:cs="Calibri"/>
                <w:sz w:val="16"/>
                <w:szCs w:val="16"/>
                <w:lang w:val="en-US"/>
              </w:rPr>
              <w:t xml:space="preserve"> headstones at the site of Dobro </w:t>
            </w:r>
            <w:proofErr w:type="spellStart"/>
            <w:r w:rsidRPr="00ED4D49">
              <w:rPr>
                <w:rFonts w:cs="Calibri"/>
                <w:sz w:val="16"/>
                <w:szCs w:val="16"/>
                <w:lang w:val="en-US"/>
              </w:rPr>
              <w:t>selo</w:t>
            </w:r>
            <w:proofErr w:type="spellEnd"/>
            <w:r w:rsidRPr="00ED4D49">
              <w:rPr>
                <w:rFonts w:cs="Calibri"/>
                <w:sz w:val="16"/>
                <w:szCs w:val="16"/>
                <w:lang w:val="en-US"/>
              </w:rPr>
              <w:t xml:space="preserve">, in the </w:t>
            </w:r>
            <w:proofErr w:type="spellStart"/>
            <w:r w:rsidRPr="00ED4D49">
              <w:rPr>
                <w:rFonts w:cs="Calibri"/>
                <w:sz w:val="16"/>
                <w:szCs w:val="16"/>
                <w:lang w:val="en-US"/>
              </w:rPr>
              <w:t>Sudici</w:t>
            </w:r>
            <w:proofErr w:type="spellEnd"/>
            <w:r w:rsidRPr="00ED4D49">
              <w:rPr>
                <w:rFonts w:cs="Calibri"/>
                <w:sz w:val="16"/>
                <w:szCs w:val="16"/>
                <w:lang w:val="en-US"/>
              </w:rPr>
              <w:t xml:space="preserve"> village, the historic site</w:t>
            </w:r>
          </w:p>
        </w:tc>
      </w:tr>
      <w:tr w:rsidR="00284391" w:rsidRPr="00ED4D49" w14:paraId="0E7411C3" w14:textId="77777777" w:rsidTr="00284391">
        <w:tc>
          <w:tcPr>
            <w:tcW w:w="1751" w:type="dxa"/>
            <w:vMerge/>
            <w:shd w:val="clear" w:color="auto" w:fill="auto"/>
            <w:vAlign w:val="center"/>
          </w:tcPr>
          <w:p w14:paraId="5C2EC5AA" w14:textId="77777777" w:rsidR="00284391" w:rsidRPr="00ED4D49" w:rsidRDefault="00284391" w:rsidP="00C27BB5">
            <w:pPr>
              <w:rPr>
                <w:rFonts w:cs="Calibri"/>
                <w:color w:val="000000"/>
                <w:sz w:val="16"/>
                <w:szCs w:val="16"/>
                <w:lang w:val="en-US" w:eastAsia="bs-Latn-BA"/>
              </w:rPr>
            </w:pPr>
          </w:p>
        </w:tc>
        <w:tc>
          <w:tcPr>
            <w:tcW w:w="7259" w:type="dxa"/>
            <w:shd w:val="clear" w:color="auto" w:fill="auto"/>
            <w:vAlign w:val="center"/>
          </w:tcPr>
          <w:p w14:paraId="0961F802" w14:textId="77777777" w:rsidR="00284391" w:rsidRPr="00ED4D49" w:rsidRDefault="00284391" w:rsidP="00C27BB5">
            <w:pPr>
              <w:autoSpaceDE w:val="0"/>
              <w:autoSpaceDN w:val="0"/>
              <w:adjustRightInd w:val="0"/>
              <w:spacing w:before="0" w:after="0" w:line="240" w:lineRule="auto"/>
              <w:rPr>
                <w:rFonts w:cs="Calibri"/>
                <w:sz w:val="16"/>
                <w:szCs w:val="16"/>
                <w:lang w:val="en-US"/>
              </w:rPr>
            </w:pPr>
            <w:proofErr w:type="gramStart"/>
            <w:r w:rsidRPr="00ED4D49">
              <w:rPr>
                <w:rFonts w:cs="Calibri"/>
                <w:sz w:val="16"/>
                <w:szCs w:val="16"/>
                <w:lang w:val="en-US"/>
              </w:rPr>
              <w:t>Sinan‐bey mosque</w:t>
            </w:r>
            <w:proofErr w:type="gramEnd"/>
            <w:r w:rsidRPr="00ED4D49">
              <w:rPr>
                <w:rFonts w:cs="Calibri"/>
                <w:sz w:val="16"/>
                <w:szCs w:val="16"/>
                <w:lang w:val="en-US"/>
              </w:rPr>
              <w:t xml:space="preserve"> (Mosque of Sinan‐bey </w:t>
            </w:r>
            <w:proofErr w:type="spellStart"/>
            <w:r w:rsidRPr="00ED4D49">
              <w:rPr>
                <w:rFonts w:cs="Calibri"/>
                <w:sz w:val="16"/>
                <w:szCs w:val="16"/>
                <w:lang w:val="en-US"/>
              </w:rPr>
              <w:t>Boljanic</w:t>
            </w:r>
            <w:proofErr w:type="spellEnd"/>
            <w:r w:rsidRPr="00ED4D49">
              <w:rPr>
                <w:rFonts w:cs="Calibri"/>
                <w:sz w:val="16"/>
                <w:szCs w:val="16"/>
                <w:lang w:val="en-US"/>
              </w:rPr>
              <w:t>), the site and remains of the architectural ensemble</w:t>
            </w:r>
          </w:p>
        </w:tc>
      </w:tr>
      <w:tr w:rsidR="00284391" w:rsidRPr="00ED4D49" w14:paraId="1893632E" w14:textId="77777777" w:rsidTr="00284391">
        <w:tc>
          <w:tcPr>
            <w:tcW w:w="1751" w:type="dxa"/>
            <w:vMerge/>
            <w:shd w:val="clear" w:color="auto" w:fill="auto"/>
            <w:vAlign w:val="center"/>
          </w:tcPr>
          <w:p w14:paraId="15DA1FB0" w14:textId="77777777" w:rsidR="00284391" w:rsidRPr="00ED4D49" w:rsidRDefault="00284391" w:rsidP="00C27BB5">
            <w:pPr>
              <w:rPr>
                <w:rFonts w:cs="Calibri"/>
                <w:color w:val="000000"/>
                <w:sz w:val="16"/>
                <w:szCs w:val="16"/>
                <w:lang w:val="en-US" w:eastAsia="bs-Latn-BA"/>
              </w:rPr>
            </w:pPr>
          </w:p>
        </w:tc>
        <w:tc>
          <w:tcPr>
            <w:tcW w:w="7259" w:type="dxa"/>
            <w:shd w:val="clear" w:color="auto" w:fill="auto"/>
            <w:vAlign w:val="center"/>
          </w:tcPr>
          <w:p w14:paraId="6BFE5F1A" w14:textId="77777777" w:rsidR="00284391" w:rsidRPr="00ED4D49" w:rsidRDefault="00284391" w:rsidP="00C27BB5">
            <w:pPr>
              <w:autoSpaceDE w:val="0"/>
              <w:autoSpaceDN w:val="0"/>
              <w:adjustRightInd w:val="0"/>
              <w:spacing w:before="0" w:after="0" w:line="240" w:lineRule="auto"/>
              <w:rPr>
                <w:rFonts w:cs="Calibri"/>
                <w:sz w:val="16"/>
                <w:szCs w:val="16"/>
                <w:lang w:val="en-US"/>
              </w:rPr>
            </w:pPr>
            <w:r w:rsidRPr="00ED4D49">
              <w:rPr>
                <w:rFonts w:cs="Calibri"/>
                <w:sz w:val="16"/>
                <w:szCs w:val="16"/>
                <w:lang w:val="en-US"/>
              </w:rPr>
              <w:t xml:space="preserve">The Old military cemetery in the area of </w:t>
            </w:r>
            <w:proofErr w:type="spellStart"/>
            <w:r w:rsidRPr="00ED4D49">
              <w:rPr>
                <w:rFonts w:cs="Calibri"/>
                <w:sz w:val="16"/>
                <w:szCs w:val="16"/>
                <w:lang w:val="en-US"/>
              </w:rPr>
              <w:t>Hrtar</w:t>
            </w:r>
            <w:proofErr w:type="spellEnd"/>
            <w:r w:rsidRPr="00ED4D49">
              <w:rPr>
                <w:rFonts w:cs="Calibri"/>
                <w:sz w:val="16"/>
                <w:szCs w:val="16"/>
                <w:lang w:val="en-US"/>
              </w:rPr>
              <w:t xml:space="preserve"> in </w:t>
            </w:r>
            <w:proofErr w:type="spellStart"/>
            <w:r w:rsidRPr="00ED4D49">
              <w:rPr>
                <w:rFonts w:cs="Calibri"/>
                <w:sz w:val="16"/>
                <w:szCs w:val="16"/>
                <w:lang w:val="en-US"/>
              </w:rPr>
              <w:t>Milatkovici</w:t>
            </w:r>
            <w:proofErr w:type="spellEnd"/>
            <w:r w:rsidRPr="00ED4D49">
              <w:rPr>
                <w:rFonts w:cs="Calibri"/>
                <w:sz w:val="16"/>
                <w:szCs w:val="16"/>
                <w:lang w:val="en-US"/>
              </w:rPr>
              <w:t>, the historic site</w:t>
            </w:r>
          </w:p>
        </w:tc>
      </w:tr>
      <w:tr w:rsidR="00284391" w:rsidRPr="00ED4D49" w14:paraId="6F6BEBD2" w14:textId="77777777" w:rsidTr="00284391">
        <w:tc>
          <w:tcPr>
            <w:tcW w:w="1751" w:type="dxa"/>
            <w:vMerge/>
            <w:shd w:val="clear" w:color="auto" w:fill="auto"/>
            <w:vAlign w:val="center"/>
          </w:tcPr>
          <w:p w14:paraId="6950A391" w14:textId="77777777" w:rsidR="00284391" w:rsidRPr="00ED4D49" w:rsidRDefault="00284391" w:rsidP="00C27BB5">
            <w:pPr>
              <w:rPr>
                <w:rFonts w:cs="Calibri"/>
                <w:color w:val="000000"/>
                <w:sz w:val="16"/>
                <w:szCs w:val="16"/>
                <w:lang w:val="en-US" w:eastAsia="bs-Latn-BA"/>
              </w:rPr>
            </w:pPr>
          </w:p>
        </w:tc>
        <w:tc>
          <w:tcPr>
            <w:tcW w:w="7259" w:type="dxa"/>
            <w:shd w:val="clear" w:color="auto" w:fill="auto"/>
            <w:vAlign w:val="center"/>
          </w:tcPr>
          <w:p w14:paraId="559FD2EF" w14:textId="77777777" w:rsidR="00284391" w:rsidRPr="00ED4D49" w:rsidRDefault="00284391" w:rsidP="00C27BB5">
            <w:pPr>
              <w:autoSpaceDE w:val="0"/>
              <w:autoSpaceDN w:val="0"/>
              <w:adjustRightInd w:val="0"/>
              <w:spacing w:before="0" w:after="0" w:line="240" w:lineRule="auto"/>
              <w:rPr>
                <w:rFonts w:cs="Calibri"/>
                <w:sz w:val="16"/>
                <w:szCs w:val="16"/>
                <w:lang w:val="en-US"/>
              </w:rPr>
            </w:pPr>
            <w:r w:rsidRPr="00ED4D49">
              <w:rPr>
                <w:rFonts w:cs="Calibri"/>
                <w:sz w:val="16"/>
                <w:szCs w:val="16"/>
                <w:lang w:val="en-US"/>
              </w:rPr>
              <w:t>"</w:t>
            </w:r>
            <w:proofErr w:type="spellStart"/>
            <w:r w:rsidRPr="00ED4D49">
              <w:rPr>
                <w:rFonts w:cs="Calibri"/>
                <w:sz w:val="16"/>
                <w:szCs w:val="16"/>
                <w:lang w:val="en-US"/>
              </w:rPr>
              <w:t>Mramorovi</w:t>
            </w:r>
            <w:proofErr w:type="spellEnd"/>
            <w:r w:rsidRPr="00ED4D49">
              <w:rPr>
                <w:rFonts w:cs="Calibri"/>
                <w:sz w:val="16"/>
                <w:szCs w:val="16"/>
                <w:lang w:val="en-US"/>
              </w:rPr>
              <w:t xml:space="preserve">" ("Marbles") ‐ necropolis with </w:t>
            </w:r>
            <w:proofErr w:type="spellStart"/>
            <w:r w:rsidRPr="00ED4D49">
              <w:rPr>
                <w:rFonts w:cs="Calibri"/>
                <w:sz w:val="16"/>
                <w:szCs w:val="16"/>
                <w:lang w:val="en-US"/>
              </w:rPr>
              <w:t>stecak</w:t>
            </w:r>
            <w:proofErr w:type="spellEnd"/>
            <w:r w:rsidRPr="00ED4D49">
              <w:rPr>
                <w:rFonts w:cs="Calibri"/>
                <w:sz w:val="16"/>
                <w:szCs w:val="16"/>
                <w:lang w:val="en-US"/>
              </w:rPr>
              <w:t xml:space="preserve"> tombstones at </w:t>
            </w:r>
            <w:proofErr w:type="spellStart"/>
            <w:r w:rsidRPr="00ED4D49">
              <w:rPr>
                <w:rFonts w:cs="Calibri"/>
                <w:sz w:val="16"/>
                <w:szCs w:val="16"/>
                <w:lang w:val="en-US"/>
              </w:rPr>
              <w:t>Dubac</w:t>
            </w:r>
            <w:proofErr w:type="spellEnd"/>
            <w:r w:rsidRPr="00ED4D49">
              <w:rPr>
                <w:rFonts w:cs="Calibri"/>
                <w:sz w:val="16"/>
                <w:szCs w:val="16"/>
                <w:lang w:val="en-US"/>
              </w:rPr>
              <w:t xml:space="preserve"> in </w:t>
            </w:r>
            <w:proofErr w:type="spellStart"/>
            <w:r w:rsidRPr="00ED4D49">
              <w:rPr>
                <w:rFonts w:cs="Calibri"/>
                <w:sz w:val="16"/>
                <w:szCs w:val="16"/>
                <w:lang w:val="en-US"/>
              </w:rPr>
              <w:t>Batovo</w:t>
            </w:r>
            <w:proofErr w:type="spellEnd"/>
            <w:r w:rsidRPr="00ED4D49">
              <w:rPr>
                <w:rFonts w:cs="Calibri"/>
                <w:sz w:val="16"/>
                <w:szCs w:val="16"/>
                <w:lang w:val="en-US"/>
              </w:rPr>
              <w:t>, the historic site</w:t>
            </w:r>
          </w:p>
        </w:tc>
      </w:tr>
      <w:tr w:rsidR="00284391" w:rsidRPr="00ED4D49" w14:paraId="755EDAFE" w14:textId="77777777" w:rsidTr="00284391">
        <w:tc>
          <w:tcPr>
            <w:tcW w:w="1751" w:type="dxa"/>
            <w:vMerge w:val="restart"/>
            <w:shd w:val="clear" w:color="auto" w:fill="auto"/>
            <w:vAlign w:val="center"/>
          </w:tcPr>
          <w:p w14:paraId="1A42BEB1" w14:textId="77777777" w:rsidR="00284391" w:rsidRPr="00ED4D49" w:rsidRDefault="00284391" w:rsidP="00C27BB5">
            <w:pPr>
              <w:rPr>
                <w:rFonts w:cs="Calibri"/>
                <w:color w:val="000000"/>
                <w:sz w:val="16"/>
                <w:szCs w:val="16"/>
                <w:lang w:val="en-US" w:eastAsia="bs-Latn-BA"/>
              </w:rPr>
            </w:pPr>
            <w:proofErr w:type="spellStart"/>
            <w:r w:rsidRPr="00ED4D49">
              <w:rPr>
                <w:rFonts w:cs="Calibri"/>
                <w:color w:val="000000"/>
                <w:sz w:val="16"/>
                <w:szCs w:val="16"/>
                <w:lang w:val="en-US" w:eastAsia="bs-Latn-BA"/>
              </w:rPr>
              <w:t>Foča</w:t>
            </w:r>
            <w:proofErr w:type="spellEnd"/>
          </w:p>
        </w:tc>
        <w:tc>
          <w:tcPr>
            <w:tcW w:w="7259" w:type="dxa"/>
            <w:shd w:val="clear" w:color="auto" w:fill="auto"/>
            <w:vAlign w:val="center"/>
          </w:tcPr>
          <w:p w14:paraId="0D9A5941" w14:textId="77777777" w:rsidR="00284391" w:rsidRPr="00ED4D49" w:rsidRDefault="00284391" w:rsidP="00C27BB5">
            <w:pPr>
              <w:autoSpaceDE w:val="0"/>
              <w:autoSpaceDN w:val="0"/>
              <w:adjustRightInd w:val="0"/>
              <w:spacing w:before="0" w:after="0" w:line="240" w:lineRule="auto"/>
              <w:rPr>
                <w:rFonts w:cs="Calibri"/>
                <w:sz w:val="16"/>
                <w:szCs w:val="16"/>
                <w:lang w:val="en-US"/>
              </w:rPr>
            </w:pPr>
            <w:proofErr w:type="spellStart"/>
            <w:r w:rsidRPr="00ED4D49">
              <w:rPr>
                <w:rFonts w:cs="Calibri"/>
                <w:sz w:val="16"/>
                <w:szCs w:val="16"/>
                <w:lang w:val="en-US"/>
              </w:rPr>
              <w:t>Aladza</w:t>
            </w:r>
            <w:proofErr w:type="spellEnd"/>
            <w:r w:rsidRPr="00ED4D49">
              <w:rPr>
                <w:rFonts w:cs="Calibri"/>
                <w:sz w:val="16"/>
                <w:szCs w:val="16"/>
                <w:lang w:val="en-US"/>
              </w:rPr>
              <w:t xml:space="preserve"> (Hasan Nazir) mosque, the site and remains of the architectural ensemble</w:t>
            </w:r>
          </w:p>
        </w:tc>
      </w:tr>
      <w:tr w:rsidR="00284391" w:rsidRPr="00ED4D49" w14:paraId="1CEC5A7F" w14:textId="77777777" w:rsidTr="00284391">
        <w:tc>
          <w:tcPr>
            <w:tcW w:w="1751" w:type="dxa"/>
            <w:vMerge/>
            <w:shd w:val="clear" w:color="auto" w:fill="auto"/>
            <w:vAlign w:val="center"/>
          </w:tcPr>
          <w:p w14:paraId="53042DF2" w14:textId="77777777" w:rsidR="00284391" w:rsidRPr="00ED4D49" w:rsidRDefault="00284391" w:rsidP="00C27BB5">
            <w:pPr>
              <w:rPr>
                <w:rFonts w:cs="Calibri"/>
                <w:color w:val="000000"/>
                <w:sz w:val="16"/>
                <w:szCs w:val="16"/>
                <w:lang w:val="en-US" w:eastAsia="bs-Latn-BA"/>
              </w:rPr>
            </w:pPr>
          </w:p>
        </w:tc>
        <w:tc>
          <w:tcPr>
            <w:tcW w:w="7259" w:type="dxa"/>
            <w:shd w:val="clear" w:color="auto" w:fill="auto"/>
            <w:vAlign w:val="center"/>
          </w:tcPr>
          <w:p w14:paraId="62637780" w14:textId="77777777" w:rsidR="00284391" w:rsidRPr="00ED4D49" w:rsidRDefault="00284391" w:rsidP="00C27BB5">
            <w:pPr>
              <w:autoSpaceDE w:val="0"/>
              <w:autoSpaceDN w:val="0"/>
              <w:adjustRightInd w:val="0"/>
              <w:spacing w:before="0" w:after="0" w:line="240" w:lineRule="auto"/>
              <w:rPr>
                <w:rFonts w:cs="Calibri"/>
                <w:sz w:val="16"/>
                <w:szCs w:val="16"/>
                <w:lang w:val="en-US"/>
              </w:rPr>
            </w:pPr>
            <w:r w:rsidRPr="00ED4D49">
              <w:rPr>
                <w:rFonts w:cs="Calibri"/>
                <w:sz w:val="16"/>
                <w:szCs w:val="16"/>
                <w:lang w:val="en-US"/>
              </w:rPr>
              <w:t>The Emperor's Mosque (Sultan Beyazid‐</w:t>
            </w:r>
            <w:proofErr w:type="spellStart"/>
            <w:r w:rsidRPr="00ED4D49">
              <w:rPr>
                <w:rFonts w:cs="Calibri"/>
                <w:sz w:val="16"/>
                <w:szCs w:val="16"/>
                <w:lang w:val="en-US"/>
              </w:rPr>
              <w:t>i</w:t>
            </w:r>
            <w:proofErr w:type="spellEnd"/>
            <w:r w:rsidRPr="00ED4D49">
              <w:rPr>
                <w:rFonts w:cs="Calibri"/>
                <w:sz w:val="16"/>
                <w:szCs w:val="16"/>
                <w:lang w:val="en-US"/>
              </w:rPr>
              <w:t xml:space="preserve"> Veli II mosque), the site and remains of the architectural ensemble</w:t>
            </w:r>
          </w:p>
        </w:tc>
      </w:tr>
      <w:tr w:rsidR="00284391" w:rsidRPr="00ED4D49" w14:paraId="0B3852F5" w14:textId="77777777" w:rsidTr="00284391">
        <w:tc>
          <w:tcPr>
            <w:tcW w:w="1751" w:type="dxa"/>
            <w:vMerge/>
            <w:shd w:val="clear" w:color="auto" w:fill="auto"/>
            <w:vAlign w:val="center"/>
          </w:tcPr>
          <w:p w14:paraId="32586A51" w14:textId="77777777" w:rsidR="00284391" w:rsidRPr="00ED4D49" w:rsidRDefault="00284391" w:rsidP="00C27BB5">
            <w:pPr>
              <w:rPr>
                <w:rFonts w:cs="Calibri"/>
                <w:color w:val="000000"/>
                <w:sz w:val="16"/>
                <w:szCs w:val="16"/>
                <w:lang w:val="en-US" w:eastAsia="bs-Latn-BA"/>
              </w:rPr>
            </w:pPr>
          </w:p>
        </w:tc>
        <w:tc>
          <w:tcPr>
            <w:tcW w:w="7259" w:type="dxa"/>
            <w:shd w:val="clear" w:color="auto" w:fill="auto"/>
            <w:vAlign w:val="center"/>
          </w:tcPr>
          <w:p w14:paraId="04F37767" w14:textId="77777777" w:rsidR="00284391" w:rsidRPr="00ED4D49" w:rsidRDefault="00284391" w:rsidP="00C27BB5">
            <w:pPr>
              <w:autoSpaceDE w:val="0"/>
              <w:autoSpaceDN w:val="0"/>
              <w:adjustRightInd w:val="0"/>
              <w:spacing w:before="0" w:after="0" w:line="240" w:lineRule="auto"/>
              <w:rPr>
                <w:rFonts w:cs="Calibri"/>
                <w:sz w:val="16"/>
                <w:szCs w:val="16"/>
                <w:lang w:val="en-US"/>
              </w:rPr>
            </w:pPr>
            <w:r w:rsidRPr="00ED4D49">
              <w:rPr>
                <w:rFonts w:cs="Calibri"/>
                <w:sz w:val="16"/>
                <w:szCs w:val="16"/>
                <w:lang w:val="en-US"/>
              </w:rPr>
              <w:t>Church of St. Nicholas with movable assets, the architectural ensemble</w:t>
            </w:r>
          </w:p>
        </w:tc>
      </w:tr>
      <w:tr w:rsidR="00284391" w:rsidRPr="00ED4D49" w14:paraId="55DB3B78" w14:textId="77777777" w:rsidTr="00284391">
        <w:tc>
          <w:tcPr>
            <w:tcW w:w="1751" w:type="dxa"/>
            <w:vMerge/>
            <w:shd w:val="clear" w:color="auto" w:fill="auto"/>
            <w:vAlign w:val="center"/>
          </w:tcPr>
          <w:p w14:paraId="0AD33EC0" w14:textId="77777777" w:rsidR="00284391" w:rsidRPr="00ED4D49" w:rsidRDefault="00284391" w:rsidP="00C27BB5">
            <w:pPr>
              <w:rPr>
                <w:rFonts w:cs="Calibri"/>
                <w:color w:val="000000"/>
                <w:sz w:val="16"/>
                <w:szCs w:val="16"/>
                <w:lang w:val="en-US" w:eastAsia="bs-Latn-BA"/>
              </w:rPr>
            </w:pPr>
          </w:p>
        </w:tc>
        <w:tc>
          <w:tcPr>
            <w:tcW w:w="7259" w:type="dxa"/>
            <w:shd w:val="clear" w:color="auto" w:fill="auto"/>
            <w:vAlign w:val="center"/>
          </w:tcPr>
          <w:p w14:paraId="651AF2A3" w14:textId="77777777" w:rsidR="00284391" w:rsidRPr="00ED4D49" w:rsidRDefault="00284391" w:rsidP="00C27BB5">
            <w:pPr>
              <w:autoSpaceDE w:val="0"/>
              <w:autoSpaceDN w:val="0"/>
              <w:adjustRightInd w:val="0"/>
              <w:spacing w:before="0" w:after="0" w:line="240" w:lineRule="auto"/>
              <w:rPr>
                <w:rFonts w:cs="Calibri"/>
                <w:sz w:val="16"/>
                <w:szCs w:val="16"/>
                <w:lang w:val="en-US"/>
              </w:rPr>
            </w:pPr>
            <w:proofErr w:type="spellStart"/>
            <w:r w:rsidRPr="00ED4D49">
              <w:rPr>
                <w:rFonts w:cs="Calibri"/>
                <w:sz w:val="16"/>
                <w:szCs w:val="16"/>
                <w:lang w:val="en-US"/>
              </w:rPr>
              <w:t>Sklopotnica</w:t>
            </w:r>
            <w:proofErr w:type="spellEnd"/>
            <w:r w:rsidRPr="00ED4D49">
              <w:rPr>
                <w:rFonts w:cs="Calibri"/>
                <w:sz w:val="16"/>
                <w:szCs w:val="16"/>
                <w:lang w:val="en-US"/>
              </w:rPr>
              <w:t xml:space="preserve"> Church (Church of St. Nicholas) in </w:t>
            </w:r>
            <w:proofErr w:type="spellStart"/>
            <w:r w:rsidRPr="00ED4D49">
              <w:rPr>
                <w:rFonts w:cs="Calibri"/>
                <w:sz w:val="16"/>
                <w:szCs w:val="16"/>
                <w:lang w:val="en-US"/>
              </w:rPr>
              <w:t>Celebici</w:t>
            </w:r>
            <w:proofErr w:type="spellEnd"/>
            <w:r w:rsidRPr="00ED4D49">
              <w:rPr>
                <w:rFonts w:cs="Calibri"/>
                <w:sz w:val="16"/>
                <w:szCs w:val="16"/>
                <w:lang w:val="en-US"/>
              </w:rPr>
              <w:t>, natural and architectural ensemble</w:t>
            </w:r>
          </w:p>
        </w:tc>
      </w:tr>
      <w:tr w:rsidR="00284391" w:rsidRPr="00ED4D49" w14:paraId="22C1AD0F" w14:textId="77777777" w:rsidTr="00284391">
        <w:tc>
          <w:tcPr>
            <w:tcW w:w="1751" w:type="dxa"/>
            <w:vMerge/>
            <w:shd w:val="clear" w:color="auto" w:fill="auto"/>
            <w:vAlign w:val="center"/>
          </w:tcPr>
          <w:p w14:paraId="568545C8" w14:textId="77777777" w:rsidR="00284391" w:rsidRPr="00ED4D49" w:rsidRDefault="00284391" w:rsidP="00C27BB5">
            <w:pPr>
              <w:rPr>
                <w:rFonts w:cs="Calibri"/>
                <w:color w:val="000000"/>
                <w:sz w:val="16"/>
                <w:szCs w:val="16"/>
                <w:lang w:val="en-US" w:eastAsia="bs-Latn-BA"/>
              </w:rPr>
            </w:pPr>
          </w:p>
        </w:tc>
        <w:tc>
          <w:tcPr>
            <w:tcW w:w="7259" w:type="dxa"/>
            <w:shd w:val="clear" w:color="auto" w:fill="auto"/>
            <w:vAlign w:val="center"/>
          </w:tcPr>
          <w:p w14:paraId="51D2E5AB" w14:textId="77777777" w:rsidR="00284391" w:rsidRPr="00ED4D49" w:rsidRDefault="00284391" w:rsidP="00C27BB5">
            <w:pPr>
              <w:autoSpaceDE w:val="0"/>
              <w:autoSpaceDN w:val="0"/>
              <w:adjustRightInd w:val="0"/>
              <w:spacing w:before="0" w:after="0" w:line="240" w:lineRule="auto"/>
              <w:rPr>
                <w:rFonts w:cs="Calibri"/>
                <w:sz w:val="16"/>
                <w:szCs w:val="16"/>
                <w:lang w:val="en-US"/>
              </w:rPr>
            </w:pPr>
            <w:r w:rsidRPr="00ED4D49">
              <w:rPr>
                <w:rFonts w:cs="Calibri"/>
                <w:sz w:val="16"/>
                <w:szCs w:val="16"/>
                <w:lang w:val="en-US"/>
              </w:rPr>
              <w:t xml:space="preserve">The mosque and </w:t>
            </w:r>
            <w:proofErr w:type="spellStart"/>
            <w:r w:rsidRPr="00ED4D49">
              <w:rPr>
                <w:rFonts w:cs="Calibri"/>
                <w:sz w:val="16"/>
                <w:szCs w:val="16"/>
                <w:lang w:val="en-US"/>
              </w:rPr>
              <w:t>medrasa</w:t>
            </w:r>
            <w:proofErr w:type="spellEnd"/>
            <w:r w:rsidRPr="00ED4D49">
              <w:rPr>
                <w:rFonts w:cs="Calibri"/>
                <w:sz w:val="16"/>
                <w:szCs w:val="16"/>
                <w:lang w:val="en-US"/>
              </w:rPr>
              <w:t xml:space="preserve"> of Mehmed‐pasha </w:t>
            </w:r>
            <w:proofErr w:type="spellStart"/>
            <w:r w:rsidRPr="00ED4D49">
              <w:rPr>
                <w:rFonts w:cs="Calibri"/>
                <w:sz w:val="16"/>
                <w:szCs w:val="16"/>
                <w:lang w:val="en-US"/>
              </w:rPr>
              <w:t>Kukavica</w:t>
            </w:r>
            <w:proofErr w:type="spellEnd"/>
            <w:r w:rsidRPr="00ED4D49">
              <w:rPr>
                <w:rFonts w:cs="Calibri"/>
                <w:sz w:val="16"/>
                <w:szCs w:val="16"/>
                <w:lang w:val="en-US"/>
              </w:rPr>
              <w:t>, the architectural ensemble</w:t>
            </w:r>
          </w:p>
        </w:tc>
      </w:tr>
      <w:tr w:rsidR="00284391" w:rsidRPr="00ED4D49" w14:paraId="1EA08829" w14:textId="77777777" w:rsidTr="00284391">
        <w:tc>
          <w:tcPr>
            <w:tcW w:w="1751" w:type="dxa"/>
            <w:vMerge/>
            <w:shd w:val="clear" w:color="auto" w:fill="auto"/>
            <w:vAlign w:val="center"/>
          </w:tcPr>
          <w:p w14:paraId="7B18ED6A" w14:textId="77777777" w:rsidR="00284391" w:rsidRPr="00ED4D49" w:rsidRDefault="00284391" w:rsidP="00C27BB5">
            <w:pPr>
              <w:rPr>
                <w:rFonts w:cs="Calibri"/>
                <w:color w:val="000000"/>
                <w:sz w:val="16"/>
                <w:szCs w:val="16"/>
                <w:lang w:val="en-US" w:eastAsia="bs-Latn-BA"/>
              </w:rPr>
            </w:pPr>
          </w:p>
        </w:tc>
        <w:tc>
          <w:tcPr>
            <w:tcW w:w="7259" w:type="dxa"/>
            <w:shd w:val="clear" w:color="auto" w:fill="auto"/>
            <w:vAlign w:val="center"/>
          </w:tcPr>
          <w:p w14:paraId="0658FAF7" w14:textId="77777777" w:rsidR="00284391" w:rsidRPr="00ED4D49" w:rsidRDefault="00284391" w:rsidP="00C27BB5">
            <w:pPr>
              <w:autoSpaceDE w:val="0"/>
              <w:autoSpaceDN w:val="0"/>
              <w:adjustRightInd w:val="0"/>
              <w:spacing w:before="0" w:after="0" w:line="240" w:lineRule="auto"/>
              <w:rPr>
                <w:rFonts w:cs="Calibri"/>
                <w:sz w:val="16"/>
                <w:szCs w:val="16"/>
                <w:lang w:val="en-US"/>
              </w:rPr>
            </w:pPr>
            <w:proofErr w:type="spellStart"/>
            <w:r w:rsidRPr="00ED4D49">
              <w:rPr>
                <w:rFonts w:cs="Calibri"/>
                <w:sz w:val="16"/>
                <w:szCs w:val="16"/>
                <w:lang w:val="en-US"/>
              </w:rPr>
              <w:t>Carsija</w:t>
            </w:r>
            <w:proofErr w:type="spellEnd"/>
            <w:r w:rsidRPr="00ED4D49">
              <w:rPr>
                <w:rFonts w:cs="Calibri"/>
                <w:sz w:val="16"/>
                <w:szCs w:val="16"/>
                <w:lang w:val="en-US"/>
              </w:rPr>
              <w:t xml:space="preserve"> (bazaar), historic site</w:t>
            </w:r>
          </w:p>
        </w:tc>
      </w:tr>
      <w:tr w:rsidR="00284391" w:rsidRPr="00ED4D49" w14:paraId="3F03EECC" w14:textId="77777777" w:rsidTr="00284391">
        <w:tc>
          <w:tcPr>
            <w:tcW w:w="1751" w:type="dxa"/>
            <w:vMerge/>
            <w:shd w:val="clear" w:color="auto" w:fill="auto"/>
            <w:vAlign w:val="center"/>
          </w:tcPr>
          <w:p w14:paraId="0F9449BD" w14:textId="77777777" w:rsidR="00284391" w:rsidRPr="00ED4D49" w:rsidRDefault="00284391" w:rsidP="00C27BB5">
            <w:pPr>
              <w:rPr>
                <w:rFonts w:cs="Calibri"/>
                <w:color w:val="000000"/>
                <w:sz w:val="16"/>
                <w:szCs w:val="16"/>
                <w:lang w:val="en-US" w:eastAsia="bs-Latn-BA"/>
              </w:rPr>
            </w:pPr>
          </w:p>
        </w:tc>
        <w:tc>
          <w:tcPr>
            <w:tcW w:w="7259" w:type="dxa"/>
            <w:shd w:val="clear" w:color="auto" w:fill="auto"/>
            <w:vAlign w:val="center"/>
          </w:tcPr>
          <w:p w14:paraId="46DD9E05" w14:textId="77777777" w:rsidR="00284391" w:rsidRPr="00ED4D49" w:rsidRDefault="00284391" w:rsidP="00C27BB5">
            <w:pPr>
              <w:autoSpaceDE w:val="0"/>
              <w:autoSpaceDN w:val="0"/>
              <w:adjustRightInd w:val="0"/>
              <w:spacing w:before="0" w:after="0" w:line="240" w:lineRule="auto"/>
              <w:rPr>
                <w:rFonts w:cs="Calibri"/>
                <w:sz w:val="16"/>
                <w:szCs w:val="16"/>
                <w:lang w:val="en-US"/>
              </w:rPr>
            </w:pPr>
            <w:r w:rsidRPr="00ED4D49">
              <w:rPr>
                <w:rFonts w:cs="Calibri"/>
                <w:sz w:val="16"/>
                <w:szCs w:val="16"/>
                <w:lang w:val="en-US"/>
              </w:rPr>
              <w:t xml:space="preserve">Mehmed‐pasha </w:t>
            </w:r>
            <w:proofErr w:type="spellStart"/>
            <w:r w:rsidRPr="00ED4D49">
              <w:rPr>
                <w:rFonts w:cs="Calibri"/>
                <w:sz w:val="16"/>
                <w:szCs w:val="16"/>
                <w:lang w:val="en-US"/>
              </w:rPr>
              <w:t>Kukavica</w:t>
            </w:r>
            <w:proofErr w:type="spellEnd"/>
            <w:r w:rsidRPr="00ED4D49">
              <w:rPr>
                <w:rFonts w:cs="Calibri"/>
                <w:sz w:val="16"/>
                <w:szCs w:val="16"/>
                <w:lang w:val="en-US"/>
              </w:rPr>
              <w:t xml:space="preserve"> caravanserai, the historic monument</w:t>
            </w:r>
          </w:p>
        </w:tc>
      </w:tr>
      <w:tr w:rsidR="00284391" w:rsidRPr="00ED4D49" w14:paraId="6261FC42" w14:textId="77777777" w:rsidTr="00284391">
        <w:tc>
          <w:tcPr>
            <w:tcW w:w="1751" w:type="dxa"/>
            <w:vMerge/>
            <w:shd w:val="clear" w:color="auto" w:fill="auto"/>
            <w:vAlign w:val="center"/>
          </w:tcPr>
          <w:p w14:paraId="14ECDECE" w14:textId="77777777" w:rsidR="00284391" w:rsidRPr="00ED4D49" w:rsidRDefault="00284391" w:rsidP="00C27BB5">
            <w:pPr>
              <w:rPr>
                <w:rFonts w:cs="Calibri"/>
                <w:color w:val="000000"/>
                <w:sz w:val="16"/>
                <w:szCs w:val="16"/>
                <w:lang w:val="en-US" w:eastAsia="bs-Latn-BA"/>
              </w:rPr>
            </w:pPr>
          </w:p>
        </w:tc>
        <w:tc>
          <w:tcPr>
            <w:tcW w:w="7259" w:type="dxa"/>
            <w:shd w:val="clear" w:color="auto" w:fill="auto"/>
            <w:vAlign w:val="center"/>
          </w:tcPr>
          <w:p w14:paraId="5E2C3E61" w14:textId="77777777" w:rsidR="00284391" w:rsidRPr="00ED4D49" w:rsidRDefault="00284391" w:rsidP="00C27BB5">
            <w:pPr>
              <w:autoSpaceDE w:val="0"/>
              <w:autoSpaceDN w:val="0"/>
              <w:adjustRightInd w:val="0"/>
              <w:spacing w:before="0" w:after="0" w:line="240" w:lineRule="auto"/>
              <w:rPr>
                <w:rFonts w:cs="Calibri"/>
                <w:sz w:val="16"/>
                <w:szCs w:val="16"/>
                <w:lang w:val="en-US"/>
              </w:rPr>
            </w:pPr>
            <w:proofErr w:type="spellStart"/>
            <w:r w:rsidRPr="00ED4D49">
              <w:rPr>
                <w:rFonts w:cs="Calibri"/>
                <w:sz w:val="16"/>
                <w:szCs w:val="16"/>
                <w:lang w:val="en-US"/>
              </w:rPr>
              <w:t>Musluk</w:t>
            </w:r>
            <w:proofErr w:type="spellEnd"/>
            <w:r w:rsidRPr="00ED4D49">
              <w:rPr>
                <w:rFonts w:cs="Calibri"/>
                <w:sz w:val="16"/>
                <w:szCs w:val="16"/>
                <w:lang w:val="en-US"/>
              </w:rPr>
              <w:t xml:space="preserve"> (Atik Ali‐pasha) mosque, the architectural ensemble</w:t>
            </w:r>
          </w:p>
        </w:tc>
      </w:tr>
      <w:tr w:rsidR="00284391" w:rsidRPr="00ED4D49" w14:paraId="0462027E" w14:textId="77777777" w:rsidTr="00284391">
        <w:tc>
          <w:tcPr>
            <w:tcW w:w="1751" w:type="dxa"/>
            <w:vMerge/>
            <w:shd w:val="clear" w:color="auto" w:fill="auto"/>
            <w:vAlign w:val="center"/>
          </w:tcPr>
          <w:p w14:paraId="641754D4" w14:textId="77777777" w:rsidR="00284391" w:rsidRPr="00ED4D49" w:rsidRDefault="00284391" w:rsidP="00C27BB5">
            <w:pPr>
              <w:rPr>
                <w:rFonts w:cs="Calibri"/>
                <w:color w:val="000000"/>
                <w:sz w:val="16"/>
                <w:szCs w:val="16"/>
                <w:lang w:val="en-US" w:eastAsia="bs-Latn-BA"/>
              </w:rPr>
            </w:pPr>
          </w:p>
        </w:tc>
        <w:tc>
          <w:tcPr>
            <w:tcW w:w="7259" w:type="dxa"/>
            <w:shd w:val="clear" w:color="auto" w:fill="auto"/>
            <w:vAlign w:val="center"/>
          </w:tcPr>
          <w:p w14:paraId="6E1E3596" w14:textId="77777777" w:rsidR="00284391" w:rsidRPr="00ED4D49" w:rsidRDefault="00284391" w:rsidP="00C27BB5">
            <w:pPr>
              <w:autoSpaceDE w:val="0"/>
              <w:autoSpaceDN w:val="0"/>
              <w:adjustRightInd w:val="0"/>
              <w:spacing w:before="0" w:after="0" w:line="240" w:lineRule="auto"/>
              <w:rPr>
                <w:rFonts w:cs="Calibri"/>
                <w:sz w:val="16"/>
                <w:szCs w:val="16"/>
                <w:lang w:val="en-US"/>
              </w:rPr>
            </w:pPr>
            <w:r w:rsidRPr="00ED4D49">
              <w:rPr>
                <w:rFonts w:cs="Calibri"/>
                <w:sz w:val="16"/>
                <w:szCs w:val="16"/>
                <w:lang w:val="en-US"/>
              </w:rPr>
              <w:t xml:space="preserve">The necropolis with </w:t>
            </w:r>
            <w:proofErr w:type="spellStart"/>
            <w:r w:rsidRPr="00ED4D49">
              <w:rPr>
                <w:rFonts w:cs="Calibri"/>
                <w:sz w:val="16"/>
                <w:szCs w:val="16"/>
                <w:lang w:val="en-US"/>
              </w:rPr>
              <w:t>stecak</w:t>
            </w:r>
            <w:proofErr w:type="spellEnd"/>
            <w:r w:rsidRPr="00ED4D49">
              <w:rPr>
                <w:rFonts w:cs="Calibri"/>
                <w:sz w:val="16"/>
                <w:szCs w:val="16"/>
                <w:lang w:val="en-US"/>
              </w:rPr>
              <w:t xml:space="preserve"> tombstones and four headstones from Late Antiquity at the locality</w:t>
            </w:r>
          </w:p>
          <w:p w14:paraId="17FA9CE7" w14:textId="77777777" w:rsidR="00284391" w:rsidRPr="00ED4D49" w:rsidRDefault="00284391" w:rsidP="00C27BB5">
            <w:pPr>
              <w:autoSpaceDE w:val="0"/>
              <w:autoSpaceDN w:val="0"/>
              <w:adjustRightInd w:val="0"/>
              <w:spacing w:before="0" w:after="0" w:line="240" w:lineRule="auto"/>
              <w:rPr>
                <w:rFonts w:cs="Calibri"/>
                <w:sz w:val="16"/>
                <w:szCs w:val="16"/>
                <w:lang w:val="en-US"/>
              </w:rPr>
            </w:pPr>
            <w:r w:rsidRPr="00ED4D49">
              <w:rPr>
                <w:rFonts w:cs="Calibri"/>
                <w:sz w:val="16"/>
                <w:szCs w:val="16"/>
                <w:lang w:val="en-US"/>
              </w:rPr>
              <w:t>Mramor (</w:t>
            </w:r>
            <w:proofErr w:type="spellStart"/>
            <w:r w:rsidRPr="00ED4D49">
              <w:rPr>
                <w:rFonts w:cs="Calibri"/>
                <w:sz w:val="16"/>
                <w:szCs w:val="16"/>
                <w:lang w:val="en-US"/>
              </w:rPr>
              <w:t>Crkvina</w:t>
            </w:r>
            <w:proofErr w:type="spellEnd"/>
            <w:r w:rsidRPr="00ED4D49">
              <w:rPr>
                <w:rFonts w:cs="Calibri"/>
                <w:sz w:val="16"/>
                <w:szCs w:val="16"/>
                <w:lang w:val="en-US"/>
              </w:rPr>
              <w:t xml:space="preserve">) in </w:t>
            </w:r>
            <w:proofErr w:type="spellStart"/>
            <w:r w:rsidRPr="00ED4D49">
              <w:rPr>
                <w:rFonts w:cs="Calibri"/>
                <w:sz w:val="16"/>
                <w:szCs w:val="16"/>
                <w:lang w:val="en-US"/>
              </w:rPr>
              <w:t>Vrbica</w:t>
            </w:r>
            <w:proofErr w:type="spellEnd"/>
            <w:r w:rsidRPr="00ED4D49">
              <w:rPr>
                <w:rFonts w:cs="Calibri"/>
                <w:sz w:val="16"/>
                <w:szCs w:val="16"/>
                <w:lang w:val="en-US"/>
              </w:rPr>
              <w:t>, the historic site</w:t>
            </w:r>
          </w:p>
        </w:tc>
      </w:tr>
      <w:tr w:rsidR="00284391" w:rsidRPr="00ED4D49" w14:paraId="7092645C" w14:textId="77777777" w:rsidTr="00284391">
        <w:tc>
          <w:tcPr>
            <w:tcW w:w="1751" w:type="dxa"/>
            <w:vMerge/>
            <w:shd w:val="clear" w:color="auto" w:fill="auto"/>
            <w:vAlign w:val="center"/>
          </w:tcPr>
          <w:p w14:paraId="3F065492" w14:textId="77777777" w:rsidR="00284391" w:rsidRPr="00ED4D49" w:rsidRDefault="00284391" w:rsidP="00C27BB5">
            <w:pPr>
              <w:rPr>
                <w:rFonts w:cs="Calibri"/>
                <w:color w:val="000000"/>
                <w:sz w:val="16"/>
                <w:szCs w:val="16"/>
                <w:lang w:val="en-US" w:eastAsia="bs-Latn-BA"/>
              </w:rPr>
            </w:pPr>
          </w:p>
        </w:tc>
        <w:tc>
          <w:tcPr>
            <w:tcW w:w="7259" w:type="dxa"/>
            <w:shd w:val="clear" w:color="auto" w:fill="auto"/>
            <w:vAlign w:val="center"/>
          </w:tcPr>
          <w:p w14:paraId="70E732BD" w14:textId="77777777" w:rsidR="00284391" w:rsidRPr="00ED4D49" w:rsidRDefault="00284391" w:rsidP="00C27BB5">
            <w:pPr>
              <w:autoSpaceDE w:val="0"/>
              <w:autoSpaceDN w:val="0"/>
              <w:adjustRightInd w:val="0"/>
              <w:spacing w:before="0" w:after="0" w:line="240" w:lineRule="auto"/>
              <w:rPr>
                <w:rFonts w:cs="Calibri"/>
                <w:sz w:val="16"/>
                <w:szCs w:val="16"/>
                <w:lang w:val="en-US"/>
              </w:rPr>
            </w:pPr>
            <w:r w:rsidRPr="00ED4D49">
              <w:rPr>
                <w:rFonts w:cs="Calibri"/>
                <w:sz w:val="16"/>
                <w:szCs w:val="16"/>
                <w:lang w:val="en-US"/>
              </w:rPr>
              <w:t xml:space="preserve">The Necropolis with </w:t>
            </w:r>
            <w:proofErr w:type="spellStart"/>
            <w:r w:rsidRPr="00ED4D49">
              <w:rPr>
                <w:rFonts w:cs="Calibri"/>
                <w:sz w:val="16"/>
                <w:szCs w:val="16"/>
                <w:lang w:val="en-US"/>
              </w:rPr>
              <w:t>stecak</w:t>
            </w:r>
            <w:proofErr w:type="spellEnd"/>
            <w:r w:rsidRPr="00ED4D49">
              <w:rPr>
                <w:rFonts w:cs="Calibri"/>
                <w:sz w:val="16"/>
                <w:szCs w:val="16"/>
                <w:lang w:val="en-US"/>
              </w:rPr>
              <w:t xml:space="preserve"> tombstones and old headstones at </w:t>
            </w:r>
            <w:proofErr w:type="spellStart"/>
            <w:r w:rsidRPr="00ED4D49">
              <w:rPr>
                <w:rFonts w:cs="Calibri"/>
                <w:sz w:val="16"/>
                <w:szCs w:val="16"/>
                <w:lang w:val="en-US"/>
              </w:rPr>
              <w:t>Borjanice‐Marevska</w:t>
            </w:r>
            <w:proofErr w:type="spellEnd"/>
            <w:r w:rsidRPr="00ED4D49">
              <w:rPr>
                <w:rFonts w:cs="Calibri"/>
                <w:sz w:val="16"/>
                <w:szCs w:val="16"/>
                <w:lang w:val="en-US"/>
              </w:rPr>
              <w:t xml:space="preserve"> slope in Malo </w:t>
            </w:r>
            <w:proofErr w:type="spellStart"/>
            <w:r w:rsidRPr="00ED4D49">
              <w:rPr>
                <w:rFonts w:cs="Calibri"/>
                <w:sz w:val="16"/>
                <w:szCs w:val="16"/>
                <w:lang w:val="en-US"/>
              </w:rPr>
              <w:t>Marevo</w:t>
            </w:r>
            <w:proofErr w:type="spellEnd"/>
            <w:r w:rsidRPr="00ED4D49">
              <w:rPr>
                <w:rFonts w:cs="Calibri"/>
                <w:sz w:val="16"/>
                <w:szCs w:val="16"/>
                <w:lang w:val="en-US"/>
              </w:rPr>
              <w:t>, the historic site</w:t>
            </w:r>
          </w:p>
        </w:tc>
      </w:tr>
      <w:tr w:rsidR="00284391" w:rsidRPr="00ED4D49" w14:paraId="0A45C17C" w14:textId="77777777" w:rsidTr="00284391">
        <w:tc>
          <w:tcPr>
            <w:tcW w:w="1751" w:type="dxa"/>
            <w:vMerge/>
            <w:shd w:val="clear" w:color="auto" w:fill="auto"/>
            <w:vAlign w:val="center"/>
          </w:tcPr>
          <w:p w14:paraId="3B21063F" w14:textId="77777777" w:rsidR="00284391" w:rsidRPr="00ED4D49" w:rsidRDefault="00284391" w:rsidP="00C27BB5">
            <w:pPr>
              <w:rPr>
                <w:rFonts w:cs="Calibri"/>
                <w:color w:val="000000"/>
                <w:sz w:val="16"/>
                <w:szCs w:val="16"/>
                <w:lang w:val="en-US" w:eastAsia="bs-Latn-BA"/>
              </w:rPr>
            </w:pPr>
          </w:p>
        </w:tc>
        <w:tc>
          <w:tcPr>
            <w:tcW w:w="7259" w:type="dxa"/>
            <w:shd w:val="clear" w:color="auto" w:fill="auto"/>
            <w:vAlign w:val="center"/>
          </w:tcPr>
          <w:p w14:paraId="7CF97D38" w14:textId="77777777" w:rsidR="00284391" w:rsidRPr="00ED4D49" w:rsidRDefault="00284391" w:rsidP="00C27BB5">
            <w:pPr>
              <w:autoSpaceDE w:val="0"/>
              <w:autoSpaceDN w:val="0"/>
              <w:adjustRightInd w:val="0"/>
              <w:spacing w:before="0" w:after="0" w:line="240" w:lineRule="auto"/>
              <w:rPr>
                <w:rFonts w:cs="Calibri"/>
                <w:sz w:val="16"/>
                <w:szCs w:val="16"/>
                <w:lang w:val="en-US"/>
              </w:rPr>
            </w:pPr>
            <w:r w:rsidRPr="00ED4D49">
              <w:rPr>
                <w:rFonts w:cs="Calibri"/>
                <w:sz w:val="16"/>
                <w:szCs w:val="16"/>
                <w:lang w:val="en-US"/>
              </w:rPr>
              <w:t xml:space="preserve">The Necropolis with </w:t>
            </w:r>
            <w:proofErr w:type="spellStart"/>
            <w:r w:rsidRPr="00ED4D49">
              <w:rPr>
                <w:rFonts w:cs="Calibri"/>
                <w:sz w:val="16"/>
                <w:szCs w:val="16"/>
                <w:lang w:val="en-US"/>
              </w:rPr>
              <w:t>stecak</w:t>
            </w:r>
            <w:proofErr w:type="spellEnd"/>
            <w:r w:rsidRPr="00ED4D49">
              <w:rPr>
                <w:rFonts w:cs="Calibri"/>
                <w:sz w:val="16"/>
                <w:szCs w:val="16"/>
                <w:lang w:val="en-US"/>
              </w:rPr>
              <w:t xml:space="preserve"> tombstones and old headstones at the locality of </w:t>
            </w:r>
            <w:proofErr w:type="spellStart"/>
            <w:r w:rsidRPr="00ED4D49">
              <w:rPr>
                <w:rFonts w:cs="Calibri"/>
                <w:sz w:val="16"/>
                <w:szCs w:val="16"/>
                <w:lang w:val="en-US"/>
              </w:rPr>
              <w:t>Crljanke</w:t>
            </w:r>
            <w:proofErr w:type="spellEnd"/>
            <w:r w:rsidRPr="00ED4D49">
              <w:rPr>
                <w:rFonts w:cs="Calibri"/>
                <w:sz w:val="16"/>
                <w:szCs w:val="16"/>
                <w:lang w:val="en-US"/>
              </w:rPr>
              <w:t xml:space="preserve"> in </w:t>
            </w:r>
            <w:proofErr w:type="spellStart"/>
            <w:r w:rsidRPr="00ED4D49">
              <w:rPr>
                <w:rFonts w:cs="Calibri"/>
                <w:sz w:val="16"/>
                <w:szCs w:val="16"/>
                <w:lang w:val="en-US"/>
              </w:rPr>
              <w:t>Putojevici</w:t>
            </w:r>
            <w:proofErr w:type="spellEnd"/>
            <w:r w:rsidRPr="00ED4D49">
              <w:rPr>
                <w:rFonts w:cs="Calibri"/>
                <w:sz w:val="16"/>
                <w:szCs w:val="16"/>
                <w:lang w:val="en-US"/>
              </w:rPr>
              <w:t>, the historic site</w:t>
            </w:r>
          </w:p>
        </w:tc>
      </w:tr>
      <w:tr w:rsidR="00284391" w:rsidRPr="00ED4D49" w14:paraId="56120278" w14:textId="77777777" w:rsidTr="00284391">
        <w:tc>
          <w:tcPr>
            <w:tcW w:w="1751" w:type="dxa"/>
            <w:vMerge/>
            <w:shd w:val="clear" w:color="auto" w:fill="auto"/>
            <w:vAlign w:val="center"/>
          </w:tcPr>
          <w:p w14:paraId="311C7A81" w14:textId="77777777" w:rsidR="00284391" w:rsidRPr="00ED4D49" w:rsidRDefault="00284391" w:rsidP="00C27BB5">
            <w:pPr>
              <w:rPr>
                <w:rFonts w:cs="Calibri"/>
                <w:color w:val="000000"/>
                <w:sz w:val="16"/>
                <w:szCs w:val="16"/>
                <w:lang w:val="en-US" w:eastAsia="bs-Latn-BA"/>
              </w:rPr>
            </w:pPr>
          </w:p>
        </w:tc>
        <w:tc>
          <w:tcPr>
            <w:tcW w:w="7259" w:type="dxa"/>
            <w:shd w:val="clear" w:color="auto" w:fill="auto"/>
            <w:vAlign w:val="center"/>
          </w:tcPr>
          <w:p w14:paraId="2C947324" w14:textId="77777777" w:rsidR="00284391" w:rsidRPr="00ED4D49" w:rsidRDefault="00284391" w:rsidP="00C27BB5">
            <w:pPr>
              <w:autoSpaceDE w:val="0"/>
              <w:autoSpaceDN w:val="0"/>
              <w:adjustRightInd w:val="0"/>
              <w:spacing w:before="0" w:after="0" w:line="240" w:lineRule="auto"/>
              <w:rPr>
                <w:rFonts w:cs="Calibri"/>
                <w:sz w:val="16"/>
                <w:szCs w:val="16"/>
                <w:lang w:val="en-US"/>
              </w:rPr>
            </w:pPr>
            <w:r w:rsidRPr="00ED4D49">
              <w:rPr>
                <w:rFonts w:cs="Calibri"/>
                <w:sz w:val="16"/>
                <w:szCs w:val="16"/>
                <w:lang w:val="en-US"/>
              </w:rPr>
              <w:t xml:space="preserve">The Necropolis with </w:t>
            </w:r>
            <w:proofErr w:type="spellStart"/>
            <w:r w:rsidRPr="00ED4D49">
              <w:rPr>
                <w:rFonts w:cs="Calibri"/>
                <w:sz w:val="16"/>
                <w:szCs w:val="16"/>
                <w:lang w:val="en-US"/>
              </w:rPr>
              <w:t>stecak</w:t>
            </w:r>
            <w:proofErr w:type="spellEnd"/>
            <w:r w:rsidRPr="00ED4D49">
              <w:rPr>
                <w:rFonts w:cs="Calibri"/>
                <w:sz w:val="16"/>
                <w:szCs w:val="16"/>
                <w:lang w:val="en-US"/>
              </w:rPr>
              <w:t xml:space="preserve"> tombstones at the locality </w:t>
            </w:r>
            <w:proofErr w:type="spellStart"/>
            <w:r w:rsidRPr="00ED4D49">
              <w:rPr>
                <w:rFonts w:cs="Calibri"/>
                <w:sz w:val="16"/>
                <w:szCs w:val="16"/>
                <w:lang w:val="en-US"/>
              </w:rPr>
              <w:t>Bor</w:t>
            </w:r>
            <w:proofErr w:type="spellEnd"/>
            <w:r w:rsidRPr="00ED4D49">
              <w:rPr>
                <w:rFonts w:cs="Calibri"/>
                <w:sz w:val="16"/>
                <w:szCs w:val="16"/>
                <w:lang w:val="en-US"/>
              </w:rPr>
              <w:t xml:space="preserve"> in </w:t>
            </w:r>
            <w:proofErr w:type="spellStart"/>
            <w:r w:rsidRPr="00ED4D49">
              <w:rPr>
                <w:rFonts w:cs="Calibri"/>
                <w:sz w:val="16"/>
                <w:szCs w:val="16"/>
                <w:lang w:val="en-US"/>
              </w:rPr>
              <w:t>Hrdjavci</w:t>
            </w:r>
            <w:proofErr w:type="spellEnd"/>
            <w:r w:rsidRPr="00ED4D49">
              <w:rPr>
                <w:rFonts w:cs="Calibri"/>
                <w:sz w:val="16"/>
                <w:szCs w:val="16"/>
                <w:lang w:val="en-US"/>
              </w:rPr>
              <w:t>, the historic site</w:t>
            </w:r>
          </w:p>
        </w:tc>
      </w:tr>
      <w:tr w:rsidR="00284391" w:rsidRPr="00ED4D49" w14:paraId="662187DC" w14:textId="77777777" w:rsidTr="00284391">
        <w:tc>
          <w:tcPr>
            <w:tcW w:w="1751" w:type="dxa"/>
            <w:vMerge/>
            <w:shd w:val="clear" w:color="auto" w:fill="auto"/>
            <w:vAlign w:val="center"/>
          </w:tcPr>
          <w:p w14:paraId="0BF59FFF" w14:textId="77777777" w:rsidR="00284391" w:rsidRPr="00ED4D49" w:rsidRDefault="00284391" w:rsidP="00C27BB5">
            <w:pPr>
              <w:rPr>
                <w:rFonts w:cs="Calibri"/>
                <w:color w:val="000000"/>
                <w:sz w:val="16"/>
                <w:szCs w:val="16"/>
                <w:lang w:val="en-US" w:eastAsia="bs-Latn-BA"/>
              </w:rPr>
            </w:pPr>
          </w:p>
        </w:tc>
        <w:tc>
          <w:tcPr>
            <w:tcW w:w="7259" w:type="dxa"/>
            <w:shd w:val="clear" w:color="auto" w:fill="auto"/>
            <w:vAlign w:val="center"/>
          </w:tcPr>
          <w:p w14:paraId="6907AA6A" w14:textId="77777777" w:rsidR="00284391" w:rsidRPr="00ED4D49" w:rsidRDefault="00284391" w:rsidP="00C27BB5">
            <w:pPr>
              <w:autoSpaceDE w:val="0"/>
              <w:autoSpaceDN w:val="0"/>
              <w:adjustRightInd w:val="0"/>
              <w:spacing w:before="0" w:after="0" w:line="240" w:lineRule="auto"/>
              <w:rPr>
                <w:rFonts w:cs="Calibri"/>
                <w:sz w:val="16"/>
                <w:szCs w:val="16"/>
                <w:lang w:val="en-US"/>
              </w:rPr>
            </w:pPr>
            <w:r w:rsidRPr="00ED4D49">
              <w:rPr>
                <w:rFonts w:cs="Calibri"/>
                <w:sz w:val="16"/>
                <w:szCs w:val="16"/>
                <w:lang w:val="en-US"/>
              </w:rPr>
              <w:t>Rataje, the archaeological site</w:t>
            </w:r>
          </w:p>
        </w:tc>
      </w:tr>
      <w:tr w:rsidR="00284391" w:rsidRPr="00ED4D49" w14:paraId="71C10516" w14:textId="77777777" w:rsidTr="00284391">
        <w:tc>
          <w:tcPr>
            <w:tcW w:w="1751" w:type="dxa"/>
            <w:vMerge/>
            <w:shd w:val="clear" w:color="auto" w:fill="auto"/>
            <w:vAlign w:val="center"/>
          </w:tcPr>
          <w:p w14:paraId="2F65FD95" w14:textId="77777777" w:rsidR="00284391" w:rsidRPr="00ED4D49" w:rsidRDefault="00284391" w:rsidP="00C27BB5">
            <w:pPr>
              <w:rPr>
                <w:rFonts w:cs="Calibri"/>
                <w:color w:val="000000"/>
                <w:sz w:val="16"/>
                <w:szCs w:val="16"/>
                <w:lang w:val="en-US" w:eastAsia="bs-Latn-BA"/>
              </w:rPr>
            </w:pPr>
          </w:p>
        </w:tc>
        <w:tc>
          <w:tcPr>
            <w:tcW w:w="7259" w:type="dxa"/>
            <w:shd w:val="clear" w:color="auto" w:fill="auto"/>
            <w:vAlign w:val="center"/>
          </w:tcPr>
          <w:p w14:paraId="76BDFDDD" w14:textId="77777777" w:rsidR="00284391" w:rsidRPr="00ED4D49" w:rsidRDefault="00284391" w:rsidP="00C27BB5">
            <w:pPr>
              <w:autoSpaceDE w:val="0"/>
              <w:autoSpaceDN w:val="0"/>
              <w:adjustRightInd w:val="0"/>
              <w:spacing w:before="0" w:after="0" w:line="240" w:lineRule="auto"/>
              <w:rPr>
                <w:rFonts w:cs="Calibri"/>
                <w:sz w:val="16"/>
                <w:szCs w:val="16"/>
                <w:lang w:val="en-US"/>
              </w:rPr>
            </w:pPr>
            <w:r w:rsidRPr="00ED4D49">
              <w:rPr>
                <w:rFonts w:cs="Calibri"/>
                <w:sz w:val="16"/>
                <w:szCs w:val="16"/>
                <w:lang w:val="en-US"/>
              </w:rPr>
              <w:t xml:space="preserve">Sahat kula (Clock tower) of Mehmed pasha </w:t>
            </w:r>
            <w:proofErr w:type="spellStart"/>
            <w:r w:rsidRPr="00ED4D49">
              <w:rPr>
                <w:rFonts w:cs="Calibri"/>
                <w:sz w:val="16"/>
                <w:szCs w:val="16"/>
                <w:lang w:val="en-US"/>
              </w:rPr>
              <w:t>Kukavica</w:t>
            </w:r>
            <w:proofErr w:type="spellEnd"/>
            <w:r w:rsidRPr="00ED4D49">
              <w:rPr>
                <w:rFonts w:cs="Calibri"/>
                <w:sz w:val="16"/>
                <w:szCs w:val="16"/>
                <w:lang w:val="en-US"/>
              </w:rPr>
              <w:t>, historic monument</w:t>
            </w:r>
          </w:p>
        </w:tc>
      </w:tr>
      <w:tr w:rsidR="00284391" w:rsidRPr="00ED4D49" w14:paraId="69924C50" w14:textId="77777777" w:rsidTr="00284391">
        <w:tc>
          <w:tcPr>
            <w:tcW w:w="1751" w:type="dxa"/>
            <w:vMerge/>
            <w:shd w:val="clear" w:color="auto" w:fill="auto"/>
            <w:vAlign w:val="center"/>
          </w:tcPr>
          <w:p w14:paraId="14ED1C4C" w14:textId="77777777" w:rsidR="00284391" w:rsidRPr="00ED4D49" w:rsidRDefault="00284391" w:rsidP="00C27BB5">
            <w:pPr>
              <w:rPr>
                <w:rFonts w:cs="Calibri"/>
                <w:color w:val="000000"/>
                <w:sz w:val="16"/>
                <w:szCs w:val="16"/>
                <w:lang w:val="en-US" w:eastAsia="bs-Latn-BA"/>
              </w:rPr>
            </w:pPr>
          </w:p>
        </w:tc>
        <w:tc>
          <w:tcPr>
            <w:tcW w:w="7259" w:type="dxa"/>
            <w:shd w:val="clear" w:color="auto" w:fill="auto"/>
            <w:vAlign w:val="center"/>
          </w:tcPr>
          <w:p w14:paraId="67635A76" w14:textId="77777777" w:rsidR="00284391" w:rsidRPr="00ED4D49" w:rsidRDefault="00284391" w:rsidP="00C27BB5">
            <w:pPr>
              <w:autoSpaceDE w:val="0"/>
              <w:autoSpaceDN w:val="0"/>
              <w:adjustRightInd w:val="0"/>
              <w:spacing w:before="0" w:after="0" w:line="240" w:lineRule="auto"/>
              <w:rPr>
                <w:rFonts w:cs="Calibri"/>
                <w:sz w:val="16"/>
                <w:szCs w:val="16"/>
                <w:lang w:val="en-US"/>
              </w:rPr>
            </w:pPr>
            <w:proofErr w:type="spellStart"/>
            <w:proofErr w:type="gramStart"/>
            <w:r w:rsidRPr="00ED4D49">
              <w:rPr>
                <w:rFonts w:cs="Calibri"/>
                <w:sz w:val="16"/>
                <w:szCs w:val="16"/>
                <w:lang w:val="en-US"/>
              </w:rPr>
              <w:t>Shehs</w:t>
            </w:r>
            <w:proofErr w:type="spellEnd"/>
            <w:proofErr w:type="gramEnd"/>
            <w:r w:rsidRPr="00ED4D49">
              <w:rPr>
                <w:rFonts w:cs="Calibri"/>
                <w:sz w:val="16"/>
                <w:szCs w:val="16"/>
                <w:lang w:val="en-US"/>
              </w:rPr>
              <w:t xml:space="preserve"> mosque (Kadi Osman‐effendi's mosque), the site and remains of the historic monument</w:t>
            </w:r>
          </w:p>
        </w:tc>
      </w:tr>
      <w:tr w:rsidR="00284391" w:rsidRPr="00ED4D49" w14:paraId="0A2268CA" w14:textId="77777777" w:rsidTr="00284391">
        <w:tc>
          <w:tcPr>
            <w:tcW w:w="1751" w:type="dxa"/>
            <w:vMerge/>
            <w:shd w:val="clear" w:color="auto" w:fill="auto"/>
            <w:vAlign w:val="center"/>
          </w:tcPr>
          <w:p w14:paraId="2C868509" w14:textId="77777777" w:rsidR="00284391" w:rsidRPr="00ED4D49" w:rsidRDefault="00284391" w:rsidP="00C27BB5">
            <w:pPr>
              <w:rPr>
                <w:rFonts w:cs="Calibri"/>
                <w:color w:val="000000"/>
                <w:sz w:val="16"/>
                <w:szCs w:val="16"/>
                <w:lang w:val="en-US" w:eastAsia="bs-Latn-BA"/>
              </w:rPr>
            </w:pPr>
          </w:p>
        </w:tc>
        <w:tc>
          <w:tcPr>
            <w:tcW w:w="7259" w:type="dxa"/>
            <w:shd w:val="clear" w:color="auto" w:fill="auto"/>
            <w:vAlign w:val="center"/>
          </w:tcPr>
          <w:p w14:paraId="3FAA7A4B" w14:textId="77777777" w:rsidR="00284391" w:rsidRPr="00ED4D49" w:rsidRDefault="00284391" w:rsidP="00C27BB5">
            <w:pPr>
              <w:autoSpaceDE w:val="0"/>
              <w:autoSpaceDN w:val="0"/>
              <w:adjustRightInd w:val="0"/>
              <w:spacing w:before="0" w:after="0" w:line="240" w:lineRule="auto"/>
              <w:rPr>
                <w:rFonts w:cs="Calibri"/>
                <w:sz w:val="16"/>
                <w:szCs w:val="16"/>
                <w:lang w:val="en-US"/>
              </w:rPr>
            </w:pPr>
            <w:r w:rsidRPr="00ED4D49">
              <w:rPr>
                <w:rFonts w:cs="Calibri"/>
                <w:sz w:val="16"/>
                <w:szCs w:val="16"/>
                <w:lang w:val="en-US"/>
              </w:rPr>
              <w:t xml:space="preserve">Prince Charles' Iron </w:t>
            </w:r>
            <w:proofErr w:type="gramStart"/>
            <w:r w:rsidRPr="00ED4D49">
              <w:rPr>
                <w:rFonts w:cs="Calibri"/>
                <w:sz w:val="16"/>
                <w:szCs w:val="16"/>
                <w:lang w:val="en-US"/>
              </w:rPr>
              <w:t>Bridge ,</w:t>
            </w:r>
            <w:proofErr w:type="gramEnd"/>
            <w:r w:rsidRPr="00ED4D49">
              <w:rPr>
                <w:rFonts w:cs="Calibri"/>
                <w:sz w:val="16"/>
                <w:szCs w:val="16"/>
                <w:lang w:val="en-US"/>
              </w:rPr>
              <w:t xml:space="preserve"> the historic monument</w:t>
            </w:r>
          </w:p>
        </w:tc>
      </w:tr>
      <w:tr w:rsidR="00284391" w:rsidRPr="00ED4D49" w14:paraId="02E33839" w14:textId="77777777" w:rsidTr="00284391">
        <w:tc>
          <w:tcPr>
            <w:tcW w:w="1751" w:type="dxa"/>
            <w:vMerge w:val="restart"/>
            <w:shd w:val="clear" w:color="auto" w:fill="auto"/>
            <w:vAlign w:val="center"/>
          </w:tcPr>
          <w:p w14:paraId="651AC32E" w14:textId="77777777" w:rsidR="00284391" w:rsidRPr="00ED4D49" w:rsidRDefault="00284391" w:rsidP="00C27BB5">
            <w:pPr>
              <w:autoSpaceDE w:val="0"/>
              <w:autoSpaceDN w:val="0"/>
              <w:adjustRightInd w:val="0"/>
              <w:spacing w:before="0" w:after="0" w:line="240" w:lineRule="auto"/>
              <w:rPr>
                <w:rFonts w:cs="Calibri"/>
                <w:sz w:val="16"/>
                <w:szCs w:val="16"/>
                <w:lang w:val="en-US"/>
              </w:rPr>
            </w:pPr>
            <w:proofErr w:type="spellStart"/>
            <w:r w:rsidRPr="00ED4D49">
              <w:rPr>
                <w:rFonts w:cs="Calibri"/>
                <w:sz w:val="16"/>
                <w:szCs w:val="16"/>
                <w:lang w:val="en-US"/>
              </w:rPr>
              <w:t>Milići</w:t>
            </w:r>
            <w:proofErr w:type="spellEnd"/>
          </w:p>
        </w:tc>
        <w:tc>
          <w:tcPr>
            <w:tcW w:w="7259" w:type="dxa"/>
            <w:shd w:val="clear" w:color="auto" w:fill="auto"/>
            <w:vAlign w:val="center"/>
          </w:tcPr>
          <w:p w14:paraId="4EBEA596" w14:textId="77777777" w:rsidR="00284391" w:rsidRPr="00ED4D49" w:rsidRDefault="00284391" w:rsidP="00C27BB5">
            <w:pPr>
              <w:autoSpaceDE w:val="0"/>
              <w:autoSpaceDN w:val="0"/>
              <w:adjustRightInd w:val="0"/>
              <w:spacing w:before="0" w:after="0" w:line="240" w:lineRule="auto"/>
              <w:rPr>
                <w:rFonts w:cs="Calibri"/>
                <w:sz w:val="16"/>
                <w:szCs w:val="16"/>
                <w:lang w:val="en-US"/>
              </w:rPr>
            </w:pPr>
            <w:r w:rsidRPr="00ED4D49">
              <w:rPr>
                <w:rFonts w:cs="Calibri"/>
                <w:sz w:val="16"/>
                <w:szCs w:val="16"/>
                <w:lang w:val="en-US"/>
              </w:rPr>
              <w:t xml:space="preserve">Musa Pasha mosque in Nova </w:t>
            </w:r>
            <w:proofErr w:type="spellStart"/>
            <w:r w:rsidRPr="00ED4D49">
              <w:rPr>
                <w:rFonts w:cs="Calibri"/>
                <w:sz w:val="16"/>
                <w:szCs w:val="16"/>
                <w:lang w:val="en-US"/>
              </w:rPr>
              <w:t>Kasaba</w:t>
            </w:r>
            <w:proofErr w:type="spellEnd"/>
            <w:r w:rsidRPr="00ED4D49">
              <w:rPr>
                <w:rFonts w:cs="Calibri"/>
                <w:sz w:val="16"/>
                <w:szCs w:val="16"/>
                <w:lang w:val="en-US"/>
              </w:rPr>
              <w:t>/</w:t>
            </w:r>
            <w:proofErr w:type="spellStart"/>
            <w:r w:rsidRPr="00ED4D49">
              <w:rPr>
                <w:rFonts w:cs="Calibri"/>
                <w:sz w:val="16"/>
                <w:szCs w:val="16"/>
                <w:lang w:val="en-US"/>
              </w:rPr>
              <w:t>Dusanovo</w:t>
            </w:r>
            <w:proofErr w:type="spellEnd"/>
            <w:r w:rsidRPr="00ED4D49">
              <w:rPr>
                <w:rFonts w:cs="Calibri"/>
                <w:sz w:val="16"/>
                <w:szCs w:val="16"/>
                <w:lang w:val="en-US"/>
              </w:rPr>
              <w:t>, site and remains of the architectural ensemble</w:t>
            </w:r>
          </w:p>
        </w:tc>
      </w:tr>
      <w:tr w:rsidR="00284391" w:rsidRPr="00ED4D49" w14:paraId="52AC41C7" w14:textId="77777777" w:rsidTr="00284391">
        <w:tc>
          <w:tcPr>
            <w:tcW w:w="1751" w:type="dxa"/>
            <w:vMerge/>
            <w:shd w:val="clear" w:color="auto" w:fill="auto"/>
            <w:vAlign w:val="center"/>
          </w:tcPr>
          <w:p w14:paraId="61F0962E" w14:textId="77777777" w:rsidR="00284391" w:rsidRPr="00ED4D49" w:rsidRDefault="00284391" w:rsidP="00C27BB5">
            <w:pPr>
              <w:autoSpaceDE w:val="0"/>
              <w:autoSpaceDN w:val="0"/>
              <w:adjustRightInd w:val="0"/>
              <w:spacing w:before="0" w:after="0" w:line="240" w:lineRule="auto"/>
              <w:rPr>
                <w:rFonts w:cs="Calibri"/>
                <w:sz w:val="16"/>
                <w:szCs w:val="16"/>
                <w:lang w:val="en-US"/>
              </w:rPr>
            </w:pPr>
          </w:p>
        </w:tc>
        <w:tc>
          <w:tcPr>
            <w:tcW w:w="7259" w:type="dxa"/>
            <w:shd w:val="clear" w:color="auto" w:fill="auto"/>
            <w:vAlign w:val="center"/>
          </w:tcPr>
          <w:p w14:paraId="65BE5ABF" w14:textId="77777777" w:rsidR="00284391" w:rsidRPr="00ED4D49" w:rsidRDefault="00284391" w:rsidP="00C27BB5">
            <w:pPr>
              <w:autoSpaceDE w:val="0"/>
              <w:autoSpaceDN w:val="0"/>
              <w:adjustRightInd w:val="0"/>
              <w:spacing w:before="0" w:after="0" w:line="240" w:lineRule="auto"/>
              <w:rPr>
                <w:rFonts w:cs="Calibri"/>
                <w:sz w:val="16"/>
                <w:szCs w:val="16"/>
                <w:lang w:val="en-US"/>
              </w:rPr>
            </w:pPr>
            <w:proofErr w:type="spellStart"/>
            <w:r w:rsidRPr="00ED4D49">
              <w:rPr>
                <w:sz w:val="16"/>
                <w:szCs w:val="16"/>
                <w:lang w:val="en-US"/>
              </w:rPr>
              <w:t>Mezarluci</w:t>
            </w:r>
            <w:proofErr w:type="spellEnd"/>
            <w:r w:rsidRPr="00ED4D49">
              <w:rPr>
                <w:sz w:val="16"/>
                <w:szCs w:val="16"/>
                <w:lang w:val="en-US"/>
              </w:rPr>
              <w:t xml:space="preserve"> - the New </w:t>
            </w:r>
            <w:proofErr w:type="spellStart"/>
            <w:r w:rsidRPr="00ED4D49">
              <w:rPr>
                <w:sz w:val="16"/>
                <w:szCs w:val="16"/>
                <w:lang w:val="en-US"/>
              </w:rPr>
              <w:t>Kasaba</w:t>
            </w:r>
            <w:proofErr w:type="spellEnd"/>
            <w:r w:rsidRPr="00ED4D49">
              <w:rPr>
                <w:sz w:val="16"/>
                <w:szCs w:val="16"/>
                <w:lang w:val="en-US"/>
              </w:rPr>
              <w:t xml:space="preserve"> Muslim Cemetery.</w:t>
            </w:r>
          </w:p>
        </w:tc>
      </w:tr>
      <w:tr w:rsidR="00284391" w:rsidRPr="00ED4D49" w14:paraId="2ED7B0C4" w14:textId="77777777" w:rsidTr="00284391">
        <w:tc>
          <w:tcPr>
            <w:tcW w:w="1751" w:type="dxa"/>
            <w:vMerge/>
            <w:shd w:val="clear" w:color="auto" w:fill="auto"/>
            <w:vAlign w:val="center"/>
          </w:tcPr>
          <w:p w14:paraId="35645AD1" w14:textId="77777777" w:rsidR="00284391" w:rsidRPr="00ED4D49" w:rsidRDefault="00284391" w:rsidP="00C27BB5">
            <w:pPr>
              <w:autoSpaceDE w:val="0"/>
              <w:autoSpaceDN w:val="0"/>
              <w:adjustRightInd w:val="0"/>
              <w:spacing w:before="0" w:after="0" w:line="240" w:lineRule="auto"/>
              <w:rPr>
                <w:rFonts w:cs="Calibri"/>
                <w:sz w:val="16"/>
                <w:szCs w:val="16"/>
                <w:lang w:val="en-US"/>
              </w:rPr>
            </w:pPr>
          </w:p>
        </w:tc>
        <w:tc>
          <w:tcPr>
            <w:tcW w:w="7259" w:type="dxa"/>
            <w:shd w:val="clear" w:color="auto" w:fill="auto"/>
            <w:vAlign w:val="center"/>
          </w:tcPr>
          <w:p w14:paraId="65FCD080" w14:textId="77777777" w:rsidR="00284391" w:rsidRPr="00ED4D49" w:rsidRDefault="00284391" w:rsidP="00C27BB5">
            <w:pPr>
              <w:autoSpaceDE w:val="0"/>
              <w:autoSpaceDN w:val="0"/>
              <w:adjustRightInd w:val="0"/>
              <w:spacing w:before="0" w:after="0" w:line="240" w:lineRule="auto"/>
              <w:rPr>
                <w:rFonts w:cs="Calibri"/>
                <w:sz w:val="16"/>
                <w:szCs w:val="16"/>
                <w:lang w:val="en-US"/>
              </w:rPr>
            </w:pPr>
            <w:r w:rsidRPr="00ED4D49">
              <w:rPr>
                <w:sz w:val="16"/>
                <w:szCs w:val="16"/>
                <w:lang w:val="en-US"/>
              </w:rPr>
              <w:t xml:space="preserve">Serbian Orthodox cemetery, </w:t>
            </w:r>
            <w:proofErr w:type="spellStart"/>
            <w:r w:rsidRPr="00ED4D49">
              <w:rPr>
                <w:sz w:val="16"/>
                <w:szCs w:val="16"/>
                <w:lang w:val="en-US"/>
              </w:rPr>
              <w:t>Milići</w:t>
            </w:r>
            <w:proofErr w:type="spellEnd"/>
            <w:r w:rsidRPr="00ED4D49">
              <w:rPr>
                <w:sz w:val="16"/>
                <w:szCs w:val="16"/>
                <w:lang w:val="en-US"/>
              </w:rPr>
              <w:t xml:space="preserve"> (over 100 stone tombstones)</w:t>
            </w:r>
          </w:p>
        </w:tc>
      </w:tr>
      <w:tr w:rsidR="00284391" w:rsidRPr="00ED4D49" w14:paraId="064A4F68" w14:textId="77777777" w:rsidTr="00284391">
        <w:tc>
          <w:tcPr>
            <w:tcW w:w="1751" w:type="dxa"/>
            <w:vMerge w:val="restart"/>
            <w:shd w:val="clear" w:color="auto" w:fill="auto"/>
            <w:vAlign w:val="center"/>
          </w:tcPr>
          <w:p w14:paraId="23A5291E" w14:textId="77777777" w:rsidR="00284391" w:rsidRPr="00ED4D49" w:rsidRDefault="00284391" w:rsidP="00C27BB5">
            <w:pPr>
              <w:autoSpaceDE w:val="0"/>
              <w:autoSpaceDN w:val="0"/>
              <w:adjustRightInd w:val="0"/>
              <w:spacing w:before="0" w:after="0" w:line="240" w:lineRule="auto"/>
              <w:rPr>
                <w:rFonts w:cs="Calibri"/>
                <w:sz w:val="16"/>
                <w:szCs w:val="16"/>
                <w:lang w:val="en-US"/>
              </w:rPr>
            </w:pPr>
            <w:r w:rsidRPr="00ED4D49">
              <w:rPr>
                <w:rFonts w:cs="Calibri"/>
                <w:sz w:val="16"/>
                <w:szCs w:val="16"/>
                <w:lang w:val="en-US"/>
              </w:rPr>
              <w:t xml:space="preserve">Novo </w:t>
            </w:r>
            <w:proofErr w:type="spellStart"/>
            <w:r w:rsidRPr="00ED4D49">
              <w:rPr>
                <w:rFonts w:cs="Calibri"/>
                <w:sz w:val="16"/>
                <w:szCs w:val="16"/>
                <w:lang w:val="en-US"/>
              </w:rPr>
              <w:t>Goražde</w:t>
            </w:r>
            <w:proofErr w:type="spellEnd"/>
          </w:p>
        </w:tc>
        <w:tc>
          <w:tcPr>
            <w:tcW w:w="7259" w:type="dxa"/>
            <w:shd w:val="clear" w:color="auto" w:fill="auto"/>
            <w:vAlign w:val="center"/>
          </w:tcPr>
          <w:p w14:paraId="12273C8B" w14:textId="77777777" w:rsidR="00284391" w:rsidRPr="00ED4D49" w:rsidRDefault="00284391" w:rsidP="00C27BB5">
            <w:pPr>
              <w:autoSpaceDE w:val="0"/>
              <w:autoSpaceDN w:val="0"/>
              <w:adjustRightInd w:val="0"/>
              <w:spacing w:before="0" w:after="0" w:line="240" w:lineRule="auto"/>
              <w:rPr>
                <w:rFonts w:cs="Calibri"/>
                <w:sz w:val="16"/>
                <w:szCs w:val="16"/>
                <w:lang w:val="en-US"/>
              </w:rPr>
            </w:pPr>
            <w:r w:rsidRPr="00ED4D49">
              <w:rPr>
                <w:rFonts w:cs="Calibri"/>
                <w:sz w:val="16"/>
                <w:szCs w:val="16"/>
                <w:lang w:val="en-US"/>
              </w:rPr>
              <w:t xml:space="preserve">Church of St. George in </w:t>
            </w:r>
            <w:proofErr w:type="spellStart"/>
            <w:r w:rsidRPr="00ED4D49">
              <w:rPr>
                <w:rFonts w:cs="Calibri"/>
                <w:sz w:val="16"/>
                <w:szCs w:val="16"/>
                <w:lang w:val="en-US"/>
              </w:rPr>
              <w:t>Sopotnica</w:t>
            </w:r>
            <w:proofErr w:type="spellEnd"/>
            <w:r w:rsidRPr="00ED4D49">
              <w:rPr>
                <w:rFonts w:cs="Calibri"/>
                <w:sz w:val="16"/>
                <w:szCs w:val="16"/>
                <w:lang w:val="en-US"/>
              </w:rPr>
              <w:t>, the architectural ensemble</w:t>
            </w:r>
          </w:p>
        </w:tc>
      </w:tr>
      <w:tr w:rsidR="00284391" w:rsidRPr="00ED4D49" w14:paraId="20474B19" w14:textId="77777777" w:rsidTr="00284391">
        <w:tc>
          <w:tcPr>
            <w:tcW w:w="1751" w:type="dxa"/>
            <w:vMerge/>
            <w:shd w:val="clear" w:color="auto" w:fill="auto"/>
            <w:vAlign w:val="center"/>
          </w:tcPr>
          <w:p w14:paraId="6BD4F104" w14:textId="77777777" w:rsidR="00284391" w:rsidRPr="00ED4D49" w:rsidRDefault="00284391" w:rsidP="00C27BB5">
            <w:pPr>
              <w:autoSpaceDE w:val="0"/>
              <w:autoSpaceDN w:val="0"/>
              <w:adjustRightInd w:val="0"/>
              <w:spacing w:before="0" w:after="0" w:line="240" w:lineRule="auto"/>
              <w:rPr>
                <w:rFonts w:cs="Calibri"/>
                <w:sz w:val="16"/>
                <w:szCs w:val="16"/>
                <w:lang w:val="en-US"/>
              </w:rPr>
            </w:pPr>
          </w:p>
        </w:tc>
        <w:tc>
          <w:tcPr>
            <w:tcW w:w="7259" w:type="dxa"/>
            <w:shd w:val="clear" w:color="auto" w:fill="auto"/>
            <w:vAlign w:val="center"/>
          </w:tcPr>
          <w:p w14:paraId="632F150C" w14:textId="77777777" w:rsidR="00284391" w:rsidRPr="00ED4D49" w:rsidRDefault="00284391" w:rsidP="00C27BB5">
            <w:pPr>
              <w:autoSpaceDE w:val="0"/>
              <w:autoSpaceDN w:val="0"/>
              <w:adjustRightInd w:val="0"/>
              <w:spacing w:before="0" w:after="0" w:line="240" w:lineRule="auto"/>
              <w:rPr>
                <w:rFonts w:cs="Calibri"/>
                <w:sz w:val="16"/>
                <w:szCs w:val="16"/>
                <w:lang w:val="en-US"/>
              </w:rPr>
            </w:pPr>
            <w:r w:rsidRPr="00ED4D49">
              <w:rPr>
                <w:rFonts w:cs="Calibri"/>
                <w:sz w:val="16"/>
                <w:szCs w:val="16"/>
                <w:lang w:val="en-US"/>
              </w:rPr>
              <w:t>The old town of Samobor, the architectural ensemble</w:t>
            </w:r>
          </w:p>
        </w:tc>
      </w:tr>
      <w:tr w:rsidR="00284391" w:rsidRPr="00ED4D49" w14:paraId="65BAC223" w14:textId="77777777" w:rsidTr="00284391">
        <w:tc>
          <w:tcPr>
            <w:tcW w:w="1751" w:type="dxa"/>
            <w:vMerge/>
            <w:shd w:val="clear" w:color="auto" w:fill="auto"/>
            <w:vAlign w:val="center"/>
          </w:tcPr>
          <w:p w14:paraId="6A18BA79" w14:textId="77777777" w:rsidR="00284391" w:rsidRPr="00ED4D49" w:rsidRDefault="00284391" w:rsidP="00C27BB5">
            <w:pPr>
              <w:autoSpaceDE w:val="0"/>
              <w:autoSpaceDN w:val="0"/>
              <w:adjustRightInd w:val="0"/>
              <w:spacing w:before="0" w:after="0" w:line="240" w:lineRule="auto"/>
              <w:rPr>
                <w:rFonts w:cs="Calibri"/>
                <w:sz w:val="16"/>
                <w:szCs w:val="16"/>
                <w:lang w:val="en-US"/>
              </w:rPr>
            </w:pPr>
          </w:p>
        </w:tc>
        <w:tc>
          <w:tcPr>
            <w:tcW w:w="7259" w:type="dxa"/>
            <w:shd w:val="clear" w:color="auto" w:fill="auto"/>
            <w:vAlign w:val="center"/>
          </w:tcPr>
          <w:p w14:paraId="51B69D3B" w14:textId="77777777" w:rsidR="00284391" w:rsidRPr="00ED4D49" w:rsidRDefault="00284391" w:rsidP="00C27BB5">
            <w:pPr>
              <w:autoSpaceDE w:val="0"/>
              <w:autoSpaceDN w:val="0"/>
              <w:adjustRightInd w:val="0"/>
              <w:spacing w:before="0" w:after="0" w:line="240" w:lineRule="auto"/>
              <w:rPr>
                <w:rFonts w:cs="Calibri"/>
                <w:sz w:val="16"/>
                <w:szCs w:val="16"/>
                <w:lang w:val="en-US"/>
              </w:rPr>
            </w:pPr>
            <w:r w:rsidRPr="00ED4D49">
              <w:rPr>
                <w:sz w:val="16"/>
                <w:szCs w:val="16"/>
                <w:lang w:val="en-US"/>
              </w:rPr>
              <w:t xml:space="preserve">Medieval Necropolis of </w:t>
            </w:r>
            <w:proofErr w:type="spellStart"/>
            <w:r w:rsidRPr="00ED4D49">
              <w:rPr>
                <w:sz w:val="16"/>
                <w:szCs w:val="16"/>
                <w:lang w:val="en-US"/>
              </w:rPr>
              <w:t>Kosača</w:t>
            </w:r>
            <w:proofErr w:type="spellEnd"/>
            <w:r w:rsidRPr="00ED4D49">
              <w:rPr>
                <w:sz w:val="16"/>
                <w:szCs w:val="16"/>
                <w:lang w:val="en-US"/>
              </w:rPr>
              <w:t>, historic site</w:t>
            </w:r>
          </w:p>
        </w:tc>
      </w:tr>
      <w:tr w:rsidR="00284391" w:rsidRPr="00ED4D49" w14:paraId="5E587442" w14:textId="77777777" w:rsidTr="00284391">
        <w:tc>
          <w:tcPr>
            <w:tcW w:w="1751" w:type="dxa"/>
            <w:vMerge/>
            <w:shd w:val="clear" w:color="auto" w:fill="auto"/>
            <w:vAlign w:val="center"/>
          </w:tcPr>
          <w:p w14:paraId="48B6B386" w14:textId="77777777" w:rsidR="00284391" w:rsidRPr="00ED4D49" w:rsidRDefault="00284391" w:rsidP="00C27BB5">
            <w:pPr>
              <w:autoSpaceDE w:val="0"/>
              <w:autoSpaceDN w:val="0"/>
              <w:adjustRightInd w:val="0"/>
              <w:spacing w:before="0" w:after="0" w:line="240" w:lineRule="auto"/>
              <w:rPr>
                <w:rFonts w:cs="Calibri"/>
                <w:sz w:val="16"/>
                <w:szCs w:val="16"/>
                <w:lang w:val="en-US"/>
              </w:rPr>
            </w:pPr>
          </w:p>
        </w:tc>
        <w:tc>
          <w:tcPr>
            <w:tcW w:w="7259" w:type="dxa"/>
            <w:shd w:val="clear" w:color="auto" w:fill="auto"/>
            <w:vAlign w:val="center"/>
          </w:tcPr>
          <w:p w14:paraId="2411EA5B" w14:textId="77777777" w:rsidR="00284391" w:rsidRPr="00ED4D49" w:rsidRDefault="00284391" w:rsidP="00C27BB5">
            <w:pPr>
              <w:autoSpaceDE w:val="0"/>
              <w:autoSpaceDN w:val="0"/>
              <w:adjustRightInd w:val="0"/>
              <w:spacing w:before="0" w:after="0" w:line="240" w:lineRule="auto"/>
              <w:rPr>
                <w:sz w:val="16"/>
                <w:szCs w:val="16"/>
                <w:lang w:val="en-US"/>
              </w:rPr>
            </w:pPr>
            <w:r w:rsidRPr="00ED4D49">
              <w:rPr>
                <w:sz w:val="16"/>
                <w:szCs w:val="16"/>
                <w:lang w:val="en-US"/>
              </w:rPr>
              <w:t xml:space="preserve">Necropolis </w:t>
            </w:r>
            <w:proofErr w:type="spellStart"/>
            <w:r w:rsidRPr="00ED4D49">
              <w:rPr>
                <w:sz w:val="16"/>
                <w:szCs w:val="16"/>
                <w:lang w:val="en-US"/>
              </w:rPr>
              <w:t>Hrančići</w:t>
            </w:r>
            <w:proofErr w:type="spellEnd"/>
            <w:r w:rsidRPr="00ED4D49">
              <w:rPr>
                <w:sz w:val="16"/>
                <w:szCs w:val="16"/>
                <w:lang w:val="en-US"/>
              </w:rPr>
              <w:t xml:space="preserve"> in </w:t>
            </w:r>
            <w:proofErr w:type="spellStart"/>
            <w:r w:rsidRPr="00ED4D49">
              <w:rPr>
                <w:sz w:val="16"/>
                <w:szCs w:val="16"/>
                <w:lang w:val="en-US"/>
              </w:rPr>
              <w:t>Goršić</w:t>
            </w:r>
            <w:proofErr w:type="spellEnd"/>
            <w:r w:rsidRPr="00ED4D49">
              <w:rPr>
                <w:sz w:val="16"/>
                <w:szCs w:val="16"/>
                <w:lang w:val="en-US"/>
              </w:rPr>
              <w:t xml:space="preserve"> Polje</w:t>
            </w:r>
          </w:p>
        </w:tc>
      </w:tr>
      <w:tr w:rsidR="00284391" w:rsidRPr="00ED4D49" w14:paraId="5C48E94D" w14:textId="77777777" w:rsidTr="00284391">
        <w:tc>
          <w:tcPr>
            <w:tcW w:w="1751" w:type="dxa"/>
            <w:vMerge/>
            <w:shd w:val="clear" w:color="auto" w:fill="auto"/>
            <w:vAlign w:val="center"/>
          </w:tcPr>
          <w:p w14:paraId="0270E198" w14:textId="77777777" w:rsidR="00284391" w:rsidRPr="00ED4D49" w:rsidRDefault="00284391" w:rsidP="00C27BB5">
            <w:pPr>
              <w:autoSpaceDE w:val="0"/>
              <w:autoSpaceDN w:val="0"/>
              <w:adjustRightInd w:val="0"/>
              <w:spacing w:before="0" w:after="0" w:line="240" w:lineRule="auto"/>
              <w:rPr>
                <w:rFonts w:cs="Calibri"/>
                <w:sz w:val="16"/>
                <w:szCs w:val="16"/>
                <w:lang w:val="en-US"/>
              </w:rPr>
            </w:pPr>
          </w:p>
        </w:tc>
        <w:tc>
          <w:tcPr>
            <w:tcW w:w="7259" w:type="dxa"/>
            <w:shd w:val="clear" w:color="auto" w:fill="auto"/>
            <w:vAlign w:val="center"/>
          </w:tcPr>
          <w:p w14:paraId="3F8B40FC" w14:textId="77777777" w:rsidR="00284391" w:rsidRPr="00ED4D49" w:rsidRDefault="00284391" w:rsidP="00C27BB5">
            <w:pPr>
              <w:autoSpaceDE w:val="0"/>
              <w:autoSpaceDN w:val="0"/>
              <w:adjustRightInd w:val="0"/>
              <w:spacing w:before="0" w:after="0" w:line="240" w:lineRule="auto"/>
              <w:rPr>
                <w:rFonts w:cs="Calibri"/>
                <w:sz w:val="16"/>
                <w:szCs w:val="16"/>
                <w:lang w:val="en-US"/>
              </w:rPr>
            </w:pPr>
            <w:r w:rsidRPr="00ED4D49">
              <w:rPr>
                <w:rFonts w:cs="Calibri"/>
                <w:sz w:val="16"/>
                <w:szCs w:val="16"/>
                <w:lang w:val="en-US"/>
              </w:rPr>
              <w:t xml:space="preserve">The Sijerčić Turbes with grave, the burial </w:t>
            </w:r>
            <w:proofErr w:type="spellStart"/>
            <w:r w:rsidRPr="00ED4D49">
              <w:rPr>
                <w:rFonts w:cs="Calibri"/>
                <w:sz w:val="16"/>
                <w:szCs w:val="16"/>
                <w:lang w:val="en-US"/>
              </w:rPr>
              <w:t>ensamble</w:t>
            </w:r>
            <w:proofErr w:type="spellEnd"/>
          </w:p>
        </w:tc>
      </w:tr>
      <w:tr w:rsidR="00284391" w:rsidRPr="00ED4D49" w14:paraId="77FEB347" w14:textId="77777777" w:rsidTr="00284391">
        <w:tc>
          <w:tcPr>
            <w:tcW w:w="1751" w:type="dxa"/>
            <w:vMerge w:val="restart"/>
            <w:shd w:val="clear" w:color="auto" w:fill="auto"/>
            <w:vAlign w:val="center"/>
          </w:tcPr>
          <w:p w14:paraId="742B1313" w14:textId="77777777" w:rsidR="00284391" w:rsidRPr="00ED4D49" w:rsidRDefault="00284391" w:rsidP="00C27BB5">
            <w:pPr>
              <w:autoSpaceDE w:val="0"/>
              <w:autoSpaceDN w:val="0"/>
              <w:adjustRightInd w:val="0"/>
              <w:spacing w:before="0" w:after="0" w:line="240" w:lineRule="auto"/>
              <w:rPr>
                <w:rFonts w:cs="Calibri"/>
                <w:sz w:val="16"/>
                <w:szCs w:val="16"/>
                <w:lang w:val="en-US"/>
              </w:rPr>
            </w:pPr>
            <w:r w:rsidRPr="00ED4D49">
              <w:rPr>
                <w:rFonts w:cs="Calibri"/>
                <w:sz w:val="16"/>
                <w:szCs w:val="16"/>
                <w:lang w:val="en-US"/>
              </w:rPr>
              <w:t>Pale</w:t>
            </w:r>
          </w:p>
        </w:tc>
        <w:tc>
          <w:tcPr>
            <w:tcW w:w="7259" w:type="dxa"/>
            <w:shd w:val="clear" w:color="auto" w:fill="auto"/>
            <w:vAlign w:val="center"/>
          </w:tcPr>
          <w:p w14:paraId="3387B385" w14:textId="77777777" w:rsidR="00284391" w:rsidRPr="00ED4D49" w:rsidRDefault="00284391" w:rsidP="00C27BB5">
            <w:pPr>
              <w:autoSpaceDE w:val="0"/>
              <w:autoSpaceDN w:val="0"/>
              <w:adjustRightInd w:val="0"/>
              <w:spacing w:before="0" w:after="0" w:line="240" w:lineRule="auto"/>
              <w:rPr>
                <w:rFonts w:cs="Calibri"/>
                <w:sz w:val="16"/>
                <w:szCs w:val="16"/>
                <w:lang w:val="en-US"/>
              </w:rPr>
            </w:pPr>
            <w:proofErr w:type="spellStart"/>
            <w:r w:rsidRPr="00ED4D49">
              <w:rPr>
                <w:rFonts w:cs="Calibri"/>
                <w:sz w:val="16"/>
                <w:szCs w:val="16"/>
                <w:lang w:val="en-US"/>
              </w:rPr>
              <w:t>Cekovic</w:t>
            </w:r>
            <w:proofErr w:type="spellEnd"/>
            <w:r w:rsidRPr="00ED4D49">
              <w:rPr>
                <w:rFonts w:cs="Calibri"/>
                <w:sz w:val="16"/>
                <w:szCs w:val="16"/>
                <w:lang w:val="en-US"/>
              </w:rPr>
              <w:t xml:space="preserve"> house, the historic building </w:t>
            </w:r>
            <w:proofErr w:type="spellStart"/>
            <w:r w:rsidRPr="00ED4D49">
              <w:rPr>
                <w:rFonts w:cs="Calibri"/>
                <w:sz w:val="16"/>
                <w:szCs w:val="16"/>
                <w:lang w:val="en-US"/>
              </w:rPr>
              <w:t>Hadzisabanovic</w:t>
            </w:r>
            <w:proofErr w:type="spellEnd"/>
            <w:r w:rsidRPr="00ED4D49">
              <w:rPr>
                <w:rFonts w:cs="Calibri"/>
                <w:sz w:val="16"/>
                <w:szCs w:val="16"/>
                <w:lang w:val="en-US"/>
              </w:rPr>
              <w:t xml:space="preserve"> villa</w:t>
            </w:r>
          </w:p>
        </w:tc>
      </w:tr>
      <w:tr w:rsidR="00284391" w:rsidRPr="00ED4D49" w14:paraId="1317BBB3" w14:textId="77777777" w:rsidTr="00284391">
        <w:tc>
          <w:tcPr>
            <w:tcW w:w="1751" w:type="dxa"/>
            <w:vMerge/>
            <w:shd w:val="clear" w:color="auto" w:fill="auto"/>
            <w:vAlign w:val="center"/>
          </w:tcPr>
          <w:p w14:paraId="0130B351" w14:textId="77777777" w:rsidR="00284391" w:rsidRPr="00ED4D49" w:rsidRDefault="00284391" w:rsidP="00C27BB5">
            <w:pPr>
              <w:autoSpaceDE w:val="0"/>
              <w:autoSpaceDN w:val="0"/>
              <w:adjustRightInd w:val="0"/>
              <w:spacing w:before="0" w:after="0" w:line="240" w:lineRule="auto"/>
              <w:rPr>
                <w:rFonts w:cs="Calibri"/>
                <w:sz w:val="16"/>
                <w:szCs w:val="16"/>
                <w:lang w:val="en-US"/>
              </w:rPr>
            </w:pPr>
          </w:p>
        </w:tc>
        <w:tc>
          <w:tcPr>
            <w:tcW w:w="7259" w:type="dxa"/>
            <w:shd w:val="clear" w:color="auto" w:fill="auto"/>
            <w:vAlign w:val="center"/>
          </w:tcPr>
          <w:p w14:paraId="445BDC1A" w14:textId="77777777" w:rsidR="00284391" w:rsidRPr="00ED4D49" w:rsidRDefault="00284391" w:rsidP="00C27BB5">
            <w:pPr>
              <w:autoSpaceDE w:val="0"/>
              <w:autoSpaceDN w:val="0"/>
              <w:adjustRightInd w:val="0"/>
              <w:spacing w:before="0" w:after="0" w:line="240" w:lineRule="auto"/>
              <w:rPr>
                <w:rFonts w:cs="Calibri"/>
                <w:sz w:val="16"/>
                <w:szCs w:val="16"/>
                <w:lang w:val="en-US"/>
              </w:rPr>
            </w:pPr>
            <w:r w:rsidRPr="00ED4D49">
              <w:rPr>
                <w:rFonts w:cs="Calibri"/>
                <w:sz w:val="16"/>
                <w:szCs w:val="16"/>
                <w:lang w:val="en-US"/>
              </w:rPr>
              <w:t xml:space="preserve">The necropolis with tombstones </w:t>
            </w:r>
            <w:proofErr w:type="spellStart"/>
            <w:r w:rsidRPr="00ED4D49">
              <w:rPr>
                <w:rFonts w:cs="Calibri"/>
                <w:sz w:val="16"/>
                <w:szCs w:val="16"/>
                <w:lang w:val="en-US"/>
              </w:rPr>
              <w:t>Mramorje</w:t>
            </w:r>
            <w:proofErr w:type="spellEnd"/>
            <w:r w:rsidRPr="00ED4D49">
              <w:rPr>
                <w:rFonts w:cs="Calibri"/>
                <w:sz w:val="16"/>
                <w:szCs w:val="16"/>
                <w:lang w:val="en-US"/>
              </w:rPr>
              <w:t xml:space="preserve"> in </w:t>
            </w:r>
            <w:proofErr w:type="spellStart"/>
            <w:r w:rsidRPr="00ED4D49">
              <w:rPr>
                <w:rFonts w:cs="Calibri"/>
                <w:sz w:val="16"/>
                <w:szCs w:val="16"/>
                <w:lang w:val="en-US"/>
              </w:rPr>
              <w:t>Budja</w:t>
            </w:r>
            <w:proofErr w:type="spellEnd"/>
            <w:r w:rsidRPr="00ED4D49">
              <w:rPr>
                <w:rFonts w:cs="Calibri"/>
                <w:sz w:val="16"/>
                <w:szCs w:val="16"/>
                <w:lang w:val="en-US"/>
              </w:rPr>
              <w:t>, the historic site</w:t>
            </w:r>
          </w:p>
        </w:tc>
      </w:tr>
      <w:tr w:rsidR="00284391" w:rsidRPr="00ED4D49" w14:paraId="06FD81B5" w14:textId="77777777" w:rsidTr="00284391">
        <w:tc>
          <w:tcPr>
            <w:tcW w:w="1751" w:type="dxa"/>
            <w:vMerge/>
            <w:shd w:val="clear" w:color="auto" w:fill="auto"/>
            <w:vAlign w:val="center"/>
          </w:tcPr>
          <w:p w14:paraId="10887056" w14:textId="77777777" w:rsidR="00284391" w:rsidRPr="00ED4D49" w:rsidRDefault="00284391" w:rsidP="00C27BB5">
            <w:pPr>
              <w:autoSpaceDE w:val="0"/>
              <w:autoSpaceDN w:val="0"/>
              <w:adjustRightInd w:val="0"/>
              <w:spacing w:before="0" w:after="0" w:line="240" w:lineRule="auto"/>
              <w:rPr>
                <w:rFonts w:cs="Calibri"/>
                <w:sz w:val="16"/>
                <w:szCs w:val="16"/>
                <w:lang w:val="en-US"/>
              </w:rPr>
            </w:pPr>
          </w:p>
        </w:tc>
        <w:tc>
          <w:tcPr>
            <w:tcW w:w="7259" w:type="dxa"/>
            <w:shd w:val="clear" w:color="auto" w:fill="auto"/>
            <w:vAlign w:val="center"/>
          </w:tcPr>
          <w:p w14:paraId="5D4A5075" w14:textId="77777777" w:rsidR="00284391" w:rsidRPr="00ED4D49" w:rsidRDefault="00284391" w:rsidP="00C27BB5">
            <w:pPr>
              <w:autoSpaceDE w:val="0"/>
              <w:autoSpaceDN w:val="0"/>
              <w:adjustRightInd w:val="0"/>
              <w:spacing w:before="0" w:after="0" w:line="240" w:lineRule="auto"/>
              <w:rPr>
                <w:rFonts w:cs="Calibri"/>
                <w:sz w:val="16"/>
                <w:szCs w:val="16"/>
                <w:lang w:val="en-US"/>
              </w:rPr>
            </w:pPr>
            <w:r w:rsidRPr="00ED4D49">
              <w:rPr>
                <w:rFonts w:cs="Calibri"/>
                <w:sz w:val="16"/>
                <w:szCs w:val="16"/>
                <w:lang w:val="en-US"/>
              </w:rPr>
              <w:t>The Orthodox Church of the Dormition of Holy Mother of God, the historic monument</w:t>
            </w:r>
          </w:p>
        </w:tc>
      </w:tr>
      <w:tr w:rsidR="00284391" w:rsidRPr="00ED4D49" w14:paraId="7D1970E2" w14:textId="77777777" w:rsidTr="00284391">
        <w:tc>
          <w:tcPr>
            <w:tcW w:w="1751" w:type="dxa"/>
            <w:vMerge/>
            <w:shd w:val="clear" w:color="auto" w:fill="auto"/>
            <w:vAlign w:val="center"/>
          </w:tcPr>
          <w:p w14:paraId="4665B121" w14:textId="77777777" w:rsidR="00284391" w:rsidRPr="00ED4D49" w:rsidRDefault="00284391" w:rsidP="00C27BB5">
            <w:pPr>
              <w:autoSpaceDE w:val="0"/>
              <w:autoSpaceDN w:val="0"/>
              <w:adjustRightInd w:val="0"/>
              <w:spacing w:before="0" w:after="0" w:line="240" w:lineRule="auto"/>
              <w:rPr>
                <w:rFonts w:cs="Calibri"/>
                <w:sz w:val="16"/>
                <w:szCs w:val="16"/>
                <w:lang w:val="en-US"/>
              </w:rPr>
            </w:pPr>
          </w:p>
        </w:tc>
        <w:tc>
          <w:tcPr>
            <w:tcW w:w="7259" w:type="dxa"/>
            <w:shd w:val="clear" w:color="auto" w:fill="auto"/>
            <w:vAlign w:val="center"/>
          </w:tcPr>
          <w:p w14:paraId="4649178E" w14:textId="77777777" w:rsidR="00284391" w:rsidRPr="00ED4D49" w:rsidRDefault="00284391" w:rsidP="00C27BB5">
            <w:pPr>
              <w:autoSpaceDE w:val="0"/>
              <w:autoSpaceDN w:val="0"/>
              <w:adjustRightInd w:val="0"/>
              <w:spacing w:before="0" w:after="0" w:line="240" w:lineRule="auto"/>
              <w:rPr>
                <w:rFonts w:cs="Calibri"/>
                <w:sz w:val="16"/>
                <w:szCs w:val="16"/>
                <w:lang w:val="en-US"/>
              </w:rPr>
            </w:pPr>
            <w:r w:rsidRPr="00ED4D49">
              <w:rPr>
                <w:rFonts w:cs="Calibri"/>
                <w:sz w:val="16"/>
                <w:szCs w:val="16"/>
                <w:lang w:val="en-US"/>
              </w:rPr>
              <w:t>The Roman Catholic Church of St. Joseph, the architectural ensemble</w:t>
            </w:r>
          </w:p>
        </w:tc>
      </w:tr>
      <w:tr w:rsidR="00284391" w:rsidRPr="00ED4D49" w14:paraId="5ED09280" w14:textId="77777777" w:rsidTr="00284391">
        <w:tc>
          <w:tcPr>
            <w:tcW w:w="1751" w:type="dxa"/>
            <w:vMerge w:val="restart"/>
            <w:shd w:val="clear" w:color="auto" w:fill="auto"/>
            <w:vAlign w:val="center"/>
          </w:tcPr>
          <w:p w14:paraId="540C872F" w14:textId="77777777" w:rsidR="00284391" w:rsidRPr="00ED4D49" w:rsidRDefault="00284391" w:rsidP="00C27BB5">
            <w:pPr>
              <w:autoSpaceDE w:val="0"/>
              <w:autoSpaceDN w:val="0"/>
              <w:adjustRightInd w:val="0"/>
              <w:spacing w:before="0" w:after="0" w:line="240" w:lineRule="auto"/>
              <w:rPr>
                <w:rFonts w:cs="Calibri"/>
                <w:sz w:val="16"/>
                <w:szCs w:val="16"/>
                <w:lang w:val="en-US"/>
              </w:rPr>
            </w:pPr>
            <w:r w:rsidRPr="00ED4D49">
              <w:rPr>
                <w:rFonts w:cs="Calibri"/>
                <w:sz w:val="16"/>
                <w:szCs w:val="16"/>
                <w:lang w:val="en-US"/>
              </w:rPr>
              <w:t>Rogatica</w:t>
            </w:r>
          </w:p>
        </w:tc>
        <w:tc>
          <w:tcPr>
            <w:tcW w:w="7259" w:type="dxa"/>
            <w:shd w:val="clear" w:color="auto" w:fill="auto"/>
            <w:vAlign w:val="center"/>
          </w:tcPr>
          <w:p w14:paraId="7FAB044A" w14:textId="77777777" w:rsidR="00284391" w:rsidRPr="00ED4D49" w:rsidRDefault="00284391" w:rsidP="00C27BB5">
            <w:pPr>
              <w:autoSpaceDE w:val="0"/>
              <w:autoSpaceDN w:val="0"/>
              <w:adjustRightInd w:val="0"/>
              <w:spacing w:before="0" w:after="0" w:line="240" w:lineRule="auto"/>
              <w:rPr>
                <w:rFonts w:cs="Calibri"/>
                <w:sz w:val="16"/>
                <w:szCs w:val="16"/>
                <w:lang w:val="en-US"/>
              </w:rPr>
            </w:pPr>
            <w:r w:rsidRPr="00ED4D49">
              <w:rPr>
                <w:rFonts w:cs="Calibri"/>
                <w:sz w:val="16"/>
                <w:szCs w:val="16"/>
                <w:lang w:val="en-US"/>
              </w:rPr>
              <w:t>Bridge on the river Zepa, the historic monument</w:t>
            </w:r>
          </w:p>
        </w:tc>
      </w:tr>
      <w:tr w:rsidR="00284391" w:rsidRPr="00ED4D49" w14:paraId="6B1AFAE3" w14:textId="77777777" w:rsidTr="00284391">
        <w:tc>
          <w:tcPr>
            <w:tcW w:w="1751" w:type="dxa"/>
            <w:vMerge/>
            <w:shd w:val="clear" w:color="auto" w:fill="auto"/>
            <w:vAlign w:val="center"/>
          </w:tcPr>
          <w:p w14:paraId="02913004" w14:textId="77777777" w:rsidR="00284391" w:rsidRPr="00ED4D49" w:rsidRDefault="00284391" w:rsidP="00C27BB5">
            <w:pPr>
              <w:autoSpaceDE w:val="0"/>
              <w:autoSpaceDN w:val="0"/>
              <w:adjustRightInd w:val="0"/>
              <w:spacing w:before="0" w:after="0" w:line="240" w:lineRule="auto"/>
              <w:rPr>
                <w:rFonts w:cs="Calibri"/>
                <w:sz w:val="16"/>
                <w:szCs w:val="16"/>
                <w:lang w:val="en-US"/>
              </w:rPr>
            </w:pPr>
          </w:p>
        </w:tc>
        <w:tc>
          <w:tcPr>
            <w:tcW w:w="7259" w:type="dxa"/>
            <w:shd w:val="clear" w:color="auto" w:fill="auto"/>
            <w:vAlign w:val="center"/>
          </w:tcPr>
          <w:p w14:paraId="16EBB211" w14:textId="77777777" w:rsidR="00284391" w:rsidRPr="00ED4D49" w:rsidRDefault="00284391" w:rsidP="00C27BB5">
            <w:pPr>
              <w:autoSpaceDE w:val="0"/>
              <w:autoSpaceDN w:val="0"/>
              <w:adjustRightInd w:val="0"/>
              <w:spacing w:before="0" w:after="0" w:line="240" w:lineRule="auto"/>
              <w:rPr>
                <w:rFonts w:cs="Calibri"/>
                <w:sz w:val="16"/>
                <w:szCs w:val="16"/>
                <w:lang w:val="en-US"/>
              </w:rPr>
            </w:pPr>
            <w:r w:rsidRPr="00ED4D49">
              <w:rPr>
                <w:rFonts w:cs="Calibri"/>
                <w:sz w:val="16"/>
                <w:szCs w:val="16"/>
                <w:lang w:val="en-US"/>
              </w:rPr>
              <w:t xml:space="preserve">The necropolis with </w:t>
            </w:r>
            <w:proofErr w:type="spellStart"/>
            <w:r w:rsidRPr="00ED4D49">
              <w:rPr>
                <w:rFonts w:cs="Calibri"/>
                <w:sz w:val="16"/>
                <w:szCs w:val="16"/>
                <w:lang w:val="en-US"/>
              </w:rPr>
              <w:t>stecak</w:t>
            </w:r>
            <w:proofErr w:type="spellEnd"/>
            <w:r w:rsidRPr="00ED4D49">
              <w:rPr>
                <w:rFonts w:cs="Calibri"/>
                <w:sz w:val="16"/>
                <w:szCs w:val="16"/>
                <w:lang w:val="en-US"/>
              </w:rPr>
              <w:t xml:space="preserve"> tombstones Borak (Han‐</w:t>
            </w:r>
            <w:proofErr w:type="spellStart"/>
            <w:r w:rsidRPr="00ED4D49">
              <w:rPr>
                <w:rFonts w:cs="Calibri"/>
                <w:sz w:val="16"/>
                <w:szCs w:val="16"/>
                <w:lang w:val="en-US"/>
              </w:rPr>
              <w:t>stjenicki</w:t>
            </w:r>
            <w:proofErr w:type="spellEnd"/>
            <w:r w:rsidRPr="00ED4D49">
              <w:rPr>
                <w:rFonts w:cs="Calibri"/>
                <w:sz w:val="16"/>
                <w:szCs w:val="16"/>
                <w:lang w:val="en-US"/>
              </w:rPr>
              <w:t xml:space="preserve"> plateau), village </w:t>
            </w:r>
            <w:proofErr w:type="spellStart"/>
            <w:r w:rsidRPr="00ED4D49">
              <w:rPr>
                <w:rFonts w:cs="Calibri"/>
                <w:sz w:val="16"/>
                <w:szCs w:val="16"/>
                <w:lang w:val="en-US"/>
              </w:rPr>
              <w:t>Burati</w:t>
            </w:r>
            <w:proofErr w:type="spellEnd"/>
            <w:r w:rsidRPr="00ED4D49">
              <w:rPr>
                <w:rFonts w:cs="Calibri"/>
                <w:sz w:val="16"/>
                <w:szCs w:val="16"/>
                <w:lang w:val="en-US"/>
              </w:rPr>
              <w:t>, the historic site</w:t>
            </w:r>
          </w:p>
        </w:tc>
      </w:tr>
      <w:tr w:rsidR="00284391" w:rsidRPr="00ED4D49" w14:paraId="11E72ECE" w14:textId="77777777" w:rsidTr="00284391">
        <w:tc>
          <w:tcPr>
            <w:tcW w:w="1751" w:type="dxa"/>
            <w:vMerge/>
            <w:shd w:val="clear" w:color="auto" w:fill="auto"/>
            <w:vAlign w:val="center"/>
          </w:tcPr>
          <w:p w14:paraId="0517B69A" w14:textId="77777777" w:rsidR="00284391" w:rsidRPr="00ED4D49" w:rsidRDefault="00284391" w:rsidP="00C27BB5">
            <w:pPr>
              <w:autoSpaceDE w:val="0"/>
              <w:autoSpaceDN w:val="0"/>
              <w:adjustRightInd w:val="0"/>
              <w:spacing w:before="0" w:after="0" w:line="240" w:lineRule="auto"/>
              <w:rPr>
                <w:rFonts w:cs="Calibri"/>
                <w:sz w:val="16"/>
                <w:szCs w:val="16"/>
                <w:lang w:val="en-US"/>
              </w:rPr>
            </w:pPr>
          </w:p>
        </w:tc>
        <w:tc>
          <w:tcPr>
            <w:tcW w:w="7259" w:type="dxa"/>
            <w:shd w:val="clear" w:color="auto" w:fill="auto"/>
            <w:vAlign w:val="center"/>
          </w:tcPr>
          <w:p w14:paraId="79C4E737" w14:textId="77777777" w:rsidR="00284391" w:rsidRPr="00ED4D49" w:rsidRDefault="00284391" w:rsidP="00C27BB5">
            <w:pPr>
              <w:autoSpaceDE w:val="0"/>
              <w:autoSpaceDN w:val="0"/>
              <w:adjustRightInd w:val="0"/>
              <w:spacing w:before="0" w:after="0" w:line="240" w:lineRule="auto"/>
              <w:rPr>
                <w:rFonts w:cs="Calibri"/>
                <w:sz w:val="16"/>
                <w:szCs w:val="16"/>
                <w:lang w:val="en-US"/>
              </w:rPr>
            </w:pPr>
            <w:r w:rsidRPr="00ED4D49">
              <w:rPr>
                <w:rFonts w:cs="Calibri"/>
                <w:sz w:val="16"/>
                <w:szCs w:val="16"/>
                <w:lang w:val="en-US"/>
              </w:rPr>
              <w:t>Recep Pasha tower in Zepa, the historic building</w:t>
            </w:r>
          </w:p>
        </w:tc>
      </w:tr>
      <w:tr w:rsidR="00284391" w:rsidRPr="00ED4D49" w14:paraId="418314A8" w14:textId="77777777" w:rsidTr="00284391">
        <w:tc>
          <w:tcPr>
            <w:tcW w:w="1751" w:type="dxa"/>
            <w:shd w:val="clear" w:color="auto" w:fill="auto"/>
            <w:vAlign w:val="center"/>
          </w:tcPr>
          <w:p w14:paraId="6CFB5832" w14:textId="77777777" w:rsidR="00284391" w:rsidRPr="00ED4D49" w:rsidRDefault="00284391" w:rsidP="00C27BB5">
            <w:pPr>
              <w:autoSpaceDE w:val="0"/>
              <w:autoSpaceDN w:val="0"/>
              <w:adjustRightInd w:val="0"/>
              <w:spacing w:before="0" w:after="0" w:line="240" w:lineRule="auto"/>
              <w:rPr>
                <w:rFonts w:cs="Calibri"/>
                <w:sz w:val="16"/>
                <w:szCs w:val="16"/>
                <w:lang w:val="en-US"/>
              </w:rPr>
            </w:pPr>
            <w:r w:rsidRPr="00ED4D49">
              <w:rPr>
                <w:rFonts w:cs="Calibri"/>
                <w:sz w:val="16"/>
                <w:szCs w:val="16"/>
                <w:lang w:val="en-US"/>
              </w:rPr>
              <w:t>Rudo</w:t>
            </w:r>
          </w:p>
        </w:tc>
        <w:tc>
          <w:tcPr>
            <w:tcW w:w="7259" w:type="dxa"/>
            <w:shd w:val="clear" w:color="auto" w:fill="auto"/>
            <w:vAlign w:val="center"/>
          </w:tcPr>
          <w:p w14:paraId="01735B52" w14:textId="77777777" w:rsidR="00284391" w:rsidRPr="00ED4D49" w:rsidRDefault="00284391" w:rsidP="00C27BB5">
            <w:pPr>
              <w:autoSpaceDE w:val="0"/>
              <w:autoSpaceDN w:val="0"/>
              <w:adjustRightInd w:val="0"/>
              <w:spacing w:before="0" w:after="0" w:line="240" w:lineRule="auto"/>
              <w:rPr>
                <w:rFonts w:cs="Calibri"/>
                <w:sz w:val="16"/>
                <w:szCs w:val="16"/>
                <w:lang w:val="en-US"/>
              </w:rPr>
            </w:pPr>
            <w:r w:rsidRPr="00ED4D49">
              <w:rPr>
                <w:rFonts w:cs="Calibri"/>
                <w:sz w:val="16"/>
                <w:szCs w:val="16"/>
                <w:lang w:val="en-US"/>
              </w:rPr>
              <w:t xml:space="preserve">Bridge on the </w:t>
            </w:r>
            <w:proofErr w:type="spellStart"/>
            <w:r w:rsidRPr="00ED4D49">
              <w:rPr>
                <w:rFonts w:cs="Calibri"/>
                <w:sz w:val="16"/>
                <w:szCs w:val="16"/>
                <w:lang w:val="en-US"/>
              </w:rPr>
              <w:t>Viševski</w:t>
            </w:r>
            <w:proofErr w:type="spellEnd"/>
            <w:r w:rsidRPr="00ED4D49">
              <w:rPr>
                <w:rFonts w:cs="Calibri"/>
                <w:sz w:val="16"/>
                <w:szCs w:val="16"/>
                <w:lang w:val="en-US"/>
              </w:rPr>
              <w:t xml:space="preserve"> creek in </w:t>
            </w:r>
            <w:proofErr w:type="spellStart"/>
            <w:r w:rsidRPr="00ED4D49">
              <w:rPr>
                <w:rFonts w:cs="Calibri"/>
                <w:sz w:val="16"/>
                <w:szCs w:val="16"/>
                <w:lang w:val="en-US"/>
              </w:rPr>
              <w:t>Dolovi</w:t>
            </w:r>
            <w:proofErr w:type="spellEnd"/>
            <w:r w:rsidRPr="00ED4D49">
              <w:rPr>
                <w:rFonts w:cs="Calibri"/>
                <w:sz w:val="16"/>
                <w:szCs w:val="16"/>
                <w:lang w:val="en-US"/>
              </w:rPr>
              <w:t>, the historic monument</w:t>
            </w:r>
          </w:p>
        </w:tc>
      </w:tr>
      <w:tr w:rsidR="00284391" w:rsidRPr="00ED4D49" w14:paraId="3E787BDA" w14:textId="77777777" w:rsidTr="00284391">
        <w:tc>
          <w:tcPr>
            <w:tcW w:w="1751" w:type="dxa"/>
            <w:vMerge w:val="restart"/>
            <w:shd w:val="clear" w:color="auto" w:fill="auto"/>
            <w:vAlign w:val="center"/>
          </w:tcPr>
          <w:p w14:paraId="5CBC4FE4" w14:textId="77777777" w:rsidR="00284391" w:rsidRPr="00ED4D49" w:rsidRDefault="00284391" w:rsidP="00C27BB5">
            <w:pPr>
              <w:autoSpaceDE w:val="0"/>
              <w:autoSpaceDN w:val="0"/>
              <w:adjustRightInd w:val="0"/>
              <w:spacing w:before="0" w:after="0" w:line="240" w:lineRule="auto"/>
              <w:rPr>
                <w:rFonts w:cs="Calibri"/>
                <w:sz w:val="16"/>
                <w:szCs w:val="16"/>
                <w:lang w:val="en-US"/>
              </w:rPr>
            </w:pPr>
            <w:proofErr w:type="spellStart"/>
            <w:r w:rsidRPr="00ED4D49">
              <w:rPr>
                <w:rFonts w:cs="Calibri"/>
                <w:sz w:val="16"/>
                <w:szCs w:val="16"/>
                <w:lang w:val="en-US"/>
              </w:rPr>
              <w:t>Šekovići</w:t>
            </w:r>
            <w:proofErr w:type="spellEnd"/>
          </w:p>
        </w:tc>
        <w:tc>
          <w:tcPr>
            <w:tcW w:w="7259" w:type="dxa"/>
            <w:shd w:val="clear" w:color="auto" w:fill="auto"/>
            <w:vAlign w:val="center"/>
          </w:tcPr>
          <w:p w14:paraId="3F51C17C" w14:textId="77777777" w:rsidR="00284391" w:rsidRPr="00ED4D49" w:rsidRDefault="00284391" w:rsidP="00C27BB5">
            <w:pPr>
              <w:autoSpaceDE w:val="0"/>
              <w:autoSpaceDN w:val="0"/>
              <w:adjustRightInd w:val="0"/>
              <w:spacing w:before="0" w:after="0" w:line="240" w:lineRule="auto"/>
              <w:rPr>
                <w:rFonts w:cs="Calibri"/>
                <w:sz w:val="16"/>
                <w:szCs w:val="16"/>
                <w:lang w:val="en-US"/>
              </w:rPr>
            </w:pPr>
            <w:r w:rsidRPr="00ED4D49">
              <w:rPr>
                <w:rFonts w:cs="Calibri"/>
                <w:sz w:val="16"/>
                <w:szCs w:val="16"/>
                <w:lang w:val="en-US"/>
              </w:rPr>
              <w:t xml:space="preserve">The </w:t>
            </w:r>
            <w:proofErr w:type="spellStart"/>
            <w:r w:rsidRPr="00ED4D49">
              <w:rPr>
                <w:rFonts w:cs="Calibri"/>
                <w:sz w:val="16"/>
                <w:szCs w:val="16"/>
                <w:lang w:val="en-US"/>
              </w:rPr>
              <w:t>Lomnica</w:t>
            </w:r>
            <w:proofErr w:type="spellEnd"/>
            <w:r w:rsidRPr="00ED4D49">
              <w:rPr>
                <w:rFonts w:cs="Calibri"/>
                <w:sz w:val="16"/>
                <w:szCs w:val="16"/>
                <w:lang w:val="en-US"/>
              </w:rPr>
              <w:t xml:space="preserve"> monastery, the natural and architectural ensemble</w:t>
            </w:r>
          </w:p>
        </w:tc>
      </w:tr>
      <w:tr w:rsidR="00284391" w:rsidRPr="00ED4D49" w14:paraId="6A1F43A4" w14:textId="77777777" w:rsidTr="00284391">
        <w:tc>
          <w:tcPr>
            <w:tcW w:w="1751" w:type="dxa"/>
            <w:vMerge/>
            <w:shd w:val="clear" w:color="auto" w:fill="auto"/>
            <w:vAlign w:val="center"/>
          </w:tcPr>
          <w:p w14:paraId="2F3430D0" w14:textId="77777777" w:rsidR="00284391" w:rsidRPr="00ED4D49" w:rsidRDefault="00284391" w:rsidP="00C27BB5">
            <w:pPr>
              <w:autoSpaceDE w:val="0"/>
              <w:autoSpaceDN w:val="0"/>
              <w:adjustRightInd w:val="0"/>
              <w:spacing w:before="0" w:after="0" w:line="240" w:lineRule="auto"/>
              <w:rPr>
                <w:rFonts w:cs="Calibri"/>
                <w:sz w:val="16"/>
                <w:szCs w:val="16"/>
                <w:lang w:val="en-US"/>
              </w:rPr>
            </w:pPr>
          </w:p>
        </w:tc>
        <w:tc>
          <w:tcPr>
            <w:tcW w:w="7259" w:type="dxa"/>
            <w:shd w:val="clear" w:color="auto" w:fill="auto"/>
            <w:vAlign w:val="center"/>
          </w:tcPr>
          <w:p w14:paraId="00417482" w14:textId="77777777" w:rsidR="00284391" w:rsidRPr="00ED4D49" w:rsidRDefault="00284391" w:rsidP="00C27BB5">
            <w:pPr>
              <w:autoSpaceDE w:val="0"/>
              <w:autoSpaceDN w:val="0"/>
              <w:adjustRightInd w:val="0"/>
              <w:spacing w:before="0" w:after="0" w:line="240" w:lineRule="auto"/>
              <w:rPr>
                <w:rFonts w:cs="Calibri"/>
                <w:sz w:val="16"/>
                <w:szCs w:val="16"/>
                <w:lang w:val="en-US"/>
              </w:rPr>
            </w:pPr>
            <w:r w:rsidRPr="00ED4D49">
              <w:rPr>
                <w:rFonts w:cs="Calibri"/>
                <w:sz w:val="16"/>
                <w:szCs w:val="16"/>
                <w:lang w:val="en-US"/>
              </w:rPr>
              <w:t xml:space="preserve">The </w:t>
            </w:r>
            <w:proofErr w:type="spellStart"/>
            <w:r w:rsidRPr="00ED4D49">
              <w:rPr>
                <w:rFonts w:cs="Calibri"/>
                <w:sz w:val="16"/>
                <w:szCs w:val="16"/>
                <w:lang w:val="en-US"/>
              </w:rPr>
              <w:t>Papraca</w:t>
            </w:r>
            <w:proofErr w:type="spellEnd"/>
            <w:r w:rsidRPr="00ED4D49">
              <w:rPr>
                <w:rFonts w:cs="Calibri"/>
                <w:sz w:val="16"/>
                <w:szCs w:val="16"/>
                <w:lang w:val="en-US"/>
              </w:rPr>
              <w:t xml:space="preserve"> monastery in </w:t>
            </w:r>
            <w:proofErr w:type="spellStart"/>
            <w:r w:rsidRPr="00ED4D49">
              <w:rPr>
                <w:rFonts w:cs="Calibri"/>
                <w:sz w:val="16"/>
                <w:szCs w:val="16"/>
                <w:lang w:val="en-US"/>
              </w:rPr>
              <w:t>Papraca</w:t>
            </w:r>
            <w:proofErr w:type="spellEnd"/>
            <w:r w:rsidRPr="00ED4D49">
              <w:rPr>
                <w:rFonts w:cs="Calibri"/>
                <w:sz w:val="16"/>
                <w:szCs w:val="16"/>
                <w:lang w:val="en-US"/>
              </w:rPr>
              <w:t>, the architectural ensemble</w:t>
            </w:r>
          </w:p>
        </w:tc>
      </w:tr>
      <w:tr w:rsidR="00284391" w:rsidRPr="00ED4D49" w14:paraId="66FF6787" w14:textId="77777777" w:rsidTr="00284391">
        <w:tc>
          <w:tcPr>
            <w:tcW w:w="1751" w:type="dxa"/>
            <w:vMerge/>
            <w:shd w:val="clear" w:color="auto" w:fill="auto"/>
            <w:vAlign w:val="center"/>
          </w:tcPr>
          <w:p w14:paraId="4C72CF0F" w14:textId="77777777" w:rsidR="00284391" w:rsidRPr="00ED4D49" w:rsidRDefault="00284391" w:rsidP="00C27BB5">
            <w:pPr>
              <w:autoSpaceDE w:val="0"/>
              <w:autoSpaceDN w:val="0"/>
              <w:adjustRightInd w:val="0"/>
              <w:spacing w:before="0" w:after="0" w:line="240" w:lineRule="auto"/>
              <w:rPr>
                <w:rFonts w:cs="Calibri"/>
                <w:sz w:val="16"/>
                <w:szCs w:val="16"/>
                <w:lang w:val="en-US"/>
              </w:rPr>
            </w:pPr>
          </w:p>
        </w:tc>
        <w:tc>
          <w:tcPr>
            <w:tcW w:w="7259" w:type="dxa"/>
            <w:shd w:val="clear" w:color="auto" w:fill="auto"/>
            <w:vAlign w:val="center"/>
          </w:tcPr>
          <w:p w14:paraId="6B7E4A90" w14:textId="77777777" w:rsidR="00284391" w:rsidRPr="00ED4D49" w:rsidRDefault="00284391" w:rsidP="00C27BB5">
            <w:pPr>
              <w:autoSpaceDE w:val="0"/>
              <w:autoSpaceDN w:val="0"/>
              <w:adjustRightInd w:val="0"/>
              <w:spacing w:before="0" w:after="0" w:line="240" w:lineRule="auto"/>
              <w:rPr>
                <w:rFonts w:cs="Calibri"/>
                <w:sz w:val="16"/>
                <w:szCs w:val="16"/>
                <w:lang w:val="en-US"/>
              </w:rPr>
            </w:pPr>
            <w:r w:rsidRPr="00ED4D49">
              <w:rPr>
                <w:rFonts w:cs="Calibri"/>
                <w:sz w:val="16"/>
                <w:szCs w:val="16"/>
                <w:lang w:val="en-US"/>
              </w:rPr>
              <w:t xml:space="preserve">The necropolis with </w:t>
            </w:r>
            <w:proofErr w:type="spellStart"/>
            <w:r w:rsidRPr="00ED4D49">
              <w:rPr>
                <w:rFonts w:cs="Calibri"/>
                <w:sz w:val="16"/>
                <w:szCs w:val="16"/>
                <w:lang w:val="en-US"/>
              </w:rPr>
              <w:t>stecak</w:t>
            </w:r>
            <w:proofErr w:type="spellEnd"/>
            <w:r w:rsidRPr="00ED4D49">
              <w:rPr>
                <w:rFonts w:cs="Calibri"/>
                <w:sz w:val="16"/>
                <w:szCs w:val="16"/>
                <w:lang w:val="en-US"/>
              </w:rPr>
              <w:t xml:space="preserve"> tombstones </w:t>
            </w:r>
            <w:proofErr w:type="spellStart"/>
            <w:r w:rsidRPr="00ED4D49">
              <w:rPr>
                <w:rFonts w:cs="Calibri"/>
                <w:sz w:val="16"/>
                <w:szCs w:val="16"/>
                <w:lang w:val="en-US"/>
              </w:rPr>
              <w:t>Trnovo</w:t>
            </w:r>
            <w:proofErr w:type="spellEnd"/>
            <w:r w:rsidRPr="00ED4D49">
              <w:rPr>
                <w:rFonts w:cs="Calibri"/>
                <w:sz w:val="16"/>
                <w:szCs w:val="16"/>
                <w:lang w:val="en-US"/>
              </w:rPr>
              <w:t xml:space="preserve"> 1, the historic site</w:t>
            </w:r>
          </w:p>
        </w:tc>
      </w:tr>
      <w:tr w:rsidR="00284391" w:rsidRPr="00ED4D49" w14:paraId="27356DAB" w14:textId="77777777" w:rsidTr="00284391">
        <w:tc>
          <w:tcPr>
            <w:tcW w:w="1751" w:type="dxa"/>
            <w:vMerge/>
            <w:shd w:val="clear" w:color="auto" w:fill="auto"/>
            <w:vAlign w:val="center"/>
          </w:tcPr>
          <w:p w14:paraId="6F339190" w14:textId="77777777" w:rsidR="00284391" w:rsidRPr="00ED4D49" w:rsidRDefault="00284391" w:rsidP="00C27BB5">
            <w:pPr>
              <w:autoSpaceDE w:val="0"/>
              <w:autoSpaceDN w:val="0"/>
              <w:adjustRightInd w:val="0"/>
              <w:spacing w:before="0" w:after="0" w:line="240" w:lineRule="auto"/>
              <w:rPr>
                <w:rFonts w:cs="Calibri"/>
                <w:sz w:val="16"/>
                <w:szCs w:val="16"/>
                <w:lang w:val="en-US"/>
              </w:rPr>
            </w:pPr>
          </w:p>
        </w:tc>
        <w:tc>
          <w:tcPr>
            <w:tcW w:w="7259" w:type="dxa"/>
            <w:shd w:val="clear" w:color="auto" w:fill="auto"/>
            <w:vAlign w:val="center"/>
          </w:tcPr>
          <w:p w14:paraId="28643441" w14:textId="77777777" w:rsidR="00284391" w:rsidRPr="00ED4D49" w:rsidRDefault="00284391" w:rsidP="00C27BB5">
            <w:pPr>
              <w:autoSpaceDE w:val="0"/>
              <w:autoSpaceDN w:val="0"/>
              <w:adjustRightInd w:val="0"/>
              <w:spacing w:before="0" w:after="0" w:line="240" w:lineRule="auto"/>
              <w:rPr>
                <w:rFonts w:cs="Calibri"/>
                <w:sz w:val="16"/>
                <w:szCs w:val="16"/>
                <w:lang w:val="en-US"/>
              </w:rPr>
            </w:pPr>
            <w:r w:rsidRPr="00ED4D49">
              <w:rPr>
                <w:rFonts w:cs="Calibri"/>
                <w:sz w:val="16"/>
                <w:szCs w:val="16"/>
                <w:lang w:val="en-US"/>
              </w:rPr>
              <w:t xml:space="preserve">The necropolis with </w:t>
            </w:r>
            <w:proofErr w:type="spellStart"/>
            <w:r w:rsidRPr="00ED4D49">
              <w:rPr>
                <w:rFonts w:cs="Calibri"/>
                <w:sz w:val="16"/>
                <w:szCs w:val="16"/>
                <w:lang w:val="en-US"/>
              </w:rPr>
              <w:t>stecak</w:t>
            </w:r>
            <w:proofErr w:type="spellEnd"/>
            <w:r w:rsidRPr="00ED4D49">
              <w:rPr>
                <w:rFonts w:cs="Calibri"/>
                <w:sz w:val="16"/>
                <w:szCs w:val="16"/>
                <w:lang w:val="en-US"/>
              </w:rPr>
              <w:t xml:space="preserve"> tombstones in </w:t>
            </w:r>
            <w:proofErr w:type="spellStart"/>
            <w:r w:rsidRPr="00ED4D49">
              <w:rPr>
                <w:rFonts w:cs="Calibri"/>
                <w:sz w:val="16"/>
                <w:szCs w:val="16"/>
                <w:lang w:val="en-US"/>
              </w:rPr>
              <w:t>Becani</w:t>
            </w:r>
            <w:proofErr w:type="spellEnd"/>
            <w:r w:rsidRPr="00ED4D49">
              <w:rPr>
                <w:rFonts w:cs="Calibri"/>
                <w:sz w:val="16"/>
                <w:szCs w:val="16"/>
                <w:lang w:val="en-US"/>
              </w:rPr>
              <w:t>, the historic site</w:t>
            </w:r>
          </w:p>
        </w:tc>
      </w:tr>
      <w:tr w:rsidR="00284391" w:rsidRPr="00ED4D49" w14:paraId="346D9F8F" w14:textId="77777777" w:rsidTr="00284391">
        <w:tc>
          <w:tcPr>
            <w:tcW w:w="1751" w:type="dxa"/>
            <w:vMerge w:val="restart"/>
            <w:shd w:val="clear" w:color="auto" w:fill="auto"/>
            <w:vAlign w:val="center"/>
          </w:tcPr>
          <w:p w14:paraId="47BCFA9C" w14:textId="77777777" w:rsidR="00284391" w:rsidRPr="00ED4D49" w:rsidRDefault="00284391" w:rsidP="00C27BB5">
            <w:pPr>
              <w:autoSpaceDE w:val="0"/>
              <w:autoSpaceDN w:val="0"/>
              <w:adjustRightInd w:val="0"/>
              <w:spacing w:before="0" w:after="0" w:line="240" w:lineRule="auto"/>
              <w:rPr>
                <w:rFonts w:cs="Calibri"/>
                <w:sz w:val="16"/>
                <w:szCs w:val="16"/>
                <w:lang w:val="en-US"/>
              </w:rPr>
            </w:pPr>
            <w:r w:rsidRPr="00ED4D49">
              <w:rPr>
                <w:rFonts w:cs="Calibri"/>
                <w:sz w:val="16"/>
                <w:szCs w:val="16"/>
                <w:lang w:val="en-US"/>
              </w:rPr>
              <w:t>Srebrenica</w:t>
            </w:r>
          </w:p>
        </w:tc>
        <w:tc>
          <w:tcPr>
            <w:tcW w:w="7259" w:type="dxa"/>
            <w:shd w:val="clear" w:color="auto" w:fill="auto"/>
            <w:vAlign w:val="center"/>
          </w:tcPr>
          <w:p w14:paraId="37E70312" w14:textId="77777777" w:rsidR="00284391" w:rsidRPr="00ED4D49" w:rsidRDefault="00284391" w:rsidP="00C27BB5">
            <w:pPr>
              <w:autoSpaceDE w:val="0"/>
              <w:autoSpaceDN w:val="0"/>
              <w:adjustRightInd w:val="0"/>
              <w:spacing w:before="0" w:after="0" w:line="240" w:lineRule="auto"/>
              <w:rPr>
                <w:rFonts w:cs="Calibri"/>
                <w:sz w:val="16"/>
                <w:szCs w:val="16"/>
                <w:lang w:val="en-US"/>
              </w:rPr>
            </w:pPr>
            <w:r w:rsidRPr="00ED4D49">
              <w:rPr>
                <w:rFonts w:cs="Calibri"/>
                <w:sz w:val="16"/>
                <w:szCs w:val="16"/>
                <w:lang w:val="en-US"/>
              </w:rPr>
              <w:t>The Lower Fort in Srebrenica, the historic site</w:t>
            </w:r>
          </w:p>
        </w:tc>
      </w:tr>
      <w:tr w:rsidR="00284391" w:rsidRPr="00ED4D49" w14:paraId="10B43A4F" w14:textId="77777777" w:rsidTr="00284391">
        <w:tc>
          <w:tcPr>
            <w:tcW w:w="1751" w:type="dxa"/>
            <w:vMerge/>
            <w:shd w:val="clear" w:color="auto" w:fill="auto"/>
            <w:vAlign w:val="center"/>
          </w:tcPr>
          <w:p w14:paraId="6C8EF881" w14:textId="77777777" w:rsidR="00284391" w:rsidRPr="00ED4D49" w:rsidRDefault="00284391" w:rsidP="00C27BB5">
            <w:pPr>
              <w:autoSpaceDE w:val="0"/>
              <w:autoSpaceDN w:val="0"/>
              <w:adjustRightInd w:val="0"/>
              <w:spacing w:before="0" w:after="0" w:line="240" w:lineRule="auto"/>
              <w:rPr>
                <w:rFonts w:cs="Calibri"/>
                <w:sz w:val="16"/>
                <w:szCs w:val="16"/>
                <w:lang w:val="en-US"/>
              </w:rPr>
            </w:pPr>
          </w:p>
        </w:tc>
        <w:tc>
          <w:tcPr>
            <w:tcW w:w="7259" w:type="dxa"/>
            <w:shd w:val="clear" w:color="auto" w:fill="auto"/>
            <w:vAlign w:val="center"/>
          </w:tcPr>
          <w:p w14:paraId="43E0589C" w14:textId="77777777" w:rsidR="00284391" w:rsidRPr="00ED4D49" w:rsidRDefault="00284391" w:rsidP="00C27BB5">
            <w:pPr>
              <w:autoSpaceDE w:val="0"/>
              <w:autoSpaceDN w:val="0"/>
              <w:adjustRightInd w:val="0"/>
              <w:spacing w:before="0" w:after="0" w:line="240" w:lineRule="auto"/>
              <w:rPr>
                <w:rFonts w:cs="Calibri"/>
                <w:sz w:val="16"/>
                <w:szCs w:val="16"/>
                <w:lang w:val="en-US"/>
              </w:rPr>
            </w:pPr>
            <w:r w:rsidRPr="00ED4D49">
              <w:rPr>
                <w:rFonts w:cs="Calibri"/>
                <w:sz w:val="16"/>
                <w:szCs w:val="16"/>
                <w:lang w:val="en-US"/>
              </w:rPr>
              <w:t xml:space="preserve">Mosque in </w:t>
            </w:r>
            <w:proofErr w:type="spellStart"/>
            <w:r w:rsidRPr="00ED4D49">
              <w:rPr>
                <w:rFonts w:cs="Calibri"/>
                <w:sz w:val="16"/>
                <w:szCs w:val="16"/>
                <w:lang w:val="en-US"/>
              </w:rPr>
              <w:t>Slapovici</w:t>
            </w:r>
            <w:proofErr w:type="spellEnd"/>
            <w:r w:rsidRPr="00ED4D49">
              <w:rPr>
                <w:rFonts w:cs="Calibri"/>
                <w:sz w:val="16"/>
                <w:szCs w:val="16"/>
                <w:lang w:val="en-US"/>
              </w:rPr>
              <w:t>, the historic building</w:t>
            </w:r>
          </w:p>
        </w:tc>
      </w:tr>
      <w:tr w:rsidR="00284391" w:rsidRPr="00ED4D49" w14:paraId="0E222553" w14:textId="77777777" w:rsidTr="00284391">
        <w:tc>
          <w:tcPr>
            <w:tcW w:w="1751" w:type="dxa"/>
            <w:vMerge/>
            <w:shd w:val="clear" w:color="auto" w:fill="auto"/>
            <w:vAlign w:val="center"/>
          </w:tcPr>
          <w:p w14:paraId="6D2D8FCF" w14:textId="77777777" w:rsidR="00284391" w:rsidRPr="00ED4D49" w:rsidRDefault="00284391" w:rsidP="00C27BB5">
            <w:pPr>
              <w:autoSpaceDE w:val="0"/>
              <w:autoSpaceDN w:val="0"/>
              <w:adjustRightInd w:val="0"/>
              <w:spacing w:before="0" w:after="0" w:line="240" w:lineRule="auto"/>
              <w:rPr>
                <w:rFonts w:cs="Calibri"/>
                <w:sz w:val="16"/>
                <w:szCs w:val="16"/>
                <w:lang w:val="en-US"/>
              </w:rPr>
            </w:pPr>
          </w:p>
        </w:tc>
        <w:tc>
          <w:tcPr>
            <w:tcW w:w="7259" w:type="dxa"/>
            <w:shd w:val="clear" w:color="auto" w:fill="auto"/>
            <w:vAlign w:val="center"/>
          </w:tcPr>
          <w:p w14:paraId="07F2F15D" w14:textId="77777777" w:rsidR="00284391" w:rsidRPr="00ED4D49" w:rsidRDefault="00284391" w:rsidP="00C27BB5">
            <w:pPr>
              <w:autoSpaceDE w:val="0"/>
              <w:autoSpaceDN w:val="0"/>
              <w:adjustRightInd w:val="0"/>
              <w:spacing w:before="0" w:after="0" w:line="240" w:lineRule="auto"/>
              <w:rPr>
                <w:rFonts w:cs="Calibri"/>
                <w:sz w:val="16"/>
                <w:szCs w:val="16"/>
                <w:lang w:val="en-US"/>
              </w:rPr>
            </w:pPr>
            <w:r w:rsidRPr="00ED4D49">
              <w:rPr>
                <w:rFonts w:cs="Calibri"/>
                <w:sz w:val="16"/>
                <w:szCs w:val="16"/>
                <w:lang w:val="en-US"/>
              </w:rPr>
              <w:t>Harem of the mosque Red River, the historic site</w:t>
            </w:r>
          </w:p>
        </w:tc>
      </w:tr>
      <w:tr w:rsidR="00284391" w:rsidRPr="00ED4D49" w14:paraId="5C3FC74E" w14:textId="77777777" w:rsidTr="00284391">
        <w:tc>
          <w:tcPr>
            <w:tcW w:w="1751" w:type="dxa"/>
            <w:vMerge/>
            <w:shd w:val="clear" w:color="auto" w:fill="auto"/>
            <w:vAlign w:val="center"/>
          </w:tcPr>
          <w:p w14:paraId="4EFE9EE5" w14:textId="77777777" w:rsidR="00284391" w:rsidRPr="00ED4D49" w:rsidRDefault="00284391" w:rsidP="00C27BB5">
            <w:pPr>
              <w:autoSpaceDE w:val="0"/>
              <w:autoSpaceDN w:val="0"/>
              <w:adjustRightInd w:val="0"/>
              <w:spacing w:before="0" w:after="0" w:line="240" w:lineRule="auto"/>
              <w:rPr>
                <w:rFonts w:cs="Calibri"/>
                <w:sz w:val="16"/>
                <w:szCs w:val="16"/>
                <w:lang w:val="en-US"/>
              </w:rPr>
            </w:pPr>
          </w:p>
        </w:tc>
        <w:tc>
          <w:tcPr>
            <w:tcW w:w="7259" w:type="dxa"/>
            <w:shd w:val="clear" w:color="auto" w:fill="auto"/>
            <w:vAlign w:val="center"/>
          </w:tcPr>
          <w:p w14:paraId="19228472" w14:textId="77777777" w:rsidR="00284391" w:rsidRPr="00ED4D49" w:rsidRDefault="00284391" w:rsidP="00C27BB5">
            <w:pPr>
              <w:autoSpaceDE w:val="0"/>
              <w:autoSpaceDN w:val="0"/>
              <w:adjustRightInd w:val="0"/>
              <w:spacing w:before="0" w:after="0" w:line="240" w:lineRule="auto"/>
              <w:rPr>
                <w:rFonts w:cs="Calibri"/>
                <w:sz w:val="16"/>
                <w:szCs w:val="16"/>
                <w:lang w:val="en-US"/>
              </w:rPr>
            </w:pPr>
            <w:r w:rsidRPr="00ED4D49">
              <w:rPr>
                <w:rFonts w:cs="Calibri"/>
                <w:sz w:val="16"/>
                <w:szCs w:val="16"/>
                <w:lang w:val="en-US"/>
              </w:rPr>
              <w:t xml:space="preserve">Harem of the mosque in Gornji </w:t>
            </w:r>
            <w:proofErr w:type="spellStart"/>
            <w:r w:rsidRPr="00ED4D49">
              <w:rPr>
                <w:rFonts w:cs="Calibri"/>
                <w:sz w:val="16"/>
                <w:szCs w:val="16"/>
                <w:lang w:val="en-US"/>
              </w:rPr>
              <w:t>Potocari</w:t>
            </w:r>
            <w:proofErr w:type="spellEnd"/>
            <w:r w:rsidRPr="00ED4D49">
              <w:rPr>
                <w:rFonts w:cs="Calibri"/>
                <w:sz w:val="16"/>
                <w:szCs w:val="16"/>
                <w:lang w:val="en-US"/>
              </w:rPr>
              <w:t>, the historic site</w:t>
            </w:r>
          </w:p>
        </w:tc>
      </w:tr>
      <w:tr w:rsidR="00284391" w:rsidRPr="00ED4D49" w14:paraId="1959983E" w14:textId="77777777" w:rsidTr="00284391">
        <w:tc>
          <w:tcPr>
            <w:tcW w:w="1751" w:type="dxa"/>
            <w:vMerge/>
            <w:shd w:val="clear" w:color="auto" w:fill="auto"/>
            <w:vAlign w:val="center"/>
          </w:tcPr>
          <w:p w14:paraId="15CDD687" w14:textId="77777777" w:rsidR="00284391" w:rsidRPr="00ED4D49" w:rsidRDefault="00284391" w:rsidP="00C27BB5">
            <w:pPr>
              <w:autoSpaceDE w:val="0"/>
              <w:autoSpaceDN w:val="0"/>
              <w:adjustRightInd w:val="0"/>
              <w:spacing w:before="0" w:after="0" w:line="240" w:lineRule="auto"/>
              <w:rPr>
                <w:rFonts w:cs="Calibri"/>
                <w:sz w:val="16"/>
                <w:szCs w:val="16"/>
                <w:lang w:val="en-US"/>
              </w:rPr>
            </w:pPr>
          </w:p>
        </w:tc>
        <w:tc>
          <w:tcPr>
            <w:tcW w:w="7259" w:type="dxa"/>
            <w:shd w:val="clear" w:color="auto" w:fill="auto"/>
            <w:vAlign w:val="center"/>
          </w:tcPr>
          <w:p w14:paraId="14ABAEB2" w14:textId="77777777" w:rsidR="00284391" w:rsidRPr="00ED4D49" w:rsidRDefault="00284391" w:rsidP="00C27BB5">
            <w:pPr>
              <w:autoSpaceDE w:val="0"/>
              <w:autoSpaceDN w:val="0"/>
              <w:adjustRightInd w:val="0"/>
              <w:spacing w:before="0" w:after="0" w:line="240" w:lineRule="auto"/>
              <w:rPr>
                <w:rFonts w:cs="Calibri"/>
                <w:sz w:val="16"/>
                <w:szCs w:val="16"/>
                <w:lang w:val="en-US"/>
              </w:rPr>
            </w:pPr>
            <w:r w:rsidRPr="00ED4D49">
              <w:rPr>
                <w:rFonts w:cs="Calibri"/>
                <w:sz w:val="16"/>
                <w:szCs w:val="16"/>
                <w:lang w:val="en-US"/>
              </w:rPr>
              <w:t xml:space="preserve">The sepulchral ensemble of the harem and two (shahids’) </w:t>
            </w:r>
            <w:proofErr w:type="spellStart"/>
            <w:r w:rsidRPr="00ED4D49">
              <w:rPr>
                <w:rFonts w:cs="Calibri"/>
                <w:sz w:val="16"/>
                <w:szCs w:val="16"/>
                <w:lang w:val="en-US"/>
              </w:rPr>
              <w:t>nišan</w:t>
            </w:r>
            <w:proofErr w:type="spellEnd"/>
            <w:r w:rsidRPr="00ED4D49">
              <w:rPr>
                <w:rFonts w:cs="Calibri"/>
                <w:sz w:val="16"/>
                <w:szCs w:val="16"/>
                <w:lang w:val="en-US"/>
              </w:rPr>
              <w:t xml:space="preserve"> gravestones in </w:t>
            </w:r>
            <w:proofErr w:type="spellStart"/>
            <w:r w:rsidRPr="00ED4D49">
              <w:rPr>
                <w:rFonts w:cs="Calibri"/>
                <w:sz w:val="16"/>
                <w:szCs w:val="16"/>
                <w:lang w:val="en-US"/>
              </w:rPr>
              <w:t>Slapovici</w:t>
            </w:r>
            <w:proofErr w:type="spellEnd"/>
          </w:p>
        </w:tc>
      </w:tr>
      <w:tr w:rsidR="00284391" w:rsidRPr="00ED4D49" w14:paraId="1E3E0FFC" w14:textId="77777777" w:rsidTr="00284391">
        <w:tc>
          <w:tcPr>
            <w:tcW w:w="1751" w:type="dxa"/>
            <w:vMerge/>
            <w:shd w:val="clear" w:color="auto" w:fill="auto"/>
            <w:vAlign w:val="center"/>
          </w:tcPr>
          <w:p w14:paraId="1D323122" w14:textId="77777777" w:rsidR="00284391" w:rsidRPr="00ED4D49" w:rsidRDefault="00284391" w:rsidP="00C27BB5">
            <w:pPr>
              <w:autoSpaceDE w:val="0"/>
              <w:autoSpaceDN w:val="0"/>
              <w:adjustRightInd w:val="0"/>
              <w:spacing w:before="0" w:after="0" w:line="240" w:lineRule="auto"/>
              <w:rPr>
                <w:rFonts w:cs="Calibri"/>
                <w:sz w:val="16"/>
                <w:szCs w:val="16"/>
                <w:lang w:val="en-US"/>
              </w:rPr>
            </w:pPr>
          </w:p>
        </w:tc>
        <w:tc>
          <w:tcPr>
            <w:tcW w:w="7259" w:type="dxa"/>
            <w:shd w:val="clear" w:color="auto" w:fill="auto"/>
            <w:vAlign w:val="center"/>
          </w:tcPr>
          <w:p w14:paraId="29939814" w14:textId="77777777" w:rsidR="00284391" w:rsidRPr="00ED4D49" w:rsidRDefault="00284391" w:rsidP="00C27BB5">
            <w:pPr>
              <w:autoSpaceDE w:val="0"/>
              <w:autoSpaceDN w:val="0"/>
              <w:adjustRightInd w:val="0"/>
              <w:spacing w:before="0" w:after="0" w:line="240" w:lineRule="auto"/>
              <w:rPr>
                <w:rFonts w:cs="Calibri"/>
                <w:sz w:val="16"/>
                <w:szCs w:val="16"/>
                <w:lang w:val="en-US"/>
              </w:rPr>
            </w:pPr>
            <w:r w:rsidRPr="00ED4D49">
              <w:rPr>
                <w:rFonts w:cs="Calibri"/>
                <w:sz w:val="16"/>
                <w:szCs w:val="16"/>
                <w:lang w:val="en-US"/>
              </w:rPr>
              <w:t xml:space="preserve">House of qadi Hajji Husayn </w:t>
            </w:r>
            <w:proofErr w:type="spellStart"/>
            <w:r w:rsidRPr="00ED4D49">
              <w:rPr>
                <w:rFonts w:cs="Calibri"/>
                <w:sz w:val="16"/>
                <w:szCs w:val="16"/>
                <w:lang w:val="en-US"/>
              </w:rPr>
              <w:t>ef</w:t>
            </w:r>
            <w:proofErr w:type="spellEnd"/>
            <w:r w:rsidRPr="00ED4D49">
              <w:rPr>
                <w:rFonts w:cs="Calibri"/>
                <w:sz w:val="16"/>
                <w:szCs w:val="16"/>
                <w:lang w:val="en-US"/>
              </w:rPr>
              <w:t xml:space="preserve">. </w:t>
            </w:r>
            <w:proofErr w:type="spellStart"/>
            <w:r w:rsidRPr="00ED4D49">
              <w:rPr>
                <w:rFonts w:cs="Calibri"/>
                <w:sz w:val="16"/>
                <w:szCs w:val="16"/>
                <w:lang w:val="en-US"/>
              </w:rPr>
              <w:t>Dozic</w:t>
            </w:r>
            <w:proofErr w:type="spellEnd"/>
            <w:r w:rsidRPr="00ED4D49">
              <w:rPr>
                <w:rFonts w:cs="Calibri"/>
                <w:sz w:val="16"/>
                <w:szCs w:val="16"/>
                <w:lang w:val="en-US"/>
              </w:rPr>
              <w:t xml:space="preserve"> (now </w:t>
            </w:r>
            <w:proofErr w:type="spellStart"/>
            <w:r w:rsidRPr="00ED4D49">
              <w:rPr>
                <w:rFonts w:cs="Calibri"/>
                <w:sz w:val="16"/>
                <w:szCs w:val="16"/>
                <w:lang w:val="en-US"/>
              </w:rPr>
              <w:t>Dervisagic</w:t>
            </w:r>
            <w:proofErr w:type="spellEnd"/>
            <w:r w:rsidRPr="00ED4D49">
              <w:rPr>
                <w:rFonts w:cs="Calibri"/>
                <w:sz w:val="16"/>
                <w:szCs w:val="16"/>
                <w:lang w:val="en-US"/>
              </w:rPr>
              <w:t xml:space="preserve"> house) in mahala </w:t>
            </w:r>
            <w:proofErr w:type="spellStart"/>
            <w:r w:rsidRPr="00ED4D49">
              <w:rPr>
                <w:rFonts w:cs="Calibri"/>
                <w:sz w:val="16"/>
                <w:szCs w:val="16"/>
                <w:lang w:val="en-US"/>
              </w:rPr>
              <w:t>Crvena</w:t>
            </w:r>
            <w:proofErr w:type="spellEnd"/>
            <w:r w:rsidRPr="00ED4D49">
              <w:rPr>
                <w:rFonts w:cs="Calibri"/>
                <w:sz w:val="16"/>
                <w:szCs w:val="16"/>
                <w:lang w:val="en-US"/>
              </w:rPr>
              <w:t xml:space="preserve"> </w:t>
            </w:r>
            <w:proofErr w:type="spellStart"/>
            <w:r w:rsidRPr="00ED4D49">
              <w:rPr>
                <w:rFonts w:cs="Calibri"/>
                <w:sz w:val="16"/>
                <w:szCs w:val="16"/>
                <w:lang w:val="en-US"/>
              </w:rPr>
              <w:t>rijeka</w:t>
            </w:r>
            <w:proofErr w:type="spellEnd"/>
            <w:r w:rsidRPr="00ED4D49">
              <w:rPr>
                <w:rFonts w:cs="Calibri"/>
                <w:sz w:val="16"/>
                <w:szCs w:val="16"/>
                <w:lang w:val="en-US"/>
              </w:rPr>
              <w:t xml:space="preserve"> (Red River), the historic building</w:t>
            </w:r>
          </w:p>
        </w:tc>
      </w:tr>
      <w:tr w:rsidR="00284391" w:rsidRPr="00ED4D49" w14:paraId="1688F617" w14:textId="77777777" w:rsidTr="00284391">
        <w:tc>
          <w:tcPr>
            <w:tcW w:w="1751" w:type="dxa"/>
            <w:vMerge/>
            <w:shd w:val="clear" w:color="auto" w:fill="auto"/>
            <w:vAlign w:val="center"/>
          </w:tcPr>
          <w:p w14:paraId="4DF7EC6B" w14:textId="77777777" w:rsidR="00284391" w:rsidRPr="00ED4D49" w:rsidRDefault="00284391" w:rsidP="00C27BB5">
            <w:pPr>
              <w:autoSpaceDE w:val="0"/>
              <w:autoSpaceDN w:val="0"/>
              <w:adjustRightInd w:val="0"/>
              <w:spacing w:before="0" w:after="0" w:line="240" w:lineRule="auto"/>
              <w:rPr>
                <w:rFonts w:cs="Calibri"/>
                <w:sz w:val="16"/>
                <w:szCs w:val="16"/>
                <w:lang w:val="en-US"/>
              </w:rPr>
            </w:pPr>
          </w:p>
        </w:tc>
        <w:tc>
          <w:tcPr>
            <w:tcW w:w="7259" w:type="dxa"/>
            <w:shd w:val="clear" w:color="auto" w:fill="auto"/>
            <w:vAlign w:val="center"/>
          </w:tcPr>
          <w:p w14:paraId="3B35B5B7" w14:textId="77777777" w:rsidR="00284391" w:rsidRPr="00ED4D49" w:rsidRDefault="00284391" w:rsidP="00C27BB5">
            <w:pPr>
              <w:autoSpaceDE w:val="0"/>
              <w:autoSpaceDN w:val="0"/>
              <w:adjustRightInd w:val="0"/>
              <w:spacing w:before="0" w:after="0" w:line="240" w:lineRule="auto"/>
              <w:rPr>
                <w:rFonts w:cs="Calibri"/>
                <w:sz w:val="16"/>
                <w:szCs w:val="16"/>
                <w:lang w:val="en-US"/>
              </w:rPr>
            </w:pPr>
            <w:r w:rsidRPr="00ED4D49">
              <w:rPr>
                <w:rFonts w:cs="Calibri"/>
                <w:sz w:val="16"/>
                <w:szCs w:val="16"/>
                <w:lang w:val="en-US"/>
              </w:rPr>
              <w:t xml:space="preserve">The bridge on the river Zeleni </w:t>
            </w:r>
            <w:proofErr w:type="spellStart"/>
            <w:r w:rsidRPr="00ED4D49">
              <w:rPr>
                <w:rFonts w:cs="Calibri"/>
                <w:sz w:val="16"/>
                <w:szCs w:val="16"/>
                <w:lang w:val="en-US"/>
              </w:rPr>
              <w:t>Jadar</w:t>
            </w:r>
            <w:proofErr w:type="spellEnd"/>
            <w:r w:rsidRPr="00ED4D49">
              <w:rPr>
                <w:rFonts w:cs="Calibri"/>
                <w:sz w:val="16"/>
                <w:szCs w:val="16"/>
                <w:lang w:val="en-US"/>
              </w:rPr>
              <w:t xml:space="preserve"> in </w:t>
            </w:r>
            <w:proofErr w:type="spellStart"/>
            <w:r w:rsidRPr="00ED4D49">
              <w:rPr>
                <w:rFonts w:cs="Calibri"/>
                <w:sz w:val="16"/>
                <w:szCs w:val="16"/>
                <w:lang w:val="en-US"/>
              </w:rPr>
              <w:t>Slapovici</w:t>
            </w:r>
            <w:proofErr w:type="spellEnd"/>
            <w:r w:rsidRPr="00ED4D49">
              <w:rPr>
                <w:rFonts w:cs="Calibri"/>
                <w:sz w:val="16"/>
                <w:szCs w:val="16"/>
                <w:lang w:val="en-US"/>
              </w:rPr>
              <w:t>, the site and remains of the historic building</w:t>
            </w:r>
          </w:p>
        </w:tc>
      </w:tr>
      <w:tr w:rsidR="00284391" w:rsidRPr="00ED4D49" w14:paraId="3E986191" w14:textId="77777777" w:rsidTr="00284391">
        <w:tc>
          <w:tcPr>
            <w:tcW w:w="1751" w:type="dxa"/>
            <w:vMerge/>
            <w:shd w:val="clear" w:color="auto" w:fill="auto"/>
            <w:vAlign w:val="center"/>
          </w:tcPr>
          <w:p w14:paraId="1F558435" w14:textId="77777777" w:rsidR="00284391" w:rsidRPr="00ED4D49" w:rsidRDefault="00284391" w:rsidP="00C27BB5">
            <w:pPr>
              <w:autoSpaceDE w:val="0"/>
              <w:autoSpaceDN w:val="0"/>
              <w:adjustRightInd w:val="0"/>
              <w:spacing w:before="0" w:after="0" w:line="240" w:lineRule="auto"/>
              <w:rPr>
                <w:rFonts w:cs="Calibri"/>
                <w:sz w:val="16"/>
                <w:szCs w:val="16"/>
                <w:lang w:val="en-US"/>
              </w:rPr>
            </w:pPr>
          </w:p>
        </w:tc>
        <w:tc>
          <w:tcPr>
            <w:tcW w:w="7259" w:type="dxa"/>
            <w:shd w:val="clear" w:color="auto" w:fill="auto"/>
            <w:vAlign w:val="center"/>
          </w:tcPr>
          <w:p w14:paraId="2EBDB368" w14:textId="77777777" w:rsidR="00284391" w:rsidRPr="00ED4D49" w:rsidRDefault="00284391" w:rsidP="00C27BB5">
            <w:pPr>
              <w:autoSpaceDE w:val="0"/>
              <w:autoSpaceDN w:val="0"/>
              <w:adjustRightInd w:val="0"/>
              <w:spacing w:before="0" w:after="0" w:line="240" w:lineRule="auto"/>
              <w:rPr>
                <w:rFonts w:cs="Calibri"/>
                <w:sz w:val="16"/>
                <w:szCs w:val="16"/>
                <w:lang w:val="en-US"/>
              </w:rPr>
            </w:pPr>
            <w:r w:rsidRPr="00ED4D49">
              <w:rPr>
                <w:rFonts w:cs="Calibri"/>
                <w:sz w:val="16"/>
                <w:szCs w:val="16"/>
                <w:lang w:val="en-US"/>
              </w:rPr>
              <w:t xml:space="preserve">The necropolis with </w:t>
            </w:r>
            <w:proofErr w:type="spellStart"/>
            <w:r w:rsidRPr="00ED4D49">
              <w:rPr>
                <w:rFonts w:cs="Calibri"/>
                <w:sz w:val="16"/>
                <w:szCs w:val="16"/>
                <w:lang w:val="en-US"/>
              </w:rPr>
              <w:t>stecak</w:t>
            </w:r>
            <w:proofErr w:type="spellEnd"/>
            <w:r w:rsidRPr="00ED4D49">
              <w:rPr>
                <w:rFonts w:cs="Calibri"/>
                <w:sz w:val="16"/>
                <w:szCs w:val="16"/>
                <w:lang w:val="en-US"/>
              </w:rPr>
              <w:t xml:space="preserve"> tombstones at the locality </w:t>
            </w:r>
            <w:proofErr w:type="spellStart"/>
            <w:r w:rsidRPr="00ED4D49">
              <w:rPr>
                <w:rFonts w:cs="Calibri"/>
                <w:sz w:val="16"/>
                <w:szCs w:val="16"/>
                <w:lang w:val="en-US"/>
              </w:rPr>
              <w:t>Mramorje</w:t>
            </w:r>
            <w:proofErr w:type="spellEnd"/>
            <w:r w:rsidRPr="00ED4D49">
              <w:rPr>
                <w:rFonts w:cs="Calibri"/>
                <w:sz w:val="16"/>
                <w:szCs w:val="16"/>
                <w:lang w:val="en-US"/>
              </w:rPr>
              <w:t xml:space="preserve"> in the village </w:t>
            </w:r>
            <w:proofErr w:type="spellStart"/>
            <w:r w:rsidRPr="00ED4D49">
              <w:rPr>
                <w:rFonts w:cs="Calibri"/>
                <w:sz w:val="16"/>
                <w:szCs w:val="16"/>
                <w:lang w:val="en-US"/>
              </w:rPr>
              <w:t>Bucje</w:t>
            </w:r>
            <w:proofErr w:type="spellEnd"/>
            <w:r w:rsidRPr="00ED4D49">
              <w:rPr>
                <w:rFonts w:cs="Calibri"/>
                <w:sz w:val="16"/>
                <w:szCs w:val="16"/>
                <w:lang w:val="en-US"/>
              </w:rPr>
              <w:t>, the historic site</w:t>
            </w:r>
          </w:p>
        </w:tc>
      </w:tr>
      <w:tr w:rsidR="00284391" w:rsidRPr="00ED4D49" w14:paraId="461CBBBA" w14:textId="77777777" w:rsidTr="00284391">
        <w:tc>
          <w:tcPr>
            <w:tcW w:w="1751" w:type="dxa"/>
            <w:vMerge/>
            <w:shd w:val="clear" w:color="auto" w:fill="auto"/>
            <w:vAlign w:val="center"/>
          </w:tcPr>
          <w:p w14:paraId="76E3C7C5" w14:textId="77777777" w:rsidR="00284391" w:rsidRPr="00ED4D49" w:rsidRDefault="00284391" w:rsidP="00C27BB5">
            <w:pPr>
              <w:autoSpaceDE w:val="0"/>
              <w:autoSpaceDN w:val="0"/>
              <w:adjustRightInd w:val="0"/>
              <w:spacing w:before="0" w:after="0" w:line="240" w:lineRule="auto"/>
              <w:rPr>
                <w:rFonts w:cs="Calibri"/>
                <w:sz w:val="16"/>
                <w:szCs w:val="16"/>
                <w:lang w:val="en-US"/>
              </w:rPr>
            </w:pPr>
          </w:p>
        </w:tc>
        <w:tc>
          <w:tcPr>
            <w:tcW w:w="7259" w:type="dxa"/>
            <w:shd w:val="clear" w:color="auto" w:fill="auto"/>
            <w:vAlign w:val="center"/>
          </w:tcPr>
          <w:p w14:paraId="1B73D771" w14:textId="77777777" w:rsidR="00284391" w:rsidRPr="00ED4D49" w:rsidRDefault="00284391" w:rsidP="00C27BB5">
            <w:pPr>
              <w:autoSpaceDE w:val="0"/>
              <w:autoSpaceDN w:val="0"/>
              <w:adjustRightInd w:val="0"/>
              <w:spacing w:before="0" w:after="0" w:line="240" w:lineRule="auto"/>
              <w:rPr>
                <w:rFonts w:cs="Calibri"/>
                <w:sz w:val="16"/>
                <w:szCs w:val="16"/>
                <w:lang w:val="en-US"/>
              </w:rPr>
            </w:pPr>
            <w:proofErr w:type="spellStart"/>
            <w:r w:rsidRPr="00ED4D49">
              <w:rPr>
                <w:rFonts w:cs="Calibri"/>
                <w:sz w:val="16"/>
                <w:szCs w:val="16"/>
                <w:lang w:val="en-US"/>
              </w:rPr>
              <w:t>Skelani</w:t>
            </w:r>
            <w:proofErr w:type="spellEnd"/>
            <w:r w:rsidRPr="00ED4D49">
              <w:rPr>
                <w:rFonts w:cs="Calibri"/>
                <w:sz w:val="16"/>
                <w:szCs w:val="16"/>
                <w:lang w:val="en-US"/>
              </w:rPr>
              <w:t>, the archaeological site</w:t>
            </w:r>
          </w:p>
        </w:tc>
      </w:tr>
      <w:tr w:rsidR="00284391" w:rsidRPr="00ED4D49" w14:paraId="63EBE25E" w14:textId="77777777" w:rsidTr="00284391">
        <w:tc>
          <w:tcPr>
            <w:tcW w:w="1751" w:type="dxa"/>
            <w:vMerge/>
            <w:shd w:val="clear" w:color="auto" w:fill="auto"/>
            <w:vAlign w:val="center"/>
          </w:tcPr>
          <w:p w14:paraId="575AB8D1" w14:textId="77777777" w:rsidR="00284391" w:rsidRPr="00ED4D49" w:rsidRDefault="00284391" w:rsidP="00C27BB5">
            <w:pPr>
              <w:autoSpaceDE w:val="0"/>
              <w:autoSpaceDN w:val="0"/>
              <w:adjustRightInd w:val="0"/>
              <w:spacing w:before="0" w:after="0" w:line="240" w:lineRule="auto"/>
              <w:rPr>
                <w:rFonts w:cs="Calibri"/>
                <w:sz w:val="16"/>
                <w:szCs w:val="16"/>
                <w:lang w:val="en-US"/>
              </w:rPr>
            </w:pPr>
          </w:p>
        </w:tc>
        <w:tc>
          <w:tcPr>
            <w:tcW w:w="7259" w:type="dxa"/>
            <w:shd w:val="clear" w:color="auto" w:fill="auto"/>
            <w:vAlign w:val="center"/>
          </w:tcPr>
          <w:p w14:paraId="4E71197E" w14:textId="77777777" w:rsidR="00284391" w:rsidRPr="00ED4D49" w:rsidRDefault="00284391" w:rsidP="00C27BB5">
            <w:pPr>
              <w:autoSpaceDE w:val="0"/>
              <w:autoSpaceDN w:val="0"/>
              <w:adjustRightInd w:val="0"/>
              <w:spacing w:before="0" w:after="0" w:line="240" w:lineRule="auto"/>
              <w:rPr>
                <w:rFonts w:cs="Calibri"/>
                <w:sz w:val="16"/>
                <w:szCs w:val="16"/>
                <w:lang w:val="en-US"/>
              </w:rPr>
            </w:pPr>
            <w:r w:rsidRPr="00ED4D49">
              <w:rPr>
                <w:sz w:val="16"/>
                <w:szCs w:val="16"/>
                <w:lang w:val="en-US"/>
              </w:rPr>
              <w:t xml:space="preserve">Necropolis of </w:t>
            </w:r>
            <w:proofErr w:type="spellStart"/>
            <w:r w:rsidRPr="00ED4D49">
              <w:rPr>
                <w:sz w:val="16"/>
                <w:szCs w:val="16"/>
                <w:lang w:val="en-US"/>
              </w:rPr>
              <w:t>stećak</w:t>
            </w:r>
            <w:proofErr w:type="spellEnd"/>
            <w:r w:rsidRPr="00ED4D49">
              <w:rPr>
                <w:sz w:val="16"/>
                <w:szCs w:val="16"/>
                <w:lang w:val="en-US"/>
              </w:rPr>
              <w:t xml:space="preserve"> at the locality of </w:t>
            </w:r>
            <w:proofErr w:type="spellStart"/>
            <w:r w:rsidRPr="00ED4D49">
              <w:rPr>
                <w:sz w:val="16"/>
                <w:szCs w:val="16"/>
                <w:lang w:val="en-US"/>
              </w:rPr>
              <w:t>Grebnica</w:t>
            </w:r>
            <w:proofErr w:type="spellEnd"/>
            <w:r w:rsidRPr="00ED4D49">
              <w:rPr>
                <w:sz w:val="16"/>
                <w:szCs w:val="16"/>
                <w:lang w:val="en-US"/>
              </w:rPr>
              <w:t>, historic site</w:t>
            </w:r>
          </w:p>
        </w:tc>
      </w:tr>
      <w:tr w:rsidR="00284391" w:rsidRPr="00ED4D49" w14:paraId="5FD036DF" w14:textId="77777777" w:rsidTr="00284391">
        <w:tc>
          <w:tcPr>
            <w:tcW w:w="1751" w:type="dxa"/>
            <w:vMerge/>
            <w:shd w:val="clear" w:color="auto" w:fill="auto"/>
            <w:vAlign w:val="center"/>
          </w:tcPr>
          <w:p w14:paraId="6B582A0E" w14:textId="77777777" w:rsidR="00284391" w:rsidRPr="00ED4D49" w:rsidRDefault="00284391" w:rsidP="00C27BB5">
            <w:pPr>
              <w:autoSpaceDE w:val="0"/>
              <w:autoSpaceDN w:val="0"/>
              <w:adjustRightInd w:val="0"/>
              <w:spacing w:before="0" w:after="0" w:line="240" w:lineRule="auto"/>
              <w:rPr>
                <w:rFonts w:cs="Calibri"/>
                <w:sz w:val="16"/>
                <w:szCs w:val="16"/>
                <w:lang w:val="en-US"/>
              </w:rPr>
            </w:pPr>
          </w:p>
        </w:tc>
        <w:tc>
          <w:tcPr>
            <w:tcW w:w="7259" w:type="dxa"/>
            <w:shd w:val="clear" w:color="auto" w:fill="auto"/>
            <w:vAlign w:val="center"/>
          </w:tcPr>
          <w:p w14:paraId="3052493B" w14:textId="77777777" w:rsidR="00284391" w:rsidRPr="00ED4D49" w:rsidRDefault="00284391" w:rsidP="00C27BB5">
            <w:pPr>
              <w:autoSpaceDE w:val="0"/>
              <w:autoSpaceDN w:val="0"/>
              <w:adjustRightInd w:val="0"/>
              <w:spacing w:before="0" w:after="0" w:line="240" w:lineRule="auto"/>
              <w:rPr>
                <w:sz w:val="16"/>
                <w:szCs w:val="16"/>
                <w:lang w:val="en-US"/>
              </w:rPr>
            </w:pPr>
            <w:r w:rsidRPr="00ED4D49">
              <w:rPr>
                <w:sz w:val="16"/>
                <w:szCs w:val="16"/>
                <w:lang w:val="en-US"/>
              </w:rPr>
              <w:t xml:space="preserve">Necropolis of </w:t>
            </w:r>
            <w:proofErr w:type="spellStart"/>
            <w:r w:rsidRPr="00ED4D49">
              <w:rPr>
                <w:sz w:val="16"/>
                <w:szCs w:val="16"/>
                <w:lang w:val="en-US"/>
              </w:rPr>
              <w:t>stećak</w:t>
            </w:r>
            <w:proofErr w:type="spellEnd"/>
            <w:r w:rsidRPr="00ED4D49">
              <w:rPr>
                <w:sz w:val="16"/>
                <w:szCs w:val="16"/>
                <w:lang w:val="en-US"/>
              </w:rPr>
              <w:t xml:space="preserve"> </w:t>
            </w:r>
            <w:proofErr w:type="spellStart"/>
            <w:r w:rsidRPr="00ED4D49">
              <w:rPr>
                <w:sz w:val="16"/>
                <w:szCs w:val="16"/>
                <w:lang w:val="en-US"/>
              </w:rPr>
              <w:t>Bektića</w:t>
            </w:r>
            <w:proofErr w:type="spellEnd"/>
            <w:r w:rsidRPr="00ED4D49">
              <w:rPr>
                <w:sz w:val="16"/>
                <w:szCs w:val="16"/>
                <w:lang w:val="en-US"/>
              </w:rPr>
              <w:t xml:space="preserve"> </w:t>
            </w:r>
            <w:proofErr w:type="spellStart"/>
            <w:r w:rsidRPr="00ED4D49">
              <w:rPr>
                <w:sz w:val="16"/>
                <w:szCs w:val="16"/>
                <w:lang w:val="en-US"/>
              </w:rPr>
              <w:t>Brdo</w:t>
            </w:r>
            <w:proofErr w:type="spellEnd"/>
            <w:r w:rsidRPr="00ED4D49">
              <w:rPr>
                <w:sz w:val="16"/>
                <w:szCs w:val="16"/>
                <w:lang w:val="en-US"/>
              </w:rPr>
              <w:t xml:space="preserve"> in the village of </w:t>
            </w:r>
            <w:proofErr w:type="spellStart"/>
            <w:r w:rsidRPr="00ED4D49">
              <w:rPr>
                <w:sz w:val="16"/>
                <w:szCs w:val="16"/>
                <w:lang w:val="en-US"/>
              </w:rPr>
              <w:t>Bektići</w:t>
            </w:r>
            <w:proofErr w:type="spellEnd"/>
            <w:r w:rsidRPr="00ED4D49">
              <w:rPr>
                <w:sz w:val="16"/>
                <w:szCs w:val="16"/>
                <w:lang w:val="en-US"/>
              </w:rPr>
              <w:t>, historic site</w:t>
            </w:r>
          </w:p>
        </w:tc>
      </w:tr>
      <w:tr w:rsidR="00284391" w:rsidRPr="00ED4D49" w14:paraId="7DB97C96" w14:textId="77777777" w:rsidTr="00284391">
        <w:tc>
          <w:tcPr>
            <w:tcW w:w="1751" w:type="dxa"/>
            <w:vMerge w:val="restart"/>
            <w:shd w:val="clear" w:color="auto" w:fill="auto"/>
            <w:vAlign w:val="center"/>
          </w:tcPr>
          <w:p w14:paraId="51D5EC11" w14:textId="77777777" w:rsidR="00284391" w:rsidRPr="00ED4D49" w:rsidRDefault="00284391" w:rsidP="00C27BB5">
            <w:pPr>
              <w:autoSpaceDE w:val="0"/>
              <w:autoSpaceDN w:val="0"/>
              <w:adjustRightInd w:val="0"/>
              <w:spacing w:before="0" w:after="0" w:line="240" w:lineRule="auto"/>
              <w:rPr>
                <w:rFonts w:cs="Calibri"/>
                <w:sz w:val="16"/>
                <w:szCs w:val="16"/>
                <w:lang w:val="en-US"/>
              </w:rPr>
            </w:pPr>
            <w:proofErr w:type="spellStart"/>
            <w:r w:rsidRPr="00ED4D49">
              <w:rPr>
                <w:rFonts w:cs="Calibri"/>
                <w:sz w:val="16"/>
                <w:szCs w:val="16"/>
                <w:lang w:val="en-US"/>
              </w:rPr>
              <w:t>Višegrad</w:t>
            </w:r>
            <w:proofErr w:type="spellEnd"/>
          </w:p>
        </w:tc>
        <w:tc>
          <w:tcPr>
            <w:tcW w:w="7259" w:type="dxa"/>
            <w:shd w:val="clear" w:color="auto" w:fill="auto"/>
            <w:vAlign w:val="center"/>
          </w:tcPr>
          <w:p w14:paraId="16CE26F7" w14:textId="77777777" w:rsidR="00284391" w:rsidRPr="00ED4D49" w:rsidRDefault="00284391" w:rsidP="00C27BB5">
            <w:pPr>
              <w:autoSpaceDE w:val="0"/>
              <w:autoSpaceDN w:val="0"/>
              <w:adjustRightInd w:val="0"/>
              <w:spacing w:before="0" w:after="0" w:line="240" w:lineRule="auto"/>
              <w:rPr>
                <w:rFonts w:cs="Calibri"/>
                <w:sz w:val="16"/>
                <w:szCs w:val="16"/>
                <w:lang w:val="en-US"/>
              </w:rPr>
            </w:pPr>
            <w:r w:rsidRPr="00ED4D49">
              <w:rPr>
                <w:rFonts w:cs="Calibri"/>
                <w:sz w:val="16"/>
                <w:szCs w:val="16"/>
                <w:lang w:val="en-US"/>
              </w:rPr>
              <w:t>The Mehmed Pasha Sokolovic bridge, the historical monument</w:t>
            </w:r>
          </w:p>
        </w:tc>
      </w:tr>
      <w:tr w:rsidR="00284391" w:rsidRPr="00ED4D49" w14:paraId="06481631" w14:textId="77777777" w:rsidTr="00284391">
        <w:tc>
          <w:tcPr>
            <w:tcW w:w="1751" w:type="dxa"/>
            <w:vMerge/>
            <w:shd w:val="clear" w:color="auto" w:fill="auto"/>
            <w:vAlign w:val="center"/>
          </w:tcPr>
          <w:p w14:paraId="4FED82CC" w14:textId="77777777" w:rsidR="00284391" w:rsidRPr="00ED4D49" w:rsidRDefault="00284391" w:rsidP="00C27BB5">
            <w:pPr>
              <w:autoSpaceDE w:val="0"/>
              <w:autoSpaceDN w:val="0"/>
              <w:adjustRightInd w:val="0"/>
              <w:spacing w:before="0" w:after="0" w:line="240" w:lineRule="auto"/>
              <w:rPr>
                <w:rFonts w:cs="Calibri"/>
                <w:sz w:val="16"/>
                <w:szCs w:val="16"/>
                <w:lang w:val="en-US"/>
              </w:rPr>
            </w:pPr>
          </w:p>
        </w:tc>
        <w:tc>
          <w:tcPr>
            <w:tcW w:w="7259" w:type="dxa"/>
            <w:shd w:val="clear" w:color="auto" w:fill="auto"/>
            <w:vAlign w:val="center"/>
          </w:tcPr>
          <w:p w14:paraId="65BFB322" w14:textId="77777777" w:rsidR="00284391" w:rsidRPr="00ED4D49" w:rsidRDefault="00284391" w:rsidP="00C27BB5">
            <w:pPr>
              <w:autoSpaceDE w:val="0"/>
              <w:autoSpaceDN w:val="0"/>
              <w:adjustRightInd w:val="0"/>
              <w:spacing w:before="0" w:after="0" w:line="240" w:lineRule="auto"/>
              <w:rPr>
                <w:rFonts w:cs="Calibri"/>
                <w:sz w:val="16"/>
                <w:szCs w:val="16"/>
                <w:lang w:val="en-US"/>
              </w:rPr>
            </w:pPr>
            <w:r w:rsidRPr="00ED4D49">
              <w:rPr>
                <w:rFonts w:cs="Calibri"/>
                <w:sz w:val="16"/>
                <w:szCs w:val="16"/>
                <w:lang w:val="en-US"/>
              </w:rPr>
              <w:t xml:space="preserve">Prehistoric tumuli and necropolis with </w:t>
            </w:r>
            <w:proofErr w:type="spellStart"/>
            <w:r w:rsidRPr="00ED4D49">
              <w:rPr>
                <w:rFonts w:cs="Calibri"/>
                <w:sz w:val="16"/>
                <w:szCs w:val="16"/>
                <w:lang w:val="en-US"/>
              </w:rPr>
              <w:t>stecak</w:t>
            </w:r>
            <w:proofErr w:type="spellEnd"/>
            <w:r w:rsidRPr="00ED4D49">
              <w:rPr>
                <w:rFonts w:cs="Calibri"/>
                <w:sz w:val="16"/>
                <w:szCs w:val="16"/>
                <w:lang w:val="en-US"/>
              </w:rPr>
              <w:t xml:space="preserve"> tombstones at the locality </w:t>
            </w:r>
            <w:proofErr w:type="spellStart"/>
            <w:r w:rsidRPr="00ED4D49">
              <w:rPr>
                <w:rFonts w:cs="Calibri"/>
                <w:sz w:val="16"/>
                <w:szCs w:val="16"/>
                <w:lang w:val="en-US"/>
              </w:rPr>
              <w:t>Mramorje</w:t>
            </w:r>
            <w:proofErr w:type="spellEnd"/>
            <w:r w:rsidRPr="00ED4D49">
              <w:rPr>
                <w:rFonts w:cs="Calibri"/>
                <w:sz w:val="16"/>
                <w:szCs w:val="16"/>
                <w:lang w:val="en-US"/>
              </w:rPr>
              <w:t xml:space="preserve"> in the </w:t>
            </w:r>
            <w:proofErr w:type="spellStart"/>
            <w:r w:rsidRPr="00ED4D49">
              <w:rPr>
                <w:rFonts w:cs="Calibri"/>
                <w:sz w:val="16"/>
                <w:szCs w:val="16"/>
                <w:lang w:val="en-US"/>
              </w:rPr>
              <w:t>Raonici</w:t>
            </w:r>
            <w:proofErr w:type="spellEnd"/>
            <w:r w:rsidRPr="00ED4D49">
              <w:rPr>
                <w:rFonts w:cs="Calibri"/>
                <w:sz w:val="16"/>
                <w:szCs w:val="16"/>
                <w:lang w:val="en-US"/>
              </w:rPr>
              <w:t xml:space="preserve"> hamlet, </w:t>
            </w:r>
            <w:proofErr w:type="spellStart"/>
            <w:r w:rsidRPr="00ED4D49">
              <w:rPr>
                <w:rFonts w:cs="Calibri"/>
                <w:sz w:val="16"/>
                <w:szCs w:val="16"/>
                <w:lang w:val="en-US"/>
              </w:rPr>
              <w:t>Kaostice</w:t>
            </w:r>
            <w:proofErr w:type="spellEnd"/>
            <w:r w:rsidRPr="00ED4D49">
              <w:rPr>
                <w:rFonts w:cs="Calibri"/>
                <w:sz w:val="16"/>
                <w:szCs w:val="16"/>
                <w:lang w:val="en-US"/>
              </w:rPr>
              <w:t>, the historic site</w:t>
            </w:r>
          </w:p>
        </w:tc>
      </w:tr>
      <w:tr w:rsidR="00284391" w:rsidRPr="00ED4D49" w14:paraId="5C03A007" w14:textId="77777777" w:rsidTr="00284391">
        <w:tc>
          <w:tcPr>
            <w:tcW w:w="1751" w:type="dxa"/>
            <w:vMerge/>
            <w:shd w:val="clear" w:color="auto" w:fill="auto"/>
            <w:vAlign w:val="center"/>
          </w:tcPr>
          <w:p w14:paraId="16880C6D" w14:textId="77777777" w:rsidR="00284391" w:rsidRPr="00ED4D49" w:rsidRDefault="00284391" w:rsidP="00C27BB5">
            <w:pPr>
              <w:autoSpaceDE w:val="0"/>
              <w:autoSpaceDN w:val="0"/>
              <w:adjustRightInd w:val="0"/>
              <w:spacing w:before="0" w:after="0" w:line="240" w:lineRule="auto"/>
              <w:rPr>
                <w:rFonts w:cs="Calibri"/>
                <w:sz w:val="16"/>
                <w:szCs w:val="16"/>
                <w:lang w:val="en-US"/>
              </w:rPr>
            </w:pPr>
          </w:p>
        </w:tc>
        <w:tc>
          <w:tcPr>
            <w:tcW w:w="7259" w:type="dxa"/>
            <w:shd w:val="clear" w:color="auto" w:fill="auto"/>
            <w:vAlign w:val="center"/>
          </w:tcPr>
          <w:p w14:paraId="7C517508" w14:textId="77777777" w:rsidR="00284391" w:rsidRPr="00ED4D49" w:rsidRDefault="00284391" w:rsidP="00C27BB5">
            <w:pPr>
              <w:autoSpaceDE w:val="0"/>
              <w:autoSpaceDN w:val="0"/>
              <w:adjustRightInd w:val="0"/>
              <w:spacing w:before="0" w:after="0" w:line="240" w:lineRule="auto"/>
              <w:rPr>
                <w:rFonts w:cs="Calibri"/>
                <w:sz w:val="16"/>
                <w:szCs w:val="16"/>
                <w:lang w:val="en-US"/>
              </w:rPr>
            </w:pPr>
            <w:r w:rsidRPr="00ED4D49">
              <w:rPr>
                <w:sz w:val="16"/>
                <w:szCs w:val="16"/>
                <w:lang w:val="en-US"/>
              </w:rPr>
              <w:t xml:space="preserve">Necropolis with </w:t>
            </w:r>
            <w:proofErr w:type="spellStart"/>
            <w:r w:rsidRPr="00ED4D49">
              <w:rPr>
                <w:sz w:val="16"/>
                <w:szCs w:val="16"/>
                <w:lang w:val="en-US"/>
              </w:rPr>
              <w:t>stećaks</w:t>
            </w:r>
            <w:proofErr w:type="spellEnd"/>
            <w:r w:rsidRPr="00ED4D49">
              <w:rPr>
                <w:sz w:val="16"/>
                <w:szCs w:val="16"/>
                <w:lang w:val="en-US"/>
              </w:rPr>
              <w:t xml:space="preserve"> at the locality of </w:t>
            </w:r>
            <w:proofErr w:type="spellStart"/>
            <w:r w:rsidRPr="00ED4D49">
              <w:rPr>
                <w:sz w:val="16"/>
                <w:szCs w:val="16"/>
                <w:lang w:val="en-US"/>
              </w:rPr>
              <w:t>Grebnice</w:t>
            </w:r>
            <w:proofErr w:type="spellEnd"/>
            <w:r w:rsidRPr="00ED4D49">
              <w:rPr>
                <w:sz w:val="16"/>
                <w:szCs w:val="16"/>
                <w:lang w:val="en-US"/>
              </w:rPr>
              <w:t xml:space="preserve"> in the village of </w:t>
            </w:r>
            <w:proofErr w:type="spellStart"/>
            <w:r w:rsidRPr="00ED4D49">
              <w:rPr>
                <w:sz w:val="16"/>
                <w:szCs w:val="16"/>
                <w:lang w:val="en-US"/>
              </w:rPr>
              <w:t>Drinsko</w:t>
            </w:r>
            <w:proofErr w:type="spellEnd"/>
            <w:r w:rsidRPr="00ED4D49">
              <w:rPr>
                <w:sz w:val="16"/>
                <w:szCs w:val="16"/>
                <w:lang w:val="en-US"/>
              </w:rPr>
              <w:t>, historic site</w:t>
            </w:r>
          </w:p>
        </w:tc>
      </w:tr>
      <w:tr w:rsidR="00284391" w:rsidRPr="00ED4D49" w14:paraId="446C13B2" w14:textId="77777777" w:rsidTr="00284391">
        <w:tc>
          <w:tcPr>
            <w:tcW w:w="1751" w:type="dxa"/>
            <w:vMerge w:val="restart"/>
            <w:shd w:val="clear" w:color="auto" w:fill="auto"/>
            <w:vAlign w:val="center"/>
          </w:tcPr>
          <w:p w14:paraId="121F0A95" w14:textId="77777777" w:rsidR="00284391" w:rsidRPr="00ED4D49" w:rsidRDefault="00284391" w:rsidP="00C27BB5">
            <w:pPr>
              <w:autoSpaceDE w:val="0"/>
              <w:autoSpaceDN w:val="0"/>
              <w:adjustRightInd w:val="0"/>
              <w:spacing w:before="0" w:after="0" w:line="240" w:lineRule="auto"/>
              <w:rPr>
                <w:rFonts w:cs="Calibri"/>
                <w:sz w:val="16"/>
                <w:szCs w:val="16"/>
                <w:lang w:val="en-US"/>
              </w:rPr>
            </w:pPr>
            <w:r w:rsidRPr="00ED4D49">
              <w:rPr>
                <w:rFonts w:cs="Calibri"/>
                <w:sz w:val="16"/>
                <w:szCs w:val="16"/>
                <w:lang w:val="en-US"/>
              </w:rPr>
              <w:t>Zvornik</w:t>
            </w:r>
          </w:p>
        </w:tc>
        <w:tc>
          <w:tcPr>
            <w:tcW w:w="7259" w:type="dxa"/>
            <w:shd w:val="clear" w:color="auto" w:fill="auto"/>
            <w:vAlign w:val="center"/>
          </w:tcPr>
          <w:p w14:paraId="4BE5A808" w14:textId="77777777" w:rsidR="00284391" w:rsidRPr="00ED4D49" w:rsidRDefault="00284391" w:rsidP="00C27BB5">
            <w:pPr>
              <w:autoSpaceDE w:val="0"/>
              <w:autoSpaceDN w:val="0"/>
              <w:adjustRightInd w:val="0"/>
              <w:spacing w:before="0" w:after="0" w:line="240" w:lineRule="auto"/>
              <w:rPr>
                <w:rFonts w:cs="Calibri"/>
                <w:sz w:val="16"/>
                <w:szCs w:val="16"/>
                <w:lang w:val="en-US"/>
              </w:rPr>
            </w:pPr>
            <w:proofErr w:type="spellStart"/>
            <w:r w:rsidRPr="00ED4D49">
              <w:rPr>
                <w:rFonts w:cs="Calibri"/>
                <w:sz w:val="16"/>
                <w:szCs w:val="16"/>
                <w:lang w:val="en-US"/>
              </w:rPr>
              <w:t>Hadzibeg</w:t>
            </w:r>
            <w:proofErr w:type="spellEnd"/>
            <w:r w:rsidRPr="00ED4D49">
              <w:rPr>
                <w:rFonts w:cs="Calibri"/>
                <w:sz w:val="16"/>
                <w:szCs w:val="16"/>
                <w:lang w:val="en-US"/>
              </w:rPr>
              <w:t xml:space="preserve"> house (house of </w:t>
            </w:r>
            <w:proofErr w:type="spellStart"/>
            <w:r w:rsidRPr="00ED4D49">
              <w:rPr>
                <w:rFonts w:cs="Calibri"/>
                <w:sz w:val="16"/>
                <w:szCs w:val="16"/>
                <w:lang w:val="en-US"/>
              </w:rPr>
              <w:t>Ljubovic</w:t>
            </w:r>
            <w:proofErr w:type="spellEnd"/>
            <w:r w:rsidRPr="00ED4D49">
              <w:rPr>
                <w:rFonts w:cs="Calibri"/>
                <w:sz w:val="16"/>
                <w:szCs w:val="16"/>
                <w:lang w:val="en-US"/>
              </w:rPr>
              <w:t xml:space="preserve"> </w:t>
            </w:r>
            <w:proofErr w:type="spellStart"/>
            <w:r w:rsidRPr="00ED4D49">
              <w:rPr>
                <w:rFonts w:cs="Calibri"/>
                <w:sz w:val="16"/>
                <w:szCs w:val="16"/>
                <w:lang w:val="en-US"/>
              </w:rPr>
              <w:t>Hasanbeg</w:t>
            </w:r>
            <w:proofErr w:type="spellEnd"/>
            <w:r w:rsidRPr="00ED4D49">
              <w:rPr>
                <w:rFonts w:cs="Calibri"/>
                <w:sz w:val="16"/>
                <w:szCs w:val="16"/>
                <w:lang w:val="en-US"/>
              </w:rPr>
              <w:t>), the residential architectural ensemble</w:t>
            </w:r>
          </w:p>
        </w:tc>
      </w:tr>
      <w:tr w:rsidR="00284391" w:rsidRPr="00ED4D49" w14:paraId="7BBF787D" w14:textId="77777777" w:rsidTr="00284391">
        <w:tc>
          <w:tcPr>
            <w:tcW w:w="1751" w:type="dxa"/>
            <w:vMerge/>
            <w:shd w:val="clear" w:color="auto" w:fill="auto"/>
            <w:vAlign w:val="center"/>
          </w:tcPr>
          <w:p w14:paraId="013C76E0" w14:textId="77777777" w:rsidR="00284391" w:rsidRPr="00ED4D49" w:rsidRDefault="00284391" w:rsidP="00C27BB5">
            <w:pPr>
              <w:autoSpaceDE w:val="0"/>
              <w:autoSpaceDN w:val="0"/>
              <w:adjustRightInd w:val="0"/>
              <w:spacing w:before="0" w:after="0" w:line="240" w:lineRule="auto"/>
              <w:rPr>
                <w:rFonts w:cs="Calibri"/>
                <w:sz w:val="16"/>
                <w:szCs w:val="16"/>
                <w:lang w:val="en-US"/>
              </w:rPr>
            </w:pPr>
          </w:p>
        </w:tc>
        <w:tc>
          <w:tcPr>
            <w:tcW w:w="7259" w:type="dxa"/>
            <w:shd w:val="clear" w:color="auto" w:fill="auto"/>
            <w:vAlign w:val="center"/>
          </w:tcPr>
          <w:p w14:paraId="07A90F60" w14:textId="77777777" w:rsidR="00284391" w:rsidRPr="00ED4D49" w:rsidRDefault="00284391" w:rsidP="00C27BB5">
            <w:pPr>
              <w:autoSpaceDE w:val="0"/>
              <w:autoSpaceDN w:val="0"/>
              <w:adjustRightInd w:val="0"/>
              <w:spacing w:before="0" w:after="0" w:line="240" w:lineRule="auto"/>
              <w:rPr>
                <w:rFonts w:cs="Calibri"/>
                <w:sz w:val="16"/>
                <w:szCs w:val="16"/>
                <w:lang w:val="en-US"/>
              </w:rPr>
            </w:pPr>
            <w:r w:rsidRPr="00ED4D49">
              <w:rPr>
                <w:rFonts w:cs="Calibri"/>
                <w:sz w:val="16"/>
                <w:szCs w:val="16"/>
                <w:lang w:val="en-US"/>
              </w:rPr>
              <w:t>The Old Zvornik Fort, the architectural ensemble</w:t>
            </w:r>
          </w:p>
        </w:tc>
      </w:tr>
      <w:tr w:rsidR="00284391" w:rsidRPr="00ED4D49" w14:paraId="0A918AD6" w14:textId="77777777" w:rsidTr="00284391">
        <w:tc>
          <w:tcPr>
            <w:tcW w:w="1751" w:type="dxa"/>
            <w:vMerge/>
            <w:shd w:val="clear" w:color="auto" w:fill="auto"/>
            <w:vAlign w:val="center"/>
          </w:tcPr>
          <w:p w14:paraId="7B7E5BF7" w14:textId="77777777" w:rsidR="00284391" w:rsidRPr="00ED4D49" w:rsidRDefault="00284391" w:rsidP="00C27BB5">
            <w:pPr>
              <w:autoSpaceDE w:val="0"/>
              <w:autoSpaceDN w:val="0"/>
              <w:adjustRightInd w:val="0"/>
              <w:spacing w:before="0" w:after="0" w:line="240" w:lineRule="auto"/>
              <w:rPr>
                <w:rFonts w:cs="Calibri"/>
                <w:sz w:val="16"/>
                <w:szCs w:val="16"/>
                <w:lang w:val="en-US"/>
              </w:rPr>
            </w:pPr>
          </w:p>
        </w:tc>
        <w:tc>
          <w:tcPr>
            <w:tcW w:w="7259" w:type="dxa"/>
            <w:shd w:val="clear" w:color="auto" w:fill="auto"/>
            <w:vAlign w:val="center"/>
          </w:tcPr>
          <w:p w14:paraId="399B0166" w14:textId="77777777" w:rsidR="00284391" w:rsidRPr="00ED4D49" w:rsidRDefault="00284391" w:rsidP="00C27BB5">
            <w:pPr>
              <w:autoSpaceDE w:val="0"/>
              <w:autoSpaceDN w:val="0"/>
              <w:adjustRightInd w:val="0"/>
              <w:spacing w:before="0" w:after="0" w:line="240" w:lineRule="auto"/>
              <w:rPr>
                <w:rFonts w:cs="Calibri"/>
                <w:sz w:val="16"/>
                <w:szCs w:val="16"/>
                <w:lang w:val="en-US"/>
              </w:rPr>
            </w:pPr>
            <w:r w:rsidRPr="00ED4D49">
              <w:rPr>
                <w:sz w:val="16"/>
                <w:szCs w:val="16"/>
                <w:lang w:val="en-US"/>
              </w:rPr>
              <w:t xml:space="preserve">The Old </w:t>
            </w:r>
            <w:proofErr w:type="spellStart"/>
            <w:r w:rsidRPr="00ED4D49">
              <w:rPr>
                <w:sz w:val="16"/>
                <w:szCs w:val="16"/>
                <w:lang w:val="en-US"/>
              </w:rPr>
              <w:t>Dobrun</w:t>
            </w:r>
            <w:proofErr w:type="spellEnd"/>
            <w:r w:rsidRPr="00ED4D49">
              <w:rPr>
                <w:sz w:val="16"/>
                <w:szCs w:val="16"/>
                <w:lang w:val="en-US"/>
              </w:rPr>
              <w:t xml:space="preserve"> town</w:t>
            </w:r>
          </w:p>
        </w:tc>
      </w:tr>
      <w:tr w:rsidR="00284391" w:rsidRPr="00ED4D49" w14:paraId="56816CB6" w14:textId="77777777" w:rsidTr="00284391">
        <w:tc>
          <w:tcPr>
            <w:tcW w:w="9010" w:type="dxa"/>
            <w:gridSpan w:val="2"/>
            <w:shd w:val="clear" w:color="auto" w:fill="auto"/>
            <w:vAlign w:val="center"/>
          </w:tcPr>
          <w:p w14:paraId="0C87F2FC" w14:textId="77777777" w:rsidR="00284391" w:rsidRPr="00ED4D49" w:rsidRDefault="00284391" w:rsidP="00C27BB5">
            <w:pPr>
              <w:autoSpaceDE w:val="0"/>
              <w:autoSpaceDN w:val="0"/>
              <w:adjustRightInd w:val="0"/>
              <w:spacing w:before="0" w:after="0" w:line="240" w:lineRule="auto"/>
              <w:rPr>
                <w:rFonts w:cs="Calibri"/>
                <w:b/>
                <w:sz w:val="16"/>
                <w:szCs w:val="16"/>
                <w:lang w:val="en-US"/>
              </w:rPr>
            </w:pPr>
            <w:r w:rsidRPr="00ED4D49">
              <w:rPr>
                <w:rFonts w:cs="Calibri"/>
                <w:b/>
                <w:sz w:val="16"/>
                <w:szCs w:val="16"/>
                <w:lang w:val="en-US"/>
              </w:rPr>
              <w:t xml:space="preserve">FBiH                                       </w:t>
            </w:r>
          </w:p>
        </w:tc>
      </w:tr>
      <w:tr w:rsidR="00284391" w:rsidRPr="00ED4D49" w14:paraId="5CF3B059" w14:textId="77777777" w:rsidTr="00284391">
        <w:tc>
          <w:tcPr>
            <w:tcW w:w="1751" w:type="dxa"/>
            <w:vMerge w:val="restart"/>
            <w:shd w:val="clear" w:color="auto" w:fill="auto"/>
            <w:vAlign w:val="center"/>
          </w:tcPr>
          <w:p w14:paraId="3E3460AD" w14:textId="77777777" w:rsidR="00284391" w:rsidRPr="00ED4D49" w:rsidRDefault="00284391" w:rsidP="00C27BB5">
            <w:pPr>
              <w:autoSpaceDE w:val="0"/>
              <w:autoSpaceDN w:val="0"/>
              <w:adjustRightInd w:val="0"/>
              <w:spacing w:before="0" w:after="0" w:line="240" w:lineRule="auto"/>
              <w:rPr>
                <w:rFonts w:cs="Calibri"/>
                <w:sz w:val="16"/>
                <w:szCs w:val="16"/>
                <w:lang w:val="en-US"/>
              </w:rPr>
            </w:pPr>
            <w:r w:rsidRPr="00ED4D49">
              <w:rPr>
                <w:rFonts w:cs="Calibri"/>
                <w:sz w:val="16"/>
                <w:szCs w:val="16"/>
                <w:lang w:val="en-US"/>
              </w:rPr>
              <w:t>Foča‐Ustikolina</w:t>
            </w:r>
          </w:p>
        </w:tc>
        <w:tc>
          <w:tcPr>
            <w:tcW w:w="7259" w:type="dxa"/>
            <w:shd w:val="clear" w:color="auto" w:fill="auto"/>
            <w:vAlign w:val="center"/>
          </w:tcPr>
          <w:p w14:paraId="7A6DAF86" w14:textId="77777777" w:rsidR="00284391" w:rsidRPr="00ED4D49" w:rsidRDefault="00284391" w:rsidP="00C27BB5">
            <w:pPr>
              <w:autoSpaceDE w:val="0"/>
              <w:autoSpaceDN w:val="0"/>
              <w:adjustRightInd w:val="0"/>
              <w:spacing w:before="0" w:after="0" w:line="240" w:lineRule="auto"/>
              <w:rPr>
                <w:rFonts w:cs="Calibri"/>
                <w:sz w:val="16"/>
                <w:szCs w:val="16"/>
                <w:lang w:val="en-US"/>
              </w:rPr>
            </w:pPr>
            <w:r w:rsidRPr="00ED4D49">
              <w:rPr>
                <w:rFonts w:cs="Calibri"/>
                <w:sz w:val="16"/>
                <w:szCs w:val="16"/>
                <w:lang w:val="en-US"/>
              </w:rPr>
              <w:t xml:space="preserve">The burial ground of the cemetery on </w:t>
            </w:r>
            <w:proofErr w:type="spellStart"/>
            <w:r w:rsidRPr="00ED4D49">
              <w:rPr>
                <w:rFonts w:cs="Calibri"/>
                <w:sz w:val="16"/>
                <w:szCs w:val="16"/>
                <w:lang w:val="en-US"/>
              </w:rPr>
              <w:t>Presjeka</w:t>
            </w:r>
            <w:proofErr w:type="spellEnd"/>
          </w:p>
        </w:tc>
      </w:tr>
      <w:tr w:rsidR="00284391" w:rsidRPr="00ED4D49" w14:paraId="6E0D79ED" w14:textId="77777777" w:rsidTr="00284391">
        <w:tc>
          <w:tcPr>
            <w:tcW w:w="1751" w:type="dxa"/>
            <w:vMerge/>
            <w:shd w:val="clear" w:color="auto" w:fill="auto"/>
            <w:vAlign w:val="center"/>
          </w:tcPr>
          <w:p w14:paraId="0BC12C2A" w14:textId="77777777" w:rsidR="00284391" w:rsidRPr="00ED4D49" w:rsidRDefault="00284391" w:rsidP="00C27BB5">
            <w:pPr>
              <w:autoSpaceDE w:val="0"/>
              <w:autoSpaceDN w:val="0"/>
              <w:adjustRightInd w:val="0"/>
              <w:spacing w:before="0" w:after="0" w:line="240" w:lineRule="auto"/>
              <w:rPr>
                <w:rFonts w:cs="Calibri"/>
                <w:sz w:val="16"/>
                <w:szCs w:val="16"/>
                <w:lang w:val="en-US"/>
              </w:rPr>
            </w:pPr>
          </w:p>
        </w:tc>
        <w:tc>
          <w:tcPr>
            <w:tcW w:w="7259" w:type="dxa"/>
            <w:shd w:val="clear" w:color="auto" w:fill="auto"/>
            <w:vAlign w:val="center"/>
          </w:tcPr>
          <w:p w14:paraId="0CC7F4F8" w14:textId="77777777" w:rsidR="00284391" w:rsidRPr="00ED4D49" w:rsidRDefault="00284391" w:rsidP="00C27BB5">
            <w:pPr>
              <w:autoSpaceDE w:val="0"/>
              <w:autoSpaceDN w:val="0"/>
              <w:adjustRightInd w:val="0"/>
              <w:spacing w:before="0" w:after="0" w:line="240" w:lineRule="auto"/>
              <w:rPr>
                <w:rFonts w:cs="Calibri"/>
                <w:sz w:val="16"/>
                <w:szCs w:val="16"/>
                <w:lang w:val="en-US"/>
              </w:rPr>
            </w:pPr>
            <w:r w:rsidRPr="00ED4D49">
              <w:rPr>
                <w:rFonts w:cs="Calibri"/>
                <w:sz w:val="16"/>
                <w:szCs w:val="16"/>
                <w:lang w:val="en-US"/>
              </w:rPr>
              <w:t>Modro Polje, the historic site</w:t>
            </w:r>
          </w:p>
        </w:tc>
      </w:tr>
      <w:tr w:rsidR="00284391" w:rsidRPr="00ED4D49" w14:paraId="5C98DEC5" w14:textId="77777777" w:rsidTr="00284391">
        <w:tc>
          <w:tcPr>
            <w:tcW w:w="1751" w:type="dxa"/>
            <w:vMerge/>
            <w:shd w:val="clear" w:color="auto" w:fill="auto"/>
            <w:vAlign w:val="center"/>
          </w:tcPr>
          <w:p w14:paraId="160B5CE8" w14:textId="77777777" w:rsidR="00284391" w:rsidRPr="00ED4D49" w:rsidRDefault="00284391" w:rsidP="00C27BB5">
            <w:pPr>
              <w:autoSpaceDE w:val="0"/>
              <w:autoSpaceDN w:val="0"/>
              <w:adjustRightInd w:val="0"/>
              <w:spacing w:before="0" w:after="0" w:line="240" w:lineRule="auto"/>
              <w:rPr>
                <w:rFonts w:cs="Calibri"/>
                <w:sz w:val="16"/>
                <w:szCs w:val="16"/>
                <w:lang w:val="en-US"/>
              </w:rPr>
            </w:pPr>
          </w:p>
        </w:tc>
        <w:tc>
          <w:tcPr>
            <w:tcW w:w="7259" w:type="dxa"/>
            <w:shd w:val="clear" w:color="auto" w:fill="auto"/>
            <w:vAlign w:val="center"/>
          </w:tcPr>
          <w:p w14:paraId="4CF7E1A9" w14:textId="77777777" w:rsidR="00284391" w:rsidRPr="00ED4D49" w:rsidRDefault="00284391" w:rsidP="00C27BB5">
            <w:pPr>
              <w:autoSpaceDE w:val="0"/>
              <w:autoSpaceDN w:val="0"/>
              <w:adjustRightInd w:val="0"/>
              <w:spacing w:before="0" w:after="0" w:line="240" w:lineRule="auto"/>
              <w:rPr>
                <w:rFonts w:cs="Calibri"/>
                <w:sz w:val="16"/>
                <w:szCs w:val="16"/>
                <w:lang w:val="en-US"/>
              </w:rPr>
            </w:pPr>
            <w:r w:rsidRPr="00ED4D49">
              <w:rPr>
                <w:rFonts w:cs="Calibri"/>
                <w:sz w:val="16"/>
                <w:szCs w:val="16"/>
                <w:lang w:val="en-US"/>
              </w:rPr>
              <w:t xml:space="preserve">The </w:t>
            </w:r>
            <w:proofErr w:type="spellStart"/>
            <w:r w:rsidRPr="00ED4D49">
              <w:rPr>
                <w:rFonts w:cs="Calibri"/>
                <w:sz w:val="16"/>
                <w:szCs w:val="16"/>
                <w:lang w:val="en-US"/>
              </w:rPr>
              <w:t>Kozetina</w:t>
            </w:r>
            <w:proofErr w:type="spellEnd"/>
            <w:r w:rsidRPr="00ED4D49">
              <w:rPr>
                <w:rFonts w:cs="Calibri"/>
                <w:sz w:val="16"/>
                <w:szCs w:val="16"/>
                <w:lang w:val="en-US"/>
              </w:rPr>
              <w:t xml:space="preserve"> bridge, the historical monument</w:t>
            </w:r>
          </w:p>
        </w:tc>
      </w:tr>
      <w:tr w:rsidR="00284391" w:rsidRPr="00ED4D49" w14:paraId="0300BFC1" w14:textId="77777777" w:rsidTr="00284391">
        <w:tc>
          <w:tcPr>
            <w:tcW w:w="1751" w:type="dxa"/>
            <w:vMerge/>
            <w:shd w:val="clear" w:color="auto" w:fill="auto"/>
            <w:vAlign w:val="center"/>
          </w:tcPr>
          <w:p w14:paraId="6FA70541" w14:textId="77777777" w:rsidR="00284391" w:rsidRPr="00ED4D49" w:rsidRDefault="00284391" w:rsidP="00C27BB5">
            <w:pPr>
              <w:autoSpaceDE w:val="0"/>
              <w:autoSpaceDN w:val="0"/>
              <w:adjustRightInd w:val="0"/>
              <w:spacing w:before="0" w:after="0" w:line="240" w:lineRule="auto"/>
              <w:rPr>
                <w:rFonts w:cs="Calibri"/>
                <w:sz w:val="16"/>
                <w:szCs w:val="16"/>
                <w:lang w:val="en-US"/>
              </w:rPr>
            </w:pPr>
          </w:p>
        </w:tc>
        <w:tc>
          <w:tcPr>
            <w:tcW w:w="7259" w:type="dxa"/>
            <w:shd w:val="clear" w:color="auto" w:fill="auto"/>
            <w:vAlign w:val="center"/>
          </w:tcPr>
          <w:p w14:paraId="758178B5" w14:textId="77777777" w:rsidR="00284391" w:rsidRPr="00ED4D49" w:rsidRDefault="00284391" w:rsidP="00C27BB5">
            <w:pPr>
              <w:autoSpaceDE w:val="0"/>
              <w:autoSpaceDN w:val="0"/>
              <w:adjustRightInd w:val="0"/>
              <w:spacing w:before="0" w:after="0" w:line="240" w:lineRule="auto"/>
              <w:rPr>
                <w:rFonts w:cs="Calibri"/>
                <w:sz w:val="16"/>
                <w:szCs w:val="16"/>
                <w:lang w:val="en-US"/>
              </w:rPr>
            </w:pPr>
            <w:r w:rsidRPr="00ED4D49">
              <w:rPr>
                <w:rFonts w:cs="Calibri"/>
                <w:sz w:val="16"/>
                <w:szCs w:val="16"/>
                <w:lang w:val="en-US"/>
              </w:rPr>
              <w:t xml:space="preserve">Settlement Zebina </w:t>
            </w:r>
            <w:proofErr w:type="spellStart"/>
            <w:r w:rsidRPr="00ED4D49">
              <w:rPr>
                <w:rFonts w:cs="Calibri"/>
                <w:sz w:val="16"/>
                <w:szCs w:val="16"/>
                <w:lang w:val="en-US"/>
              </w:rPr>
              <w:t>suma</w:t>
            </w:r>
            <w:proofErr w:type="spellEnd"/>
            <w:r w:rsidRPr="00ED4D49">
              <w:rPr>
                <w:rFonts w:cs="Calibri"/>
                <w:sz w:val="16"/>
                <w:szCs w:val="16"/>
                <w:lang w:val="en-US"/>
              </w:rPr>
              <w:t xml:space="preserve"> (</w:t>
            </w:r>
            <w:proofErr w:type="gramStart"/>
            <w:r w:rsidRPr="00ED4D49">
              <w:rPr>
                <w:rFonts w:cs="Calibri"/>
                <w:sz w:val="16"/>
                <w:szCs w:val="16"/>
                <w:lang w:val="en-US"/>
              </w:rPr>
              <w:t>Finch forest</w:t>
            </w:r>
            <w:proofErr w:type="gramEnd"/>
            <w:r w:rsidRPr="00ED4D49">
              <w:rPr>
                <w:rFonts w:cs="Calibri"/>
                <w:sz w:val="16"/>
                <w:szCs w:val="16"/>
                <w:lang w:val="en-US"/>
              </w:rPr>
              <w:t>), the historic site</w:t>
            </w:r>
          </w:p>
        </w:tc>
      </w:tr>
      <w:tr w:rsidR="00284391" w:rsidRPr="00ED4D49" w14:paraId="551E515E" w14:textId="77777777" w:rsidTr="00284391">
        <w:tc>
          <w:tcPr>
            <w:tcW w:w="1751" w:type="dxa"/>
            <w:vMerge w:val="restart"/>
            <w:shd w:val="clear" w:color="auto" w:fill="auto"/>
            <w:vAlign w:val="center"/>
          </w:tcPr>
          <w:p w14:paraId="4EC8F64D" w14:textId="77777777" w:rsidR="00284391" w:rsidRPr="00ED4D49" w:rsidRDefault="00284391" w:rsidP="00C27BB5">
            <w:pPr>
              <w:autoSpaceDE w:val="0"/>
              <w:autoSpaceDN w:val="0"/>
              <w:adjustRightInd w:val="0"/>
              <w:spacing w:before="0" w:after="0" w:line="240" w:lineRule="auto"/>
              <w:rPr>
                <w:rFonts w:cs="Calibri"/>
                <w:sz w:val="16"/>
                <w:szCs w:val="16"/>
                <w:lang w:val="en-US"/>
              </w:rPr>
            </w:pPr>
            <w:proofErr w:type="spellStart"/>
            <w:r w:rsidRPr="00ED4D49">
              <w:rPr>
                <w:rFonts w:cs="Calibri"/>
                <w:sz w:val="16"/>
                <w:szCs w:val="16"/>
                <w:lang w:val="en-US"/>
              </w:rPr>
              <w:t>Goražde</w:t>
            </w:r>
            <w:proofErr w:type="spellEnd"/>
          </w:p>
        </w:tc>
        <w:tc>
          <w:tcPr>
            <w:tcW w:w="7259" w:type="dxa"/>
            <w:shd w:val="clear" w:color="auto" w:fill="auto"/>
            <w:vAlign w:val="center"/>
          </w:tcPr>
          <w:p w14:paraId="0E9DC1BE" w14:textId="77777777" w:rsidR="00284391" w:rsidRPr="00ED4D49" w:rsidRDefault="00284391" w:rsidP="00C27BB5">
            <w:pPr>
              <w:autoSpaceDE w:val="0"/>
              <w:autoSpaceDN w:val="0"/>
              <w:adjustRightInd w:val="0"/>
              <w:spacing w:before="0" w:after="0" w:line="240" w:lineRule="auto"/>
              <w:rPr>
                <w:rFonts w:cs="Calibri"/>
                <w:sz w:val="16"/>
                <w:szCs w:val="16"/>
                <w:lang w:val="en-US"/>
              </w:rPr>
            </w:pPr>
            <w:r w:rsidRPr="00ED4D49">
              <w:rPr>
                <w:rFonts w:cs="Calibri"/>
                <w:sz w:val="16"/>
                <w:szCs w:val="16"/>
                <w:lang w:val="en-US"/>
              </w:rPr>
              <w:t xml:space="preserve">The necropolis with </w:t>
            </w:r>
            <w:proofErr w:type="spellStart"/>
            <w:r w:rsidRPr="00ED4D49">
              <w:rPr>
                <w:rFonts w:cs="Calibri"/>
                <w:sz w:val="16"/>
                <w:szCs w:val="16"/>
                <w:lang w:val="en-US"/>
              </w:rPr>
              <w:t>stecak</w:t>
            </w:r>
            <w:proofErr w:type="spellEnd"/>
            <w:r w:rsidRPr="00ED4D49">
              <w:rPr>
                <w:rFonts w:cs="Calibri"/>
                <w:sz w:val="16"/>
                <w:szCs w:val="16"/>
                <w:lang w:val="en-US"/>
              </w:rPr>
              <w:t xml:space="preserve"> tombstones in </w:t>
            </w:r>
            <w:proofErr w:type="spellStart"/>
            <w:r w:rsidRPr="00ED4D49">
              <w:rPr>
                <w:rFonts w:cs="Calibri"/>
                <w:sz w:val="16"/>
                <w:szCs w:val="16"/>
                <w:lang w:val="en-US"/>
              </w:rPr>
              <w:t>Hrancici</w:t>
            </w:r>
            <w:proofErr w:type="spellEnd"/>
            <w:r w:rsidRPr="00ED4D49">
              <w:rPr>
                <w:rFonts w:cs="Calibri"/>
                <w:sz w:val="16"/>
                <w:szCs w:val="16"/>
                <w:lang w:val="en-US"/>
              </w:rPr>
              <w:t>, the historic site</w:t>
            </w:r>
          </w:p>
        </w:tc>
      </w:tr>
      <w:tr w:rsidR="00284391" w:rsidRPr="00ED4D49" w14:paraId="17FD9065" w14:textId="77777777" w:rsidTr="00284391">
        <w:tc>
          <w:tcPr>
            <w:tcW w:w="1751" w:type="dxa"/>
            <w:vMerge/>
            <w:shd w:val="clear" w:color="auto" w:fill="auto"/>
            <w:vAlign w:val="center"/>
          </w:tcPr>
          <w:p w14:paraId="07245799" w14:textId="77777777" w:rsidR="00284391" w:rsidRPr="00ED4D49" w:rsidRDefault="00284391" w:rsidP="00C27BB5">
            <w:pPr>
              <w:autoSpaceDE w:val="0"/>
              <w:autoSpaceDN w:val="0"/>
              <w:adjustRightInd w:val="0"/>
              <w:spacing w:before="0" w:after="0" w:line="240" w:lineRule="auto"/>
              <w:rPr>
                <w:rFonts w:cs="Calibri"/>
                <w:sz w:val="16"/>
                <w:szCs w:val="16"/>
                <w:lang w:val="en-US"/>
              </w:rPr>
            </w:pPr>
          </w:p>
        </w:tc>
        <w:tc>
          <w:tcPr>
            <w:tcW w:w="7259" w:type="dxa"/>
            <w:shd w:val="clear" w:color="auto" w:fill="auto"/>
            <w:vAlign w:val="center"/>
          </w:tcPr>
          <w:p w14:paraId="184130E5" w14:textId="77777777" w:rsidR="00284391" w:rsidRPr="00ED4D49" w:rsidRDefault="00284391" w:rsidP="00C27BB5">
            <w:pPr>
              <w:autoSpaceDE w:val="0"/>
              <w:autoSpaceDN w:val="0"/>
              <w:adjustRightInd w:val="0"/>
              <w:spacing w:before="0" w:after="0" w:line="240" w:lineRule="auto"/>
              <w:rPr>
                <w:rFonts w:cs="Calibri"/>
                <w:sz w:val="16"/>
                <w:szCs w:val="16"/>
                <w:lang w:val="en-US"/>
              </w:rPr>
            </w:pPr>
            <w:r w:rsidRPr="00ED4D49">
              <w:rPr>
                <w:rFonts w:cs="Calibri"/>
                <w:sz w:val="16"/>
                <w:szCs w:val="16"/>
                <w:lang w:val="en-US"/>
              </w:rPr>
              <w:t xml:space="preserve">The necropolis with </w:t>
            </w:r>
            <w:proofErr w:type="spellStart"/>
            <w:r w:rsidRPr="00ED4D49">
              <w:rPr>
                <w:rFonts w:cs="Calibri"/>
                <w:sz w:val="16"/>
                <w:szCs w:val="16"/>
                <w:lang w:val="en-US"/>
              </w:rPr>
              <w:t>stecak</w:t>
            </w:r>
            <w:proofErr w:type="spellEnd"/>
            <w:r w:rsidRPr="00ED4D49">
              <w:rPr>
                <w:rFonts w:cs="Calibri"/>
                <w:sz w:val="16"/>
                <w:szCs w:val="16"/>
                <w:lang w:val="en-US"/>
              </w:rPr>
              <w:t xml:space="preserve"> tombstones in the </w:t>
            </w:r>
            <w:proofErr w:type="spellStart"/>
            <w:r w:rsidRPr="00ED4D49">
              <w:rPr>
                <w:rFonts w:cs="Calibri"/>
                <w:sz w:val="16"/>
                <w:szCs w:val="16"/>
                <w:lang w:val="en-US"/>
              </w:rPr>
              <w:t>Kosace</w:t>
            </w:r>
            <w:proofErr w:type="spellEnd"/>
            <w:r w:rsidRPr="00ED4D49">
              <w:rPr>
                <w:rFonts w:cs="Calibri"/>
                <w:sz w:val="16"/>
                <w:szCs w:val="16"/>
                <w:lang w:val="en-US"/>
              </w:rPr>
              <w:t xml:space="preserve"> village, the historic site</w:t>
            </w:r>
          </w:p>
        </w:tc>
      </w:tr>
      <w:tr w:rsidR="00284391" w:rsidRPr="00ED4D49" w14:paraId="4283060A" w14:textId="77777777" w:rsidTr="00284391">
        <w:tc>
          <w:tcPr>
            <w:tcW w:w="1751" w:type="dxa"/>
            <w:vMerge/>
            <w:shd w:val="clear" w:color="auto" w:fill="auto"/>
            <w:vAlign w:val="center"/>
          </w:tcPr>
          <w:p w14:paraId="759925F0" w14:textId="77777777" w:rsidR="00284391" w:rsidRPr="00ED4D49" w:rsidRDefault="00284391" w:rsidP="00C27BB5">
            <w:pPr>
              <w:autoSpaceDE w:val="0"/>
              <w:autoSpaceDN w:val="0"/>
              <w:adjustRightInd w:val="0"/>
              <w:spacing w:before="0" w:after="0" w:line="240" w:lineRule="auto"/>
              <w:rPr>
                <w:rFonts w:cs="Calibri"/>
                <w:sz w:val="16"/>
                <w:szCs w:val="16"/>
                <w:lang w:val="en-US"/>
              </w:rPr>
            </w:pPr>
          </w:p>
        </w:tc>
        <w:tc>
          <w:tcPr>
            <w:tcW w:w="7259" w:type="dxa"/>
            <w:shd w:val="clear" w:color="auto" w:fill="auto"/>
            <w:vAlign w:val="center"/>
          </w:tcPr>
          <w:p w14:paraId="0F5171AF" w14:textId="77777777" w:rsidR="00284391" w:rsidRPr="00ED4D49" w:rsidRDefault="00284391" w:rsidP="00C27BB5">
            <w:pPr>
              <w:autoSpaceDE w:val="0"/>
              <w:autoSpaceDN w:val="0"/>
              <w:adjustRightInd w:val="0"/>
              <w:spacing w:before="0" w:after="0" w:line="240" w:lineRule="auto"/>
              <w:rPr>
                <w:rFonts w:cs="Calibri"/>
                <w:sz w:val="16"/>
                <w:szCs w:val="16"/>
                <w:lang w:val="en-US"/>
              </w:rPr>
            </w:pPr>
            <w:r w:rsidRPr="00ED4D49">
              <w:rPr>
                <w:rFonts w:cs="Calibri"/>
                <w:sz w:val="16"/>
                <w:szCs w:val="16"/>
                <w:lang w:val="en-US"/>
              </w:rPr>
              <w:t>Neolithic settlement of Lug, the archaeological site</w:t>
            </w:r>
          </w:p>
        </w:tc>
      </w:tr>
      <w:tr w:rsidR="00284391" w:rsidRPr="00ED4D49" w14:paraId="3A7F664C" w14:textId="77777777" w:rsidTr="00284391">
        <w:tc>
          <w:tcPr>
            <w:tcW w:w="1751" w:type="dxa"/>
            <w:shd w:val="clear" w:color="auto" w:fill="auto"/>
            <w:vAlign w:val="center"/>
          </w:tcPr>
          <w:p w14:paraId="378B81B4" w14:textId="77777777" w:rsidR="00284391" w:rsidRPr="00ED4D49" w:rsidRDefault="00284391" w:rsidP="00C27BB5">
            <w:pPr>
              <w:autoSpaceDE w:val="0"/>
              <w:autoSpaceDN w:val="0"/>
              <w:adjustRightInd w:val="0"/>
              <w:spacing w:before="0" w:after="0" w:line="240" w:lineRule="auto"/>
              <w:rPr>
                <w:rFonts w:cs="Calibri"/>
                <w:sz w:val="16"/>
                <w:szCs w:val="16"/>
                <w:lang w:val="en-US"/>
              </w:rPr>
            </w:pPr>
            <w:r w:rsidRPr="00ED4D49">
              <w:rPr>
                <w:rFonts w:cs="Calibri"/>
                <w:sz w:val="16"/>
                <w:szCs w:val="16"/>
                <w:lang w:val="en-US"/>
              </w:rPr>
              <w:t>Pale‐</w:t>
            </w:r>
            <w:proofErr w:type="spellStart"/>
            <w:r w:rsidRPr="00ED4D49">
              <w:rPr>
                <w:rFonts w:cs="Calibri"/>
                <w:sz w:val="16"/>
                <w:szCs w:val="16"/>
                <w:lang w:val="en-US"/>
              </w:rPr>
              <w:t>Prača</w:t>
            </w:r>
            <w:proofErr w:type="spellEnd"/>
          </w:p>
        </w:tc>
        <w:tc>
          <w:tcPr>
            <w:tcW w:w="7259" w:type="dxa"/>
            <w:shd w:val="clear" w:color="auto" w:fill="auto"/>
            <w:vAlign w:val="center"/>
          </w:tcPr>
          <w:p w14:paraId="7DFBA895" w14:textId="77777777" w:rsidR="00284391" w:rsidRPr="00ED4D49" w:rsidRDefault="00284391" w:rsidP="00C27BB5">
            <w:pPr>
              <w:autoSpaceDE w:val="0"/>
              <w:autoSpaceDN w:val="0"/>
              <w:adjustRightInd w:val="0"/>
              <w:spacing w:before="0" w:after="0" w:line="240" w:lineRule="auto"/>
              <w:rPr>
                <w:rFonts w:cs="Calibri"/>
                <w:sz w:val="16"/>
                <w:szCs w:val="16"/>
                <w:lang w:val="en-US"/>
              </w:rPr>
            </w:pPr>
            <w:r w:rsidRPr="00ED4D49">
              <w:rPr>
                <w:rFonts w:cs="Calibri"/>
                <w:sz w:val="16"/>
                <w:szCs w:val="16"/>
                <w:lang w:val="en-US"/>
              </w:rPr>
              <w:t xml:space="preserve">The Semiz Ali Pasha </w:t>
            </w:r>
            <w:proofErr w:type="spellStart"/>
            <w:r w:rsidRPr="00ED4D49">
              <w:rPr>
                <w:rFonts w:cs="Calibri"/>
                <w:sz w:val="16"/>
                <w:szCs w:val="16"/>
                <w:lang w:val="en-US"/>
              </w:rPr>
              <w:t>turbe</w:t>
            </w:r>
            <w:proofErr w:type="spellEnd"/>
            <w:r w:rsidRPr="00ED4D49">
              <w:rPr>
                <w:rFonts w:cs="Calibri"/>
                <w:sz w:val="16"/>
                <w:szCs w:val="16"/>
                <w:lang w:val="en-US"/>
              </w:rPr>
              <w:t xml:space="preserve"> with harem of the Semiz Ali Pasha mosque in </w:t>
            </w:r>
            <w:proofErr w:type="spellStart"/>
            <w:r w:rsidRPr="00ED4D49">
              <w:rPr>
                <w:rFonts w:cs="Calibri"/>
                <w:sz w:val="16"/>
                <w:szCs w:val="16"/>
                <w:lang w:val="en-US"/>
              </w:rPr>
              <w:t>Praca</w:t>
            </w:r>
            <w:proofErr w:type="spellEnd"/>
            <w:r w:rsidRPr="00ED4D49">
              <w:rPr>
                <w:rFonts w:cs="Calibri"/>
                <w:sz w:val="16"/>
                <w:szCs w:val="16"/>
                <w:lang w:val="en-US"/>
              </w:rPr>
              <w:t>, the architectural ensemble</w:t>
            </w:r>
          </w:p>
        </w:tc>
      </w:tr>
    </w:tbl>
    <w:p w14:paraId="076E81AF" w14:textId="169B48EF" w:rsidR="00A0077D" w:rsidRPr="00ED4D49" w:rsidRDefault="00A0077D" w:rsidP="00C27BB5">
      <w:pPr>
        <w:rPr>
          <w:rFonts w:cs="Calibri"/>
          <w:lang w:val="en-US"/>
        </w:rPr>
      </w:pPr>
    </w:p>
    <w:p w14:paraId="5E49ADA6" w14:textId="4B979551" w:rsidR="00A0077D" w:rsidRPr="00ED4D49" w:rsidRDefault="00A0077D" w:rsidP="00C27BB5">
      <w:pPr>
        <w:rPr>
          <w:rFonts w:cs="Calibri"/>
          <w:lang w:val="en-US"/>
        </w:rPr>
      </w:pPr>
      <w:r w:rsidRPr="00ED4D49">
        <w:rPr>
          <w:rFonts w:cs="Calibri"/>
          <w:lang w:val="en-US"/>
        </w:rPr>
        <w:br w:type="page"/>
      </w:r>
    </w:p>
    <w:p w14:paraId="5E3C573E" w14:textId="63138D71" w:rsidR="00A0077D" w:rsidRPr="00ED4D49" w:rsidRDefault="00A0077D" w:rsidP="00530056">
      <w:pPr>
        <w:pStyle w:val="Heading2"/>
        <w:numPr>
          <w:ilvl w:val="0"/>
          <w:numId w:val="30"/>
        </w:numPr>
        <w:ind w:left="426" w:hanging="426"/>
      </w:pPr>
      <w:bookmarkStart w:id="277" w:name="_Toc22583821"/>
      <w:bookmarkStart w:id="278" w:name="_Ref22553156"/>
      <w:bookmarkStart w:id="279" w:name="_Toc22569772"/>
      <w:bookmarkStart w:id="280" w:name="_Toc22570325"/>
      <w:bookmarkStart w:id="281" w:name="_Toc31811109"/>
      <w:bookmarkEnd w:id="277"/>
      <w:r w:rsidRPr="00ED4D49">
        <w:lastRenderedPageBreak/>
        <w:t xml:space="preserve">Sites of Cultural and Historical Heritage in Municipalities of the </w:t>
      </w:r>
      <w:bookmarkEnd w:id="278"/>
      <w:bookmarkEnd w:id="279"/>
      <w:bookmarkEnd w:id="280"/>
      <w:r w:rsidR="00DA7A17" w:rsidRPr="00ED4D49">
        <w:t>BiH</w:t>
      </w:r>
      <w:bookmarkEnd w:id="281"/>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1463"/>
        <w:gridCol w:w="7547"/>
      </w:tblGrid>
      <w:tr w:rsidR="00A0077D" w:rsidRPr="00ED4D49" w14:paraId="795563FD" w14:textId="77777777" w:rsidTr="00A0077D">
        <w:trPr>
          <w:tblHeader/>
        </w:trPr>
        <w:tc>
          <w:tcPr>
            <w:tcW w:w="0" w:type="auto"/>
            <w:shd w:val="clear" w:color="auto" w:fill="auto"/>
            <w:vAlign w:val="center"/>
          </w:tcPr>
          <w:p w14:paraId="4BEBDB59" w14:textId="77777777" w:rsidR="00A0077D" w:rsidRPr="00ED4D49" w:rsidRDefault="00A0077D" w:rsidP="00A0077D">
            <w:pPr>
              <w:spacing w:before="0" w:after="0"/>
              <w:rPr>
                <w:rFonts w:cs="Calibri"/>
                <w:color w:val="336699"/>
                <w:sz w:val="16"/>
                <w:szCs w:val="16"/>
                <w:lang w:val="en-US"/>
              </w:rPr>
            </w:pPr>
            <w:r w:rsidRPr="00ED4D49">
              <w:rPr>
                <w:rFonts w:cs="Calibri"/>
                <w:color w:val="336699"/>
                <w:sz w:val="16"/>
                <w:szCs w:val="16"/>
                <w:lang w:val="en-US"/>
              </w:rPr>
              <w:t>Entity/Municipality</w:t>
            </w:r>
          </w:p>
        </w:tc>
        <w:tc>
          <w:tcPr>
            <w:tcW w:w="0" w:type="auto"/>
            <w:shd w:val="clear" w:color="auto" w:fill="auto"/>
            <w:vAlign w:val="center"/>
          </w:tcPr>
          <w:p w14:paraId="324AC431" w14:textId="77777777" w:rsidR="00A0077D" w:rsidRPr="00ED4D49" w:rsidRDefault="00A0077D" w:rsidP="00A0077D">
            <w:pPr>
              <w:spacing w:before="0" w:after="0"/>
              <w:rPr>
                <w:rFonts w:cs="Calibri"/>
                <w:color w:val="336699"/>
                <w:sz w:val="16"/>
                <w:szCs w:val="16"/>
                <w:lang w:val="en-US"/>
              </w:rPr>
            </w:pPr>
            <w:r w:rsidRPr="00ED4D49">
              <w:rPr>
                <w:rFonts w:cs="Calibri"/>
                <w:color w:val="336699"/>
                <w:sz w:val="16"/>
                <w:szCs w:val="16"/>
                <w:lang w:val="en-US"/>
              </w:rPr>
              <w:t>Site</w:t>
            </w:r>
          </w:p>
        </w:tc>
      </w:tr>
      <w:tr w:rsidR="00A0077D" w:rsidRPr="00ED4D49" w14:paraId="353A550C" w14:textId="77777777" w:rsidTr="00A0077D">
        <w:tc>
          <w:tcPr>
            <w:tcW w:w="0" w:type="auto"/>
            <w:gridSpan w:val="2"/>
            <w:shd w:val="clear" w:color="auto" w:fill="auto"/>
            <w:vAlign w:val="center"/>
          </w:tcPr>
          <w:p w14:paraId="5BE9D918" w14:textId="77777777" w:rsidR="00A0077D" w:rsidRPr="00ED4D49" w:rsidRDefault="00A0077D" w:rsidP="00A0077D">
            <w:pPr>
              <w:spacing w:before="0" w:after="0"/>
              <w:rPr>
                <w:rFonts w:cs="Calibri"/>
                <w:b/>
                <w:sz w:val="16"/>
                <w:szCs w:val="16"/>
                <w:lang w:val="en-US"/>
              </w:rPr>
            </w:pPr>
            <w:r w:rsidRPr="00ED4D49">
              <w:rPr>
                <w:rFonts w:cs="Calibri"/>
                <w:b/>
                <w:sz w:val="16"/>
                <w:szCs w:val="16"/>
                <w:lang w:val="en-US" w:eastAsia="bs-Latn-BA"/>
              </w:rPr>
              <w:t>RS</w:t>
            </w:r>
          </w:p>
        </w:tc>
      </w:tr>
      <w:tr w:rsidR="00A0077D" w:rsidRPr="00ED4D49" w14:paraId="68BDBDE4" w14:textId="77777777" w:rsidTr="00A0077D">
        <w:tc>
          <w:tcPr>
            <w:tcW w:w="0" w:type="auto"/>
            <w:vMerge w:val="restart"/>
            <w:shd w:val="clear" w:color="auto" w:fill="auto"/>
            <w:vAlign w:val="center"/>
          </w:tcPr>
          <w:p w14:paraId="19DD7358" w14:textId="77777777" w:rsidR="00A0077D" w:rsidRPr="00ED4D49" w:rsidRDefault="00A0077D" w:rsidP="00A0077D">
            <w:pPr>
              <w:spacing w:before="0" w:after="0"/>
              <w:rPr>
                <w:rFonts w:cs="Calibri"/>
                <w:sz w:val="16"/>
                <w:szCs w:val="16"/>
                <w:lang w:val="en-US" w:eastAsia="bs-Latn-BA"/>
              </w:rPr>
            </w:pPr>
            <w:proofErr w:type="spellStart"/>
            <w:r w:rsidRPr="00ED4D49">
              <w:rPr>
                <w:rFonts w:cs="Calibri"/>
                <w:sz w:val="16"/>
                <w:szCs w:val="16"/>
                <w:lang w:val="en-US" w:eastAsia="bs-Latn-BA"/>
              </w:rPr>
              <w:t>Gradiška</w:t>
            </w:r>
            <w:proofErr w:type="spellEnd"/>
          </w:p>
        </w:tc>
        <w:tc>
          <w:tcPr>
            <w:tcW w:w="0" w:type="auto"/>
            <w:shd w:val="clear" w:color="auto" w:fill="auto"/>
            <w:vAlign w:val="center"/>
          </w:tcPr>
          <w:p w14:paraId="5F9EC378" w14:textId="77777777" w:rsidR="00A0077D" w:rsidRPr="00ED4D49" w:rsidRDefault="00A0077D" w:rsidP="00A0077D">
            <w:pPr>
              <w:spacing w:before="0" w:after="0"/>
              <w:rPr>
                <w:rFonts w:cs="Calibri"/>
                <w:sz w:val="16"/>
                <w:szCs w:val="16"/>
                <w:lang w:val="en-US"/>
              </w:rPr>
            </w:pPr>
            <w:r w:rsidRPr="00ED4D49">
              <w:rPr>
                <w:rFonts w:eastAsia="Times New Roman" w:cs="Calibri"/>
                <w:sz w:val="16"/>
                <w:szCs w:val="16"/>
                <w:lang w:val="en-US" w:eastAsia="hr-HR"/>
              </w:rPr>
              <w:t xml:space="preserve">Turbe of Shaikh </w:t>
            </w:r>
            <w:proofErr w:type="spellStart"/>
            <w:r w:rsidRPr="00ED4D49">
              <w:rPr>
                <w:rFonts w:eastAsia="Times New Roman" w:cs="Calibri"/>
                <w:sz w:val="16"/>
                <w:szCs w:val="16"/>
                <w:lang w:val="en-US" w:eastAsia="hr-HR"/>
              </w:rPr>
              <w:t>Gaibija</w:t>
            </w:r>
            <w:proofErr w:type="spellEnd"/>
            <w:r w:rsidRPr="00ED4D49">
              <w:rPr>
                <w:rFonts w:eastAsia="Times New Roman" w:cs="Calibri"/>
                <w:sz w:val="16"/>
                <w:szCs w:val="16"/>
                <w:lang w:val="en-US" w:eastAsia="hr-HR"/>
              </w:rPr>
              <w:t xml:space="preserve"> and harem of the Tekke Mosque, the architectural ensemble</w:t>
            </w:r>
          </w:p>
        </w:tc>
      </w:tr>
      <w:tr w:rsidR="00A0077D" w:rsidRPr="00ED4D49" w14:paraId="648A5103" w14:textId="77777777" w:rsidTr="00A0077D">
        <w:tc>
          <w:tcPr>
            <w:tcW w:w="0" w:type="auto"/>
            <w:vMerge/>
            <w:shd w:val="clear" w:color="auto" w:fill="auto"/>
            <w:vAlign w:val="center"/>
          </w:tcPr>
          <w:p w14:paraId="522AB1DD" w14:textId="77777777" w:rsidR="00A0077D" w:rsidRPr="00ED4D49" w:rsidRDefault="00A0077D" w:rsidP="00A0077D">
            <w:pPr>
              <w:spacing w:before="0" w:after="0"/>
              <w:rPr>
                <w:rFonts w:cs="Calibri"/>
                <w:sz w:val="16"/>
                <w:szCs w:val="16"/>
                <w:lang w:val="en-US" w:eastAsia="bs-Latn-BA"/>
              </w:rPr>
            </w:pPr>
          </w:p>
        </w:tc>
        <w:tc>
          <w:tcPr>
            <w:tcW w:w="0" w:type="auto"/>
            <w:shd w:val="clear" w:color="auto" w:fill="auto"/>
            <w:vAlign w:val="center"/>
          </w:tcPr>
          <w:p w14:paraId="4AF6438D" w14:textId="77777777" w:rsidR="00A0077D" w:rsidRPr="00ED4D49" w:rsidRDefault="00A0077D" w:rsidP="00A0077D">
            <w:pPr>
              <w:spacing w:before="0" w:after="0"/>
              <w:rPr>
                <w:rFonts w:cs="Calibri"/>
                <w:sz w:val="16"/>
                <w:szCs w:val="16"/>
                <w:lang w:val="en-US"/>
              </w:rPr>
            </w:pPr>
            <w:proofErr w:type="spellStart"/>
            <w:r w:rsidRPr="00ED4D49">
              <w:rPr>
                <w:rFonts w:eastAsia="Times New Roman" w:cs="Calibri"/>
                <w:sz w:val="16"/>
                <w:szCs w:val="16"/>
                <w:lang w:val="en-US" w:eastAsia="hr-HR"/>
              </w:rPr>
              <w:t>Medresa</w:t>
            </w:r>
            <w:proofErr w:type="spellEnd"/>
            <w:r w:rsidRPr="00ED4D49">
              <w:rPr>
                <w:rFonts w:eastAsia="Times New Roman" w:cs="Calibri"/>
                <w:sz w:val="16"/>
                <w:szCs w:val="16"/>
                <w:lang w:val="en-US" w:eastAsia="hr-HR"/>
              </w:rPr>
              <w:t xml:space="preserve"> (</w:t>
            </w:r>
            <w:proofErr w:type="spellStart"/>
            <w:r w:rsidRPr="00ED4D49">
              <w:rPr>
                <w:rFonts w:eastAsia="Times New Roman" w:cs="Calibri"/>
                <w:sz w:val="16"/>
                <w:szCs w:val="16"/>
                <w:lang w:val="en-US" w:eastAsia="hr-HR"/>
              </w:rPr>
              <w:t>Derviš</w:t>
            </w:r>
            <w:proofErr w:type="spellEnd"/>
            <w:r w:rsidRPr="00ED4D49">
              <w:rPr>
                <w:rFonts w:eastAsia="Times New Roman" w:cs="Calibri"/>
                <w:sz w:val="16"/>
                <w:szCs w:val="16"/>
                <w:lang w:val="en-US" w:eastAsia="hr-HR"/>
              </w:rPr>
              <w:t xml:space="preserve"> </w:t>
            </w:r>
            <w:proofErr w:type="spellStart"/>
            <w:r w:rsidRPr="00ED4D49">
              <w:rPr>
                <w:rFonts w:eastAsia="Times New Roman" w:cs="Calibri"/>
                <w:sz w:val="16"/>
                <w:szCs w:val="16"/>
                <w:lang w:val="en-US" w:eastAsia="hr-HR"/>
              </w:rPr>
              <w:t>Hanume</w:t>
            </w:r>
            <w:proofErr w:type="spellEnd"/>
            <w:r w:rsidRPr="00ED4D49">
              <w:rPr>
                <w:rFonts w:eastAsia="Times New Roman" w:cs="Calibri"/>
                <w:sz w:val="16"/>
                <w:szCs w:val="16"/>
                <w:lang w:val="en-US" w:eastAsia="hr-HR"/>
              </w:rPr>
              <w:t xml:space="preserve"> </w:t>
            </w:r>
            <w:proofErr w:type="spellStart"/>
            <w:r w:rsidRPr="00ED4D49">
              <w:rPr>
                <w:rFonts w:eastAsia="Times New Roman" w:cs="Calibri"/>
                <w:sz w:val="16"/>
                <w:szCs w:val="16"/>
                <w:lang w:val="en-US" w:eastAsia="hr-HR"/>
              </w:rPr>
              <w:t>medresa</w:t>
            </w:r>
            <w:proofErr w:type="spellEnd"/>
            <w:r w:rsidRPr="00ED4D49">
              <w:rPr>
                <w:rFonts w:eastAsia="Times New Roman" w:cs="Calibri"/>
                <w:sz w:val="16"/>
                <w:szCs w:val="16"/>
                <w:lang w:val="en-US" w:eastAsia="hr-HR"/>
              </w:rPr>
              <w:t>), the historic building</w:t>
            </w:r>
          </w:p>
        </w:tc>
      </w:tr>
      <w:tr w:rsidR="00A0077D" w:rsidRPr="00ED4D49" w14:paraId="1200F314" w14:textId="77777777" w:rsidTr="00A0077D">
        <w:tc>
          <w:tcPr>
            <w:tcW w:w="0" w:type="auto"/>
            <w:vMerge/>
            <w:shd w:val="clear" w:color="auto" w:fill="auto"/>
            <w:vAlign w:val="center"/>
          </w:tcPr>
          <w:p w14:paraId="2952C34C" w14:textId="77777777" w:rsidR="00A0077D" w:rsidRPr="00ED4D49" w:rsidRDefault="00A0077D" w:rsidP="00A0077D">
            <w:pPr>
              <w:spacing w:before="0" w:after="0"/>
              <w:rPr>
                <w:rFonts w:cs="Calibri"/>
                <w:sz w:val="16"/>
                <w:szCs w:val="16"/>
                <w:lang w:val="en-US" w:eastAsia="bs-Latn-BA"/>
              </w:rPr>
            </w:pPr>
          </w:p>
        </w:tc>
        <w:tc>
          <w:tcPr>
            <w:tcW w:w="0" w:type="auto"/>
            <w:shd w:val="clear" w:color="auto" w:fill="auto"/>
            <w:vAlign w:val="center"/>
          </w:tcPr>
          <w:p w14:paraId="671B00F7" w14:textId="77777777" w:rsidR="00A0077D" w:rsidRPr="00ED4D49" w:rsidRDefault="00A0077D" w:rsidP="00A0077D">
            <w:pPr>
              <w:spacing w:before="0" w:after="0"/>
              <w:rPr>
                <w:rFonts w:cs="Calibri"/>
                <w:sz w:val="16"/>
                <w:szCs w:val="16"/>
                <w:lang w:val="en-US"/>
              </w:rPr>
            </w:pPr>
            <w:r w:rsidRPr="00ED4D49">
              <w:rPr>
                <w:rFonts w:eastAsia="Times New Roman" w:cs="Calibri"/>
                <w:sz w:val="16"/>
                <w:szCs w:val="16"/>
                <w:lang w:val="en-US" w:eastAsia="hr-HR"/>
              </w:rPr>
              <w:t xml:space="preserve">Log-built church dedicated to St Nicholas in </w:t>
            </w:r>
            <w:proofErr w:type="spellStart"/>
            <w:r w:rsidRPr="00ED4D49">
              <w:rPr>
                <w:rFonts w:eastAsia="Times New Roman" w:cs="Calibri"/>
                <w:sz w:val="16"/>
                <w:szCs w:val="16"/>
                <w:lang w:val="en-US" w:eastAsia="hr-HR"/>
              </w:rPr>
              <w:t>Romanovci</w:t>
            </w:r>
            <w:proofErr w:type="spellEnd"/>
            <w:r w:rsidRPr="00ED4D49">
              <w:rPr>
                <w:rFonts w:eastAsia="Times New Roman" w:cs="Calibri"/>
                <w:sz w:val="16"/>
                <w:szCs w:val="16"/>
                <w:lang w:val="en-US" w:eastAsia="hr-HR"/>
              </w:rPr>
              <w:t>, the architectural ensemble</w:t>
            </w:r>
          </w:p>
        </w:tc>
      </w:tr>
      <w:tr w:rsidR="00A0077D" w:rsidRPr="00ED4D49" w14:paraId="072F89A6" w14:textId="77777777" w:rsidTr="00A0077D">
        <w:tc>
          <w:tcPr>
            <w:tcW w:w="0" w:type="auto"/>
            <w:vMerge/>
            <w:shd w:val="clear" w:color="auto" w:fill="auto"/>
            <w:vAlign w:val="center"/>
          </w:tcPr>
          <w:p w14:paraId="4979F698" w14:textId="77777777" w:rsidR="00A0077D" w:rsidRPr="00ED4D49" w:rsidRDefault="00A0077D" w:rsidP="00A0077D">
            <w:pPr>
              <w:spacing w:before="0" w:after="0"/>
              <w:rPr>
                <w:rFonts w:cs="Calibri"/>
                <w:sz w:val="16"/>
                <w:szCs w:val="16"/>
                <w:lang w:val="en-US" w:eastAsia="bs-Latn-BA"/>
              </w:rPr>
            </w:pPr>
          </w:p>
        </w:tc>
        <w:tc>
          <w:tcPr>
            <w:tcW w:w="0" w:type="auto"/>
            <w:shd w:val="clear" w:color="auto" w:fill="auto"/>
            <w:vAlign w:val="center"/>
          </w:tcPr>
          <w:p w14:paraId="66F60520" w14:textId="77777777" w:rsidR="00A0077D" w:rsidRPr="00ED4D49" w:rsidRDefault="00A0077D" w:rsidP="00A0077D">
            <w:pPr>
              <w:spacing w:before="0" w:after="0"/>
              <w:rPr>
                <w:rFonts w:eastAsia="Times New Roman" w:cs="Calibri"/>
                <w:sz w:val="16"/>
                <w:szCs w:val="16"/>
                <w:lang w:val="en-US" w:eastAsia="hr-HR"/>
              </w:rPr>
            </w:pPr>
            <w:r w:rsidRPr="00ED4D49">
              <w:rPr>
                <w:rFonts w:eastAsia="Times New Roman" w:cs="Calibri"/>
                <w:sz w:val="16"/>
                <w:szCs w:val="16"/>
                <w:lang w:val="en-US" w:eastAsia="hr-HR"/>
              </w:rPr>
              <w:t>Prehistoric settlement Donja Dolina, the archaeological site</w:t>
            </w:r>
          </w:p>
        </w:tc>
      </w:tr>
      <w:tr w:rsidR="00A0077D" w:rsidRPr="00ED4D49" w14:paraId="130CB7D6" w14:textId="77777777" w:rsidTr="00A0077D">
        <w:tc>
          <w:tcPr>
            <w:tcW w:w="0" w:type="auto"/>
            <w:vMerge/>
            <w:shd w:val="clear" w:color="auto" w:fill="auto"/>
            <w:vAlign w:val="center"/>
          </w:tcPr>
          <w:p w14:paraId="45C063CB" w14:textId="77777777" w:rsidR="00A0077D" w:rsidRPr="00ED4D49" w:rsidRDefault="00A0077D" w:rsidP="00A0077D">
            <w:pPr>
              <w:spacing w:before="0" w:after="0"/>
              <w:rPr>
                <w:rFonts w:cs="Calibri"/>
                <w:sz w:val="16"/>
                <w:szCs w:val="16"/>
                <w:lang w:val="en-US" w:eastAsia="bs-Latn-BA"/>
              </w:rPr>
            </w:pPr>
          </w:p>
        </w:tc>
        <w:tc>
          <w:tcPr>
            <w:tcW w:w="0" w:type="auto"/>
            <w:shd w:val="clear" w:color="auto" w:fill="auto"/>
            <w:vAlign w:val="center"/>
          </w:tcPr>
          <w:p w14:paraId="00C14F52" w14:textId="77777777" w:rsidR="00A0077D" w:rsidRPr="00ED4D49" w:rsidRDefault="00A0077D" w:rsidP="00A0077D">
            <w:pPr>
              <w:spacing w:before="0" w:after="0"/>
              <w:rPr>
                <w:rFonts w:eastAsia="Times New Roman" w:cs="Calibri"/>
                <w:sz w:val="16"/>
                <w:szCs w:val="16"/>
                <w:lang w:val="en-US" w:eastAsia="hr-HR"/>
              </w:rPr>
            </w:pPr>
            <w:proofErr w:type="spellStart"/>
            <w:r w:rsidRPr="00ED4D49">
              <w:rPr>
                <w:rFonts w:eastAsia="Times New Roman" w:cs="Calibri"/>
                <w:sz w:val="16"/>
                <w:szCs w:val="16"/>
                <w:lang w:val="en-US" w:eastAsia="hr-HR"/>
              </w:rPr>
              <w:t>Musala</w:t>
            </w:r>
            <w:proofErr w:type="spellEnd"/>
            <w:r w:rsidRPr="00ED4D49">
              <w:rPr>
                <w:rFonts w:eastAsia="Times New Roman" w:cs="Calibri"/>
                <w:sz w:val="16"/>
                <w:szCs w:val="16"/>
                <w:lang w:val="en-US" w:eastAsia="hr-HR"/>
              </w:rPr>
              <w:t xml:space="preserve"> harem, the sepulchral ensemble</w:t>
            </w:r>
          </w:p>
        </w:tc>
      </w:tr>
      <w:tr w:rsidR="00A0077D" w:rsidRPr="00ED4D49" w14:paraId="6602AD84" w14:textId="77777777" w:rsidTr="00A0077D">
        <w:tc>
          <w:tcPr>
            <w:tcW w:w="0" w:type="auto"/>
            <w:vMerge/>
            <w:shd w:val="clear" w:color="auto" w:fill="auto"/>
            <w:vAlign w:val="center"/>
          </w:tcPr>
          <w:p w14:paraId="69F54550" w14:textId="77777777" w:rsidR="00A0077D" w:rsidRPr="00ED4D49" w:rsidRDefault="00A0077D" w:rsidP="00A0077D">
            <w:pPr>
              <w:spacing w:before="0" w:after="0"/>
              <w:rPr>
                <w:rFonts w:cs="Calibri"/>
                <w:sz w:val="16"/>
                <w:szCs w:val="16"/>
                <w:lang w:val="en-US" w:eastAsia="bs-Latn-BA"/>
              </w:rPr>
            </w:pPr>
          </w:p>
        </w:tc>
        <w:tc>
          <w:tcPr>
            <w:tcW w:w="0" w:type="auto"/>
            <w:shd w:val="clear" w:color="auto" w:fill="auto"/>
            <w:vAlign w:val="center"/>
          </w:tcPr>
          <w:p w14:paraId="0170F8BA" w14:textId="77777777" w:rsidR="00A0077D" w:rsidRPr="00ED4D49" w:rsidRDefault="00A0077D" w:rsidP="00A0077D">
            <w:pPr>
              <w:spacing w:before="0" w:after="0"/>
              <w:rPr>
                <w:rFonts w:cs="Calibri"/>
                <w:sz w:val="16"/>
                <w:szCs w:val="16"/>
                <w:lang w:val="en-US"/>
              </w:rPr>
            </w:pPr>
            <w:r w:rsidRPr="00ED4D49">
              <w:rPr>
                <w:rFonts w:cs="Calibri"/>
                <w:sz w:val="16"/>
                <w:szCs w:val="16"/>
                <w:lang w:val="en-US"/>
              </w:rPr>
              <w:t>City Hall</w:t>
            </w:r>
          </w:p>
        </w:tc>
      </w:tr>
      <w:tr w:rsidR="00A0077D" w:rsidRPr="00ED4D49" w14:paraId="634E15BD" w14:textId="77777777" w:rsidTr="00A0077D">
        <w:tc>
          <w:tcPr>
            <w:tcW w:w="0" w:type="auto"/>
            <w:vMerge/>
            <w:shd w:val="clear" w:color="auto" w:fill="auto"/>
            <w:vAlign w:val="center"/>
          </w:tcPr>
          <w:p w14:paraId="0FC798C5" w14:textId="77777777" w:rsidR="00A0077D" w:rsidRPr="00ED4D49" w:rsidRDefault="00A0077D" w:rsidP="00A0077D">
            <w:pPr>
              <w:spacing w:before="0" w:after="0"/>
              <w:rPr>
                <w:rFonts w:cs="Calibri"/>
                <w:sz w:val="16"/>
                <w:szCs w:val="16"/>
                <w:lang w:val="en-US" w:eastAsia="bs-Latn-BA"/>
              </w:rPr>
            </w:pPr>
          </w:p>
        </w:tc>
        <w:tc>
          <w:tcPr>
            <w:tcW w:w="0" w:type="auto"/>
            <w:shd w:val="clear" w:color="auto" w:fill="auto"/>
            <w:vAlign w:val="center"/>
          </w:tcPr>
          <w:p w14:paraId="773C6726" w14:textId="77777777" w:rsidR="00A0077D" w:rsidRPr="00ED4D49" w:rsidRDefault="00A0077D" w:rsidP="00A0077D">
            <w:pPr>
              <w:spacing w:before="0" w:after="0"/>
              <w:rPr>
                <w:rFonts w:cs="Calibri"/>
                <w:sz w:val="16"/>
                <w:szCs w:val="16"/>
                <w:lang w:val="en-US"/>
              </w:rPr>
            </w:pPr>
            <w:r w:rsidRPr="00ED4D49">
              <w:rPr>
                <w:rFonts w:eastAsia="Times New Roman" w:cs="Calibri"/>
                <w:sz w:val="16"/>
                <w:szCs w:val="16"/>
                <w:lang w:val="en-US" w:eastAsia="hr-HR"/>
              </w:rPr>
              <w:t xml:space="preserve">Filial church of SS Peter and Paul in </w:t>
            </w:r>
            <w:proofErr w:type="spellStart"/>
            <w:r w:rsidRPr="00ED4D49">
              <w:rPr>
                <w:rFonts w:eastAsia="Times New Roman" w:cs="Calibri"/>
                <w:sz w:val="16"/>
                <w:szCs w:val="16"/>
                <w:lang w:val="en-US" w:eastAsia="hr-HR"/>
              </w:rPr>
              <w:t>Grbavci</w:t>
            </w:r>
            <w:proofErr w:type="spellEnd"/>
            <w:r w:rsidRPr="00ED4D49">
              <w:rPr>
                <w:rFonts w:eastAsia="Times New Roman" w:cs="Calibri"/>
                <w:sz w:val="16"/>
                <w:szCs w:val="16"/>
                <w:lang w:val="en-US" w:eastAsia="hr-HR"/>
              </w:rPr>
              <w:t>, the historic building</w:t>
            </w:r>
          </w:p>
        </w:tc>
      </w:tr>
      <w:tr w:rsidR="00A0077D" w:rsidRPr="00ED4D49" w14:paraId="6AA5CCC0" w14:textId="77777777" w:rsidTr="00A0077D">
        <w:tc>
          <w:tcPr>
            <w:tcW w:w="0" w:type="auto"/>
            <w:vMerge/>
            <w:shd w:val="clear" w:color="auto" w:fill="auto"/>
            <w:vAlign w:val="center"/>
          </w:tcPr>
          <w:p w14:paraId="45A4D418" w14:textId="77777777" w:rsidR="00A0077D" w:rsidRPr="00ED4D49" w:rsidRDefault="00A0077D" w:rsidP="00A0077D">
            <w:pPr>
              <w:spacing w:before="0" w:after="0"/>
              <w:rPr>
                <w:rFonts w:cs="Calibri"/>
                <w:sz w:val="16"/>
                <w:szCs w:val="16"/>
                <w:lang w:val="en-US" w:eastAsia="bs-Latn-BA"/>
              </w:rPr>
            </w:pPr>
          </w:p>
        </w:tc>
        <w:tc>
          <w:tcPr>
            <w:tcW w:w="0" w:type="auto"/>
            <w:shd w:val="clear" w:color="auto" w:fill="auto"/>
            <w:vAlign w:val="center"/>
          </w:tcPr>
          <w:p w14:paraId="5F696DCA" w14:textId="77777777" w:rsidR="00A0077D" w:rsidRPr="00ED4D49" w:rsidRDefault="00A0077D" w:rsidP="00A0077D">
            <w:pPr>
              <w:spacing w:before="0" w:after="0"/>
              <w:rPr>
                <w:rFonts w:cs="Calibri"/>
                <w:sz w:val="16"/>
                <w:szCs w:val="16"/>
                <w:lang w:val="en-US"/>
              </w:rPr>
            </w:pPr>
            <w:r w:rsidRPr="00ED4D49">
              <w:rPr>
                <w:rFonts w:cs="Calibri"/>
                <w:sz w:val="16"/>
                <w:szCs w:val="16"/>
                <w:lang w:val="en-US"/>
              </w:rPr>
              <w:t xml:space="preserve">Homeland Museum of </w:t>
            </w:r>
            <w:proofErr w:type="spellStart"/>
            <w:r w:rsidRPr="00ED4D49">
              <w:rPr>
                <w:rFonts w:cs="Calibri"/>
                <w:sz w:val="16"/>
                <w:szCs w:val="16"/>
                <w:lang w:val="en-US"/>
              </w:rPr>
              <w:t>Gradiška</w:t>
            </w:r>
            <w:proofErr w:type="spellEnd"/>
          </w:p>
        </w:tc>
      </w:tr>
      <w:tr w:rsidR="00A0077D" w:rsidRPr="00ED4D49" w14:paraId="6DFF3458" w14:textId="77777777" w:rsidTr="00A0077D">
        <w:tc>
          <w:tcPr>
            <w:tcW w:w="0" w:type="auto"/>
            <w:tcBorders>
              <w:bottom w:val="single" w:sz="4" w:space="0" w:color="BFBFBF"/>
            </w:tcBorders>
            <w:shd w:val="clear" w:color="auto" w:fill="auto"/>
            <w:vAlign w:val="center"/>
          </w:tcPr>
          <w:p w14:paraId="75ACD0F1" w14:textId="77777777" w:rsidR="00A0077D" w:rsidRPr="00ED4D49" w:rsidRDefault="00A0077D" w:rsidP="00A0077D">
            <w:pPr>
              <w:spacing w:before="0" w:after="0"/>
              <w:rPr>
                <w:rFonts w:cs="Calibri"/>
                <w:sz w:val="16"/>
                <w:szCs w:val="16"/>
                <w:lang w:val="en-US" w:eastAsia="bs-Latn-BA"/>
              </w:rPr>
            </w:pPr>
            <w:r w:rsidRPr="00ED4D49">
              <w:rPr>
                <w:rFonts w:cs="Calibri"/>
                <w:sz w:val="16"/>
                <w:szCs w:val="16"/>
                <w:lang w:val="en-US" w:eastAsia="bs-Latn-BA"/>
              </w:rPr>
              <w:t>Brod</w:t>
            </w:r>
          </w:p>
        </w:tc>
        <w:tc>
          <w:tcPr>
            <w:tcW w:w="0" w:type="auto"/>
            <w:shd w:val="clear" w:color="auto" w:fill="auto"/>
            <w:vAlign w:val="center"/>
          </w:tcPr>
          <w:p w14:paraId="01D89CAC" w14:textId="77777777" w:rsidR="00A0077D" w:rsidRPr="00ED4D49" w:rsidRDefault="00A0077D" w:rsidP="00A0077D">
            <w:pPr>
              <w:spacing w:before="0" w:after="0"/>
              <w:rPr>
                <w:rFonts w:cs="Calibri"/>
                <w:sz w:val="16"/>
                <w:szCs w:val="16"/>
                <w:lang w:val="en-US"/>
              </w:rPr>
            </w:pPr>
            <w:r w:rsidRPr="00ED4D49">
              <w:rPr>
                <w:rFonts w:cs="Calibri"/>
                <w:sz w:val="16"/>
                <w:szCs w:val="16"/>
                <w:lang w:val="en-US"/>
              </w:rPr>
              <w:t xml:space="preserve">Site of the </w:t>
            </w:r>
            <w:proofErr w:type="gramStart"/>
            <w:r w:rsidRPr="00ED4D49">
              <w:rPr>
                <w:rFonts w:cs="Calibri"/>
                <w:sz w:val="16"/>
                <w:szCs w:val="16"/>
                <w:lang w:val="en-US"/>
              </w:rPr>
              <w:t>Husein-beg mosque</w:t>
            </w:r>
            <w:proofErr w:type="gramEnd"/>
            <w:r w:rsidRPr="00ED4D49">
              <w:rPr>
                <w:rFonts w:cs="Calibri"/>
                <w:sz w:val="16"/>
                <w:szCs w:val="16"/>
                <w:lang w:val="en-US"/>
              </w:rPr>
              <w:t xml:space="preserve"> with harem (courtyard/burial ground) </w:t>
            </w:r>
          </w:p>
        </w:tc>
      </w:tr>
      <w:tr w:rsidR="00A0077D" w:rsidRPr="00ED4D49" w14:paraId="2044A895" w14:textId="77777777" w:rsidTr="00A0077D">
        <w:tc>
          <w:tcPr>
            <w:tcW w:w="0" w:type="auto"/>
            <w:vMerge w:val="restart"/>
            <w:shd w:val="clear" w:color="auto" w:fill="auto"/>
            <w:vAlign w:val="center"/>
          </w:tcPr>
          <w:p w14:paraId="72880735" w14:textId="77777777" w:rsidR="00A0077D" w:rsidRPr="00ED4D49" w:rsidRDefault="00A0077D" w:rsidP="00A0077D">
            <w:pPr>
              <w:spacing w:before="0" w:after="0"/>
              <w:rPr>
                <w:rFonts w:cs="Calibri"/>
                <w:sz w:val="16"/>
                <w:szCs w:val="16"/>
                <w:lang w:val="en-US" w:eastAsia="bs-Latn-BA"/>
              </w:rPr>
            </w:pPr>
            <w:proofErr w:type="spellStart"/>
            <w:r w:rsidRPr="00ED4D49">
              <w:rPr>
                <w:rFonts w:cs="Calibri"/>
                <w:sz w:val="16"/>
                <w:szCs w:val="16"/>
                <w:lang w:val="en-US" w:eastAsia="bs-Latn-BA"/>
              </w:rPr>
              <w:t>Derventa</w:t>
            </w:r>
            <w:proofErr w:type="spellEnd"/>
          </w:p>
        </w:tc>
        <w:tc>
          <w:tcPr>
            <w:tcW w:w="0" w:type="auto"/>
            <w:shd w:val="clear" w:color="auto" w:fill="auto"/>
            <w:vAlign w:val="bottom"/>
          </w:tcPr>
          <w:p w14:paraId="67897B1B" w14:textId="77777777" w:rsidR="00A0077D" w:rsidRPr="00ED4D49" w:rsidRDefault="00A0077D" w:rsidP="00A0077D">
            <w:pPr>
              <w:spacing w:before="0" w:after="0"/>
              <w:rPr>
                <w:rFonts w:cs="Calibri"/>
                <w:sz w:val="16"/>
                <w:szCs w:val="16"/>
                <w:lang w:val="en-US"/>
              </w:rPr>
            </w:pPr>
            <w:r w:rsidRPr="00ED4D49">
              <w:rPr>
                <w:rFonts w:cs="Calibri"/>
                <w:sz w:val="16"/>
                <w:szCs w:val="16"/>
                <w:lang w:val="en-US"/>
              </w:rPr>
              <w:t xml:space="preserve">The Town Mosque in </w:t>
            </w:r>
            <w:proofErr w:type="spellStart"/>
            <w:r w:rsidRPr="00ED4D49">
              <w:rPr>
                <w:rFonts w:cs="Calibri"/>
                <w:sz w:val="16"/>
                <w:szCs w:val="16"/>
                <w:lang w:val="en-US"/>
              </w:rPr>
              <w:t>Derventa</w:t>
            </w:r>
            <w:proofErr w:type="spellEnd"/>
            <w:r w:rsidRPr="00ED4D49">
              <w:rPr>
                <w:rFonts w:cs="Calibri"/>
                <w:sz w:val="16"/>
                <w:szCs w:val="16"/>
                <w:lang w:val="en-US"/>
              </w:rPr>
              <w:t>, the site and remains of the architectural ensemble</w:t>
            </w:r>
          </w:p>
        </w:tc>
      </w:tr>
      <w:tr w:rsidR="00A0077D" w:rsidRPr="00ED4D49" w14:paraId="45C328C7" w14:textId="77777777" w:rsidTr="00A0077D">
        <w:tc>
          <w:tcPr>
            <w:tcW w:w="0" w:type="auto"/>
            <w:vMerge/>
            <w:shd w:val="clear" w:color="auto" w:fill="auto"/>
            <w:vAlign w:val="center"/>
          </w:tcPr>
          <w:p w14:paraId="05041394" w14:textId="77777777" w:rsidR="00A0077D" w:rsidRPr="00ED4D49" w:rsidRDefault="00A0077D" w:rsidP="00A0077D">
            <w:pPr>
              <w:spacing w:before="0" w:after="0"/>
              <w:rPr>
                <w:rFonts w:cs="Calibri"/>
                <w:sz w:val="16"/>
                <w:szCs w:val="16"/>
                <w:lang w:val="en-US" w:eastAsia="bs-Latn-BA"/>
              </w:rPr>
            </w:pPr>
          </w:p>
        </w:tc>
        <w:tc>
          <w:tcPr>
            <w:tcW w:w="0" w:type="auto"/>
            <w:shd w:val="clear" w:color="auto" w:fill="auto"/>
            <w:vAlign w:val="bottom"/>
          </w:tcPr>
          <w:p w14:paraId="086FD821" w14:textId="77777777" w:rsidR="00A0077D" w:rsidRPr="00ED4D49" w:rsidRDefault="00A0077D" w:rsidP="00A0077D">
            <w:pPr>
              <w:spacing w:before="0" w:after="0"/>
              <w:rPr>
                <w:rFonts w:cs="Calibri"/>
                <w:sz w:val="16"/>
                <w:szCs w:val="16"/>
                <w:lang w:val="en-US"/>
              </w:rPr>
            </w:pPr>
            <w:proofErr w:type="spellStart"/>
            <w:r w:rsidRPr="00ED4D49">
              <w:rPr>
                <w:rFonts w:cs="Calibri"/>
                <w:sz w:val="16"/>
                <w:szCs w:val="16"/>
                <w:lang w:val="en-US"/>
              </w:rPr>
              <w:t>Dolnjačka</w:t>
            </w:r>
            <w:proofErr w:type="spellEnd"/>
            <w:r w:rsidRPr="00ED4D49">
              <w:rPr>
                <w:rFonts w:cs="Calibri"/>
                <w:sz w:val="16"/>
                <w:szCs w:val="16"/>
                <w:lang w:val="en-US"/>
              </w:rPr>
              <w:t xml:space="preserve"> mosque in </w:t>
            </w:r>
            <w:proofErr w:type="spellStart"/>
            <w:r w:rsidRPr="00ED4D49">
              <w:rPr>
                <w:rFonts w:cs="Calibri"/>
                <w:sz w:val="16"/>
                <w:szCs w:val="16"/>
                <w:lang w:val="en-US"/>
              </w:rPr>
              <w:t>Derventa</w:t>
            </w:r>
            <w:proofErr w:type="spellEnd"/>
            <w:r w:rsidRPr="00ED4D49">
              <w:rPr>
                <w:rFonts w:cs="Calibri"/>
                <w:sz w:val="16"/>
                <w:szCs w:val="16"/>
                <w:lang w:val="en-US"/>
              </w:rPr>
              <w:t>, the site and remains of the architectural ensemble</w:t>
            </w:r>
          </w:p>
        </w:tc>
      </w:tr>
      <w:tr w:rsidR="00A0077D" w:rsidRPr="00ED4D49" w14:paraId="711A158A" w14:textId="77777777" w:rsidTr="00A0077D">
        <w:tc>
          <w:tcPr>
            <w:tcW w:w="0" w:type="auto"/>
            <w:vMerge/>
            <w:shd w:val="clear" w:color="auto" w:fill="auto"/>
            <w:vAlign w:val="center"/>
          </w:tcPr>
          <w:p w14:paraId="6B003C5F" w14:textId="77777777" w:rsidR="00A0077D" w:rsidRPr="00ED4D49" w:rsidRDefault="00A0077D" w:rsidP="00A0077D">
            <w:pPr>
              <w:spacing w:before="0" w:after="0"/>
              <w:rPr>
                <w:rFonts w:cs="Calibri"/>
                <w:sz w:val="16"/>
                <w:szCs w:val="16"/>
                <w:lang w:val="en-US" w:eastAsia="bs-Latn-BA"/>
              </w:rPr>
            </w:pPr>
          </w:p>
        </w:tc>
        <w:tc>
          <w:tcPr>
            <w:tcW w:w="0" w:type="auto"/>
            <w:shd w:val="clear" w:color="auto" w:fill="auto"/>
            <w:vAlign w:val="bottom"/>
          </w:tcPr>
          <w:p w14:paraId="0318FFCD" w14:textId="77777777" w:rsidR="00A0077D" w:rsidRPr="00ED4D49" w:rsidRDefault="00A0077D" w:rsidP="00A0077D">
            <w:pPr>
              <w:spacing w:before="0" w:after="0"/>
              <w:rPr>
                <w:rFonts w:cs="Calibri"/>
                <w:sz w:val="16"/>
                <w:szCs w:val="16"/>
                <w:lang w:val="en-US"/>
              </w:rPr>
            </w:pPr>
            <w:r w:rsidRPr="00ED4D49">
              <w:rPr>
                <w:rFonts w:cs="Calibri"/>
                <w:sz w:val="16"/>
                <w:szCs w:val="16"/>
                <w:lang w:val="en-US"/>
              </w:rPr>
              <w:t xml:space="preserve">Roman Catholic Burial Ground in </w:t>
            </w:r>
            <w:proofErr w:type="spellStart"/>
            <w:r w:rsidRPr="00ED4D49">
              <w:rPr>
                <w:rFonts w:cs="Calibri"/>
                <w:sz w:val="16"/>
                <w:szCs w:val="16"/>
                <w:lang w:val="en-US"/>
              </w:rPr>
              <w:t>Rabić</w:t>
            </w:r>
            <w:proofErr w:type="spellEnd"/>
            <w:r w:rsidRPr="00ED4D49">
              <w:rPr>
                <w:rFonts w:cs="Calibri"/>
                <w:sz w:val="16"/>
                <w:szCs w:val="16"/>
                <w:lang w:val="en-US"/>
              </w:rPr>
              <w:t>, the sepulchral ensemble</w:t>
            </w:r>
          </w:p>
        </w:tc>
      </w:tr>
      <w:tr w:rsidR="00A0077D" w:rsidRPr="00ED4D49" w14:paraId="4357485C" w14:textId="77777777" w:rsidTr="00A0077D">
        <w:tc>
          <w:tcPr>
            <w:tcW w:w="0" w:type="auto"/>
            <w:vMerge/>
            <w:shd w:val="clear" w:color="auto" w:fill="auto"/>
            <w:vAlign w:val="center"/>
          </w:tcPr>
          <w:p w14:paraId="10B94693" w14:textId="77777777" w:rsidR="00A0077D" w:rsidRPr="00ED4D49" w:rsidRDefault="00A0077D" w:rsidP="00A0077D">
            <w:pPr>
              <w:spacing w:before="0" w:after="0"/>
              <w:rPr>
                <w:rFonts w:cs="Calibri"/>
                <w:sz w:val="16"/>
                <w:szCs w:val="16"/>
                <w:lang w:val="en-US" w:eastAsia="bs-Latn-BA"/>
              </w:rPr>
            </w:pPr>
          </w:p>
        </w:tc>
        <w:tc>
          <w:tcPr>
            <w:tcW w:w="0" w:type="auto"/>
            <w:shd w:val="clear" w:color="auto" w:fill="auto"/>
            <w:vAlign w:val="bottom"/>
          </w:tcPr>
          <w:p w14:paraId="2ED52E20" w14:textId="77777777" w:rsidR="00A0077D" w:rsidRPr="00ED4D49" w:rsidRDefault="00A0077D" w:rsidP="00A0077D">
            <w:pPr>
              <w:spacing w:before="0" w:after="0"/>
              <w:rPr>
                <w:rFonts w:cs="Calibri"/>
                <w:sz w:val="16"/>
                <w:szCs w:val="16"/>
                <w:lang w:val="en-US"/>
              </w:rPr>
            </w:pPr>
            <w:r w:rsidRPr="00ED4D49">
              <w:rPr>
                <w:rFonts w:cs="Calibri"/>
                <w:sz w:val="16"/>
                <w:szCs w:val="16"/>
                <w:lang w:val="en-US"/>
              </w:rPr>
              <w:t xml:space="preserve">Museum collection in the ownership of the Franciscan monastery in </w:t>
            </w:r>
            <w:proofErr w:type="spellStart"/>
            <w:r w:rsidRPr="00ED4D49">
              <w:rPr>
                <w:rFonts w:cs="Calibri"/>
                <w:sz w:val="16"/>
                <w:szCs w:val="16"/>
                <w:lang w:val="en-US"/>
              </w:rPr>
              <w:t>Plehan</w:t>
            </w:r>
            <w:proofErr w:type="spellEnd"/>
            <w:r w:rsidRPr="00ED4D49">
              <w:rPr>
                <w:rFonts w:cs="Calibri"/>
                <w:sz w:val="16"/>
                <w:szCs w:val="16"/>
                <w:lang w:val="en-US"/>
              </w:rPr>
              <w:t>, the movable property</w:t>
            </w:r>
          </w:p>
        </w:tc>
      </w:tr>
      <w:tr w:rsidR="00A0077D" w:rsidRPr="00ED4D49" w14:paraId="14681939" w14:textId="77777777" w:rsidTr="00A0077D">
        <w:tc>
          <w:tcPr>
            <w:tcW w:w="0" w:type="auto"/>
            <w:vMerge/>
            <w:tcBorders>
              <w:bottom w:val="single" w:sz="4" w:space="0" w:color="BFBFBF"/>
            </w:tcBorders>
            <w:shd w:val="clear" w:color="auto" w:fill="auto"/>
            <w:vAlign w:val="center"/>
          </w:tcPr>
          <w:p w14:paraId="067FB6E2" w14:textId="77777777" w:rsidR="00A0077D" w:rsidRPr="00ED4D49" w:rsidRDefault="00A0077D" w:rsidP="00A0077D">
            <w:pPr>
              <w:spacing w:before="0" w:after="0"/>
              <w:rPr>
                <w:rFonts w:cs="Calibri"/>
                <w:sz w:val="16"/>
                <w:szCs w:val="16"/>
                <w:lang w:val="en-US" w:eastAsia="bs-Latn-BA"/>
              </w:rPr>
            </w:pPr>
          </w:p>
        </w:tc>
        <w:tc>
          <w:tcPr>
            <w:tcW w:w="0" w:type="auto"/>
            <w:shd w:val="clear" w:color="auto" w:fill="auto"/>
            <w:vAlign w:val="bottom"/>
          </w:tcPr>
          <w:p w14:paraId="6C97BE30" w14:textId="77777777" w:rsidR="00A0077D" w:rsidRPr="00ED4D49" w:rsidRDefault="00A0077D" w:rsidP="00A0077D">
            <w:pPr>
              <w:spacing w:before="0" w:after="0"/>
              <w:rPr>
                <w:rFonts w:cs="Calibri"/>
                <w:sz w:val="16"/>
                <w:szCs w:val="16"/>
                <w:lang w:val="en-US"/>
              </w:rPr>
            </w:pPr>
            <w:r w:rsidRPr="00ED4D49">
              <w:rPr>
                <w:rFonts w:cs="Calibri"/>
                <w:sz w:val="16"/>
                <w:szCs w:val="16"/>
                <w:lang w:val="en-US"/>
              </w:rPr>
              <w:t>Prehistoric settlement on Vis, the archaeological site</w:t>
            </w:r>
          </w:p>
        </w:tc>
      </w:tr>
      <w:tr w:rsidR="00A0077D" w:rsidRPr="00ED4D49" w14:paraId="6719A95E" w14:textId="77777777" w:rsidTr="00A0077D">
        <w:tc>
          <w:tcPr>
            <w:tcW w:w="0" w:type="auto"/>
            <w:vMerge w:val="restart"/>
            <w:shd w:val="clear" w:color="auto" w:fill="auto"/>
            <w:vAlign w:val="center"/>
          </w:tcPr>
          <w:p w14:paraId="789C54D4" w14:textId="77777777" w:rsidR="00A0077D" w:rsidRPr="00ED4D49" w:rsidRDefault="00A0077D" w:rsidP="00A0077D">
            <w:pPr>
              <w:spacing w:before="0" w:after="0"/>
              <w:rPr>
                <w:rFonts w:cs="Calibri"/>
                <w:sz w:val="16"/>
                <w:szCs w:val="16"/>
                <w:lang w:val="en-US"/>
              </w:rPr>
            </w:pPr>
            <w:proofErr w:type="spellStart"/>
            <w:r w:rsidRPr="00ED4D49">
              <w:rPr>
                <w:rFonts w:cs="Calibri"/>
                <w:sz w:val="16"/>
                <w:szCs w:val="16"/>
                <w:lang w:val="en-US"/>
              </w:rPr>
              <w:t>Prnjavor</w:t>
            </w:r>
            <w:proofErr w:type="spellEnd"/>
            <w:r w:rsidRPr="00ED4D49">
              <w:rPr>
                <w:rFonts w:cs="Calibri"/>
                <w:sz w:val="16"/>
                <w:szCs w:val="16"/>
                <w:lang w:val="en-US"/>
              </w:rPr>
              <w:t xml:space="preserve"> </w:t>
            </w:r>
          </w:p>
        </w:tc>
        <w:tc>
          <w:tcPr>
            <w:tcW w:w="0" w:type="auto"/>
            <w:shd w:val="clear" w:color="auto" w:fill="auto"/>
            <w:vAlign w:val="center"/>
          </w:tcPr>
          <w:p w14:paraId="206F40E7" w14:textId="77777777" w:rsidR="00A0077D" w:rsidRPr="00ED4D49" w:rsidRDefault="00A0077D" w:rsidP="00A0077D">
            <w:pPr>
              <w:spacing w:before="0" w:after="0"/>
              <w:rPr>
                <w:rStyle w:val="Emphasis"/>
                <w:rFonts w:cs="Calibri"/>
                <w:i w:val="0"/>
                <w:sz w:val="16"/>
                <w:szCs w:val="16"/>
                <w:lang w:val="en-US"/>
              </w:rPr>
            </w:pPr>
            <w:r w:rsidRPr="00ED4D49">
              <w:rPr>
                <w:rStyle w:val="Emphasis"/>
                <w:rFonts w:cs="Calibri"/>
                <w:i w:val="0"/>
                <w:sz w:val="16"/>
                <w:szCs w:val="16"/>
                <w:lang w:val="en-US"/>
              </w:rPr>
              <w:t>Harem of the Town Mosque</w:t>
            </w:r>
          </w:p>
        </w:tc>
      </w:tr>
      <w:tr w:rsidR="00A0077D" w:rsidRPr="00ED4D49" w14:paraId="04E73B76" w14:textId="77777777" w:rsidTr="00A0077D">
        <w:tc>
          <w:tcPr>
            <w:tcW w:w="0" w:type="auto"/>
            <w:vMerge/>
            <w:tcBorders>
              <w:bottom w:val="single" w:sz="4" w:space="0" w:color="BFBFBF"/>
            </w:tcBorders>
            <w:shd w:val="clear" w:color="auto" w:fill="auto"/>
            <w:vAlign w:val="center"/>
          </w:tcPr>
          <w:p w14:paraId="5E8377FA" w14:textId="77777777" w:rsidR="00A0077D" w:rsidRPr="00ED4D49" w:rsidRDefault="00A0077D" w:rsidP="00A0077D">
            <w:pPr>
              <w:spacing w:before="0" w:after="0"/>
              <w:rPr>
                <w:rFonts w:cs="Calibri"/>
                <w:sz w:val="16"/>
                <w:szCs w:val="16"/>
                <w:lang w:val="en-US"/>
              </w:rPr>
            </w:pPr>
          </w:p>
        </w:tc>
        <w:tc>
          <w:tcPr>
            <w:tcW w:w="0" w:type="auto"/>
            <w:shd w:val="clear" w:color="auto" w:fill="auto"/>
            <w:vAlign w:val="center"/>
          </w:tcPr>
          <w:p w14:paraId="749EA32F" w14:textId="77777777" w:rsidR="00A0077D" w:rsidRPr="00ED4D49" w:rsidRDefault="00A0077D" w:rsidP="00A0077D">
            <w:pPr>
              <w:spacing w:before="0" w:after="0"/>
              <w:rPr>
                <w:rStyle w:val="Emphasis"/>
                <w:rFonts w:cs="Calibri"/>
                <w:i w:val="0"/>
                <w:sz w:val="16"/>
                <w:szCs w:val="16"/>
                <w:lang w:val="en-US"/>
              </w:rPr>
            </w:pPr>
            <w:r w:rsidRPr="00ED4D49">
              <w:rPr>
                <w:rStyle w:val="Emphasis"/>
                <w:rFonts w:cs="Calibri"/>
                <w:i w:val="0"/>
                <w:sz w:val="16"/>
                <w:szCs w:val="16"/>
                <w:lang w:val="en-US"/>
              </w:rPr>
              <w:t xml:space="preserve">Church of the Holy Apostles SS Peter and Paul in </w:t>
            </w:r>
            <w:proofErr w:type="spellStart"/>
            <w:r w:rsidRPr="00ED4D49">
              <w:rPr>
                <w:rStyle w:val="Emphasis"/>
                <w:rFonts w:cs="Calibri"/>
                <w:i w:val="0"/>
                <w:sz w:val="16"/>
                <w:szCs w:val="16"/>
                <w:lang w:val="en-US"/>
              </w:rPr>
              <w:t>Palačkovci</w:t>
            </w:r>
            <w:proofErr w:type="spellEnd"/>
            <w:r w:rsidRPr="00ED4D49">
              <w:rPr>
                <w:rStyle w:val="Emphasis"/>
                <w:rFonts w:cs="Calibri"/>
                <w:i w:val="0"/>
                <w:sz w:val="16"/>
                <w:szCs w:val="16"/>
                <w:lang w:val="en-US"/>
              </w:rPr>
              <w:t>, together with its movable heritage, the architectural ensemble</w:t>
            </w:r>
          </w:p>
        </w:tc>
      </w:tr>
      <w:tr w:rsidR="00A0077D" w:rsidRPr="00ED4D49" w14:paraId="62DD7C89" w14:textId="77777777" w:rsidTr="00A0077D">
        <w:tc>
          <w:tcPr>
            <w:tcW w:w="0" w:type="auto"/>
            <w:tcBorders>
              <w:bottom w:val="single" w:sz="4" w:space="0" w:color="BFBFBF"/>
            </w:tcBorders>
            <w:shd w:val="clear" w:color="auto" w:fill="auto"/>
            <w:vAlign w:val="center"/>
          </w:tcPr>
          <w:p w14:paraId="35E0DB3C" w14:textId="77777777" w:rsidR="00A0077D" w:rsidRPr="00ED4D49" w:rsidRDefault="00A0077D" w:rsidP="00A0077D">
            <w:pPr>
              <w:spacing w:before="0" w:after="0"/>
              <w:rPr>
                <w:rFonts w:cs="Calibri"/>
                <w:sz w:val="16"/>
                <w:szCs w:val="16"/>
                <w:lang w:val="en-US"/>
              </w:rPr>
            </w:pPr>
            <w:proofErr w:type="spellStart"/>
            <w:r w:rsidRPr="00ED4D49">
              <w:rPr>
                <w:rFonts w:cs="Calibri"/>
                <w:sz w:val="16"/>
                <w:szCs w:val="16"/>
                <w:lang w:val="en-US"/>
              </w:rPr>
              <w:t>Šamac</w:t>
            </w:r>
            <w:proofErr w:type="spellEnd"/>
          </w:p>
        </w:tc>
        <w:tc>
          <w:tcPr>
            <w:tcW w:w="0" w:type="auto"/>
            <w:shd w:val="clear" w:color="auto" w:fill="auto"/>
            <w:vAlign w:val="center"/>
          </w:tcPr>
          <w:p w14:paraId="0E475D93" w14:textId="77777777" w:rsidR="00A0077D" w:rsidRPr="00ED4D49" w:rsidRDefault="00A0077D" w:rsidP="00A0077D">
            <w:pPr>
              <w:spacing w:before="0" w:after="0"/>
              <w:rPr>
                <w:rStyle w:val="Emphasis"/>
                <w:rFonts w:cs="Calibri"/>
                <w:i w:val="0"/>
                <w:sz w:val="16"/>
                <w:szCs w:val="16"/>
                <w:lang w:val="en-US"/>
              </w:rPr>
            </w:pPr>
            <w:r w:rsidRPr="00ED4D49">
              <w:rPr>
                <w:rStyle w:val="Emphasis"/>
                <w:rFonts w:cs="Calibri"/>
                <w:i w:val="0"/>
                <w:sz w:val="16"/>
                <w:szCs w:val="16"/>
                <w:lang w:val="en-US"/>
              </w:rPr>
              <w:t xml:space="preserve">Church of the Nativity of the Holly Virgin in </w:t>
            </w:r>
            <w:proofErr w:type="spellStart"/>
            <w:r w:rsidRPr="00ED4D49">
              <w:rPr>
                <w:rStyle w:val="Emphasis"/>
                <w:rFonts w:cs="Calibri"/>
                <w:i w:val="0"/>
                <w:sz w:val="16"/>
                <w:szCs w:val="16"/>
                <w:lang w:val="en-US"/>
              </w:rPr>
              <w:t>Obudovac</w:t>
            </w:r>
            <w:proofErr w:type="spellEnd"/>
            <w:r w:rsidRPr="00ED4D49">
              <w:rPr>
                <w:rStyle w:val="Emphasis"/>
                <w:rFonts w:cs="Calibri"/>
                <w:i w:val="0"/>
                <w:sz w:val="16"/>
                <w:szCs w:val="16"/>
                <w:lang w:val="en-US"/>
              </w:rPr>
              <w:t xml:space="preserve"> together with movable property and graveyard, the architectural ensemble</w:t>
            </w:r>
          </w:p>
        </w:tc>
      </w:tr>
      <w:tr w:rsidR="00A0077D" w:rsidRPr="00ED4D49" w14:paraId="4EC4E31F" w14:textId="77777777" w:rsidTr="00A0077D">
        <w:tc>
          <w:tcPr>
            <w:tcW w:w="0" w:type="auto"/>
            <w:vMerge w:val="restart"/>
            <w:tcBorders>
              <w:top w:val="single" w:sz="4" w:space="0" w:color="BFBFBF"/>
            </w:tcBorders>
            <w:shd w:val="clear" w:color="auto" w:fill="auto"/>
            <w:vAlign w:val="center"/>
          </w:tcPr>
          <w:p w14:paraId="65FF6D15" w14:textId="77777777" w:rsidR="00A0077D" w:rsidRPr="00ED4D49" w:rsidRDefault="00A0077D" w:rsidP="00A0077D">
            <w:pPr>
              <w:spacing w:before="0" w:after="0"/>
              <w:rPr>
                <w:rFonts w:cs="Calibri"/>
                <w:sz w:val="16"/>
                <w:szCs w:val="16"/>
                <w:lang w:val="en-US"/>
              </w:rPr>
            </w:pPr>
            <w:r w:rsidRPr="00ED4D49">
              <w:rPr>
                <w:rFonts w:cs="Calibri"/>
                <w:sz w:val="16"/>
                <w:szCs w:val="16"/>
                <w:lang w:val="en-US"/>
              </w:rPr>
              <w:t xml:space="preserve">Bijeljina </w:t>
            </w:r>
          </w:p>
        </w:tc>
        <w:tc>
          <w:tcPr>
            <w:tcW w:w="0" w:type="auto"/>
            <w:shd w:val="clear" w:color="auto" w:fill="auto"/>
            <w:vAlign w:val="center"/>
          </w:tcPr>
          <w:p w14:paraId="1308AC41" w14:textId="77777777" w:rsidR="00A0077D" w:rsidRPr="00ED4D49" w:rsidRDefault="00A0077D" w:rsidP="00A0077D">
            <w:pPr>
              <w:spacing w:before="0" w:after="0"/>
              <w:rPr>
                <w:rStyle w:val="Emphasis"/>
                <w:rFonts w:cs="Calibri"/>
                <w:i w:val="0"/>
                <w:sz w:val="16"/>
                <w:szCs w:val="16"/>
                <w:lang w:val="en-US"/>
              </w:rPr>
            </w:pPr>
            <w:r w:rsidRPr="00ED4D49">
              <w:rPr>
                <w:rStyle w:val="Emphasis"/>
                <w:rFonts w:cs="Calibri"/>
                <w:i w:val="0"/>
                <w:sz w:val="16"/>
                <w:szCs w:val="16"/>
                <w:lang w:val="en-US"/>
              </w:rPr>
              <w:t>Atik mosque (</w:t>
            </w:r>
            <w:proofErr w:type="gramStart"/>
            <w:r w:rsidRPr="00ED4D49">
              <w:rPr>
                <w:rStyle w:val="Emphasis"/>
                <w:rFonts w:cs="Calibri"/>
                <w:i w:val="0"/>
                <w:sz w:val="16"/>
                <w:szCs w:val="16"/>
                <w:lang w:val="en-US"/>
              </w:rPr>
              <w:t>Old mosque</w:t>
            </w:r>
            <w:proofErr w:type="gramEnd"/>
            <w:r w:rsidRPr="00ED4D49">
              <w:rPr>
                <w:rStyle w:val="Emphasis"/>
                <w:rFonts w:cs="Calibri"/>
                <w:i w:val="0"/>
                <w:sz w:val="16"/>
                <w:szCs w:val="16"/>
                <w:lang w:val="en-US"/>
              </w:rPr>
              <w:t xml:space="preserve">, Sultan Sulayman’s mosque), harem and </w:t>
            </w:r>
            <w:proofErr w:type="spellStart"/>
            <w:r w:rsidRPr="00ED4D49">
              <w:rPr>
                <w:rStyle w:val="Emphasis"/>
                <w:rFonts w:cs="Calibri"/>
                <w:i w:val="0"/>
                <w:sz w:val="16"/>
                <w:szCs w:val="16"/>
                <w:lang w:val="en-US"/>
              </w:rPr>
              <w:t>turbe</w:t>
            </w:r>
            <w:proofErr w:type="spellEnd"/>
            <w:r w:rsidRPr="00ED4D49">
              <w:rPr>
                <w:rStyle w:val="Emphasis"/>
                <w:rFonts w:cs="Calibri"/>
                <w:i w:val="0"/>
                <w:sz w:val="16"/>
                <w:szCs w:val="16"/>
                <w:lang w:val="en-US"/>
              </w:rPr>
              <w:t>, the site and remains of the architectural ensemble</w:t>
            </w:r>
          </w:p>
        </w:tc>
      </w:tr>
      <w:tr w:rsidR="00A0077D" w:rsidRPr="00ED4D49" w14:paraId="008F2A16" w14:textId="77777777" w:rsidTr="00A0077D">
        <w:tc>
          <w:tcPr>
            <w:tcW w:w="0" w:type="auto"/>
            <w:vMerge/>
            <w:shd w:val="clear" w:color="auto" w:fill="auto"/>
            <w:vAlign w:val="center"/>
          </w:tcPr>
          <w:p w14:paraId="724A0E3A" w14:textId="77777777" w:rsidR="00A0077D" w:rsidRPr="00ED4D49" w:rsidRDefault="00A0077D" w:rsidP="00A0077D">
            <w:pPr>
              <w:spacing w:before="0" w:after="0"/>
              <w:rPr>
                <w:rFonts w:cs="Calibri"/>
                <w:sz w:val="16"/>
                <w:szCs w:val="16"/>
                <w:lang w:val="en-US"/>
              </w:rPr>
            </w:pPr>
          </w:p>
        </w:tc>
        <w:tc>
          <w:tcPr>
            <w:tcW w:w="0" w:type="auto"/>
            <w:shd w:val="clear" w:color="auto" w:fill="auto"/>
            <w:vAlign w:val="center"/>
          </w:tcPr>
          <w:p w14:paraId="1E10AB7A" w14:textId="77777777" w:rsidR="00A0077D" w:rsidRPr="00ED4D49" w:rsidRDefault="00A0077D" w:rsidP="00A0077D">
            <w:pPr>
              <w:spacing w:before="0" w:after="0"/>
              <w:rPr>
                <w:rStyle w:val="Emphasis"/>
                <w:rFonts w:cs="Calibri"/>
                <w:i w:val="0"/>
                <w:sz w:val="16"/>
                <w:szCs w:val="16"/>
                <w:lang w:val="en-US"/>
              </w:rPr>
            </w:pPr>
            <w:r w:rsidRPr="00ED4D49">
              <w:rPr>
                <w:rStyle w:val="Emphasis"/>
                <w:rFonts w:cs="Calibri"/>
                <w:i w:val="0"/>
                <w:sz w:val="16"/>
                <w:szCs w:val="16"/>
                <w:lang w:val="en-US"/>
              </w:rPr>
              <w:t xml:space="preserve">Church of the Holy Trinity in </w:t>
            </w:r>
            <w:proofErr w:type="spellStart"/>
            <w:r w:rsidRPr="00ED4D49">
              <w:rPr>
                <w:rStyle w:val="Emphasis"/>
                <w:rFonts w:cs="Calibri"/>
                <w:i w:val="0"/>
                <w:sz w:val="16"/>
                <w:szCs w:val="16"/>
                <w:lang w:val="en-US"/>
              </w:rPr>
              <w:t>Tavna</w:t>
            </w:r>
            <w:proofErr w:type="spellEnd"/>
            <w:r w:rsidRPr="00ED4D49">
              <w:rPr>
                <w:rStyle w:val="Emphasis"/>
                <w:rFonts w:cs="Calibri"/>
                <w:i w:val="0"/>
                <w:sz w:val="16"/>
                <w:szCs w:val="16"/>
                <w:lang w:val="en-US"/>
              </w:rPr>
              <w:t xml:space="preserve"> (the </w:t>
            </w:r>
            <w:proofErr w:type="spellStart"/>
            <w:r w:rsidRPr="00ED4D49">
              <w:rPr>
                <w:rStyle w:val="Emphasis"/>
                <w:rFonts w:cs="Calibri"/>
                <w:i w:val="0"/>
                <w:sz w:val="16"/>
                <w:szCs w:val="16"/>
                <w:lang w:val="en-US"/>
              </w:rPr>
              <w:t>Tavna</w:t>
            </w:r>
            <w:proofErr w:type="spellEnd"/>
            <w:r w:rsidRPr="00ED4D49">
              <w:rPr>
                <w:rStyle w:val="Emphasis"/>
                <w:rFonts w:cs="Calibri"/>
                <w:i w:val="0"/>
                <w:sz w:val="16"/>
                <w:szCs w:val="16"/>
                <w:lang w:val="en-US"/>
              </w:rPr>
              <w:t xml:space="preserve"> monastery church), the historic </w:t>
            </w:r>
            <w:proofErr w:type="spellStart"/>
            <w:r w:rsidRPr="00ED4D49">
              <w:rPr>
                <w:rStyle w:val="Emphasis"/>
                <w:rFonts w:cs="Calibri"/>
                <w:i w:val="0"/>
                <w:sz w:val="16"/>
                <w:szCs w:val="16"/>
                <w:lang w:val="en-US"/>
              </w:rPr>
              <w:t>monumen</w:t>
            </w:r>
            <w:proofErr w:type="spellEnd"/>
          </w:p>
        </w:tc>
      </w:tr>
      <w:tr w:rsidR="00A0077D" w:rsidRPr="00ED4D49" w14:paraId="6CDC1673" w14:textId="77777777" w:rsidTr="00A0077D">
        <w:tc>
          <w:tcPr>
            <w:tcW w:w="0" w:type="auto"/>
            <w:vMerge/>
            <w:shd w:val="clear" w:color="auto" w:fill="auto"/>
            <w:vAlign w:val="center"/>
          </w:tcPr>
          <w:p w14:paraId="0F4E3B67" w14:textId="77777777" w:rsidR="00A0077D" w:rsidRPr="00ED4D49" w:rsidRDefault="00A0077D" w:rsidP="00A0077D">
            <w:pPr>
              <w:spacing w:before="0" w:after="0"/>
              <w:rPr>
                <w:rFonts w:cs="Calibri"/>
                <w:sz w:val="16"/>
                <w:szCs w:val="16"/>
                <w:lang w:val="en-US"/>
              </w:rPr>
            </w:pPr>
          </w:p>
        </w:tc>
        <w:tc>
          <w:tcPr>
            <w:tcW w:w="0" w:type="auto"/>
            <w:shd w:val="clear" w:color="auto" w:fill="auto"/>
            <w:vAlign w:val="center"/>
          </w:tcPr>
          <w:p w14:paraId="474994BE" w14:textId="77777777" w:rsidR="00A0077D" w:rsidRPr="00ED4D49" w:rsidRDefault="00A0077D" w:rsidP="00A0077D">
            <w:pPr>
              <w:spacing w:before="0" w:after="0"/>
              <w:rPr>
                <w:rStyle w:val="Emphasis"/>
                <w:rFonts w:cs="Calibri"/>
                <w:i w:val="0"/>
                <w:sz w:val="16"/>
                <w:szCs w:val="16"/>
                <w:lang w:val="en-US"/>
              </w:rPr>
            </w:pPr>
            <w:r w:rsidRPr="00ED4D49">
              <w:rPr>
                <w:rStyle w:val="Emphasis"/>
                <w:rFonts w:cs="Calibri"/>
                <w:i w:val="0"/>
                <w:sz w:val="16"/>
                <w:szCs w:val="16"/>
                <w:lang w:val="en-US"/>
              </w:rPr>
              <w:t xml:space="preserve">Sokolski </w:t>
            </w:r>
            <w:proofErr w:type="spellStart"/>
            <w:r w:rsidRPr="00ED4D49">
              <w:rPr>
                <w:rStyle w:val="Emphasis"/>
                <w:rFonts w:cs="Calibri"/>
                <w:i w:val="0"/>
                <w:sz w:val="16"/>
                <w:szCs w:val="16"/>
                <w:lang w:val="en-US"/>
              </w:rPr>
              <w:t>dom</w:t>
            </w:r>
            <w:proofErr w:type="spellEnd"/>
            <w:r w:rsidRPr="00ED4D49">
              <w:rPr>
                <w:rStyle w:val="Emphasis"/>
                <w:rFonts w:cs="Calibri"/>
                <w:i w:val="0"/>
                <w:sz w:val="16"/>
                <w:szCs w:val="16"/>
                <w:lang w:val="en-US"/>
              </w:rPr>
              <w:t>, cultural heritage in Bijeljina</w:t>
            </w:r>
          </w:p>
        </w:tc>
      </w:tr>
      <w:tr w:rsidR="00A0077D" w:rsidRPr="00ED4D49" w14:paraId="133C279A" w14:textId="77777777" w:rsidTr="00A0077D">
        <w:tc>
          <w:tcPr>
            <w:tcW w:w="0" w:type="auto"/>
            <w:vMerge/>
            <w:shd w:val="clear" w:color="auto" w:fill="auto"/>
            <w:vAlign w:val="center"/>
          </w:tcPr>
          <w:p w14:paraId="52561EA1" w14:textId="77777777" w:rsidR="00A0077D" w:rsidRPr="00ED4D49" w:rsidRDefault="00A0077D" w:rsidP="00A0077D">
            <w:pPr>
              <w:spacing w:before="0" w:after="0"/>
              <w:rPr>
                <w:rFonts w:cs="Calibri"/>
                <w:sz w:val="16"/>
                <w:szCs w:val="16"/>
                <w:lang w:val="en-US"/>
              </w:rPr>
            </w:pPr>
          </w:p>
        </w:tc>
        <w:tc>
          <w:tcPr>
            <w:tcW w:w="0" w:type="auto"/>
            <w:shd w:val="clear" w:color="auto" w:fill="auto"/>
            <w:vAlign w:val="center"/>
          </w:tcPr>
          <w:p w14:paraId="4CE1F335" w14:textId="77777777" w:rsidR="00A0077D" w:rsidRPr="00ED4D49" w:rsidRDefault="00A0077D" w:rsidP="00A0077D">
            <w:pPr>
              <w:spacing w:before="0" w:after="0"/>
              <w:rPr>
                <w:rStyle w:val="Emphasis"/>
                <w:rFonts w:cs="Calibri"/>
                <w:i w:val="0"/>
                <w:sz w:val="16"/>
                <w:szCs w:val="16"/>
                <w:lang w:val="en-US"/>
              </w:rPr>
            </w:pPr>
            <w:r w:rsidRPr="00ED4D49">
              <w:rPr>
                <w:rFonts w:cs="Calibri"/>
                <w:bCs/>
                <w:sz w:val="16"/>
                <w:szCs w:val="16"/>
                <w:lang w:val="en-US"/>
              </w:rPr>
              <w:t>Architectural Ensemble</w:t>
            </w:r>
            <w:r w:rsidRPr="00ED4D49">
              <w:rPr>
                <w:rFonts w:cs="Calibri"/>
                <w:sz w:val="16"/>
                <w:szCs w:val="16"/>
                <w:shd w:val="clear" w:color="auto" w:fill="FFFFFF"/>
                <w:lang w:val="en-US"/>
              </w:rPr>
              <w:t> – </w:t>
            </w:r>
            <w:r w:rsidRPr="00ED4D49">
              <w:rPr>
                <w:rFonts w:cs="Calibri"/>
                <w:bCs/>
                <w:sz w:val="16"/>
                <w:szCs w:val="16"/>
                <w:lang w:val="en-US"/>
              </w:rPr>
              <w:t>Novo Selo</w:t>
            </w:r>
            <w:r w:rsidRPr="00ED4D49">
              <w:rPr>
                <w:rFonts w:cs="Calibri"/>
                <w:sz w:val="16"/>
                <w:szCs w:val="16"/>
                <w:shd w:val="clear" w:color="auto" w:fill="FFFFFF"/>
                <w:lang w:val="en-US"/>
              </w:rPr>
              <w:t> (</w:t>
            </w:r>
            <w:r w:rsidRPr="00ED4D49">
              <w:rPr>
                <w:rFonts w:cs="Calibri"/>
                <w:bCs/>
                <w:sz w:val="16"/>
                <w:szCs w:val="16"/>
                <w:lang w:val="en-US"/>
              </w:rPr>
              <w:t xml:space="preserve">Franz </w:t>
            </w:r>
            <w:proofErr w:type="spellStart"/>
            <w:r w:rsidRPr="00ED4D49">
              <w:rPr>
                <w:rFonts w:cs="Calibri"/>
                <w:bCs/>
                <w:sz w:val="16"/>
                <w:szCs w:val="16"/>
                <w:lang w:val="en-US"/>
              </w:rPr>
              <w:t>Josefsfeld</w:t>
            </w:r>
            <w:proofErr w:type="spellEnd"/>
            <w:r w:rsidRPr="00ED4D49">
              <w:rPr>
                <w:rFonts w:cs="Calibri"/>
                <w:sz w:val="16"/>
                <w:szCs w:val="16"/>
                <w:shd w:val="clear" w:color="auto" w:fill="FFFFFF"/>
                <w:lang w:val="en-US"/>
              </w:rPr>
              <w:t>)</w:t>
            </w:r>
          </w:p>
        </w:tc>
      </w:tr>
      <w:tr w:rsidR="00A0077D" w:rsidRPr="00ED4D49" w14:paraId="60D24043" w14:textId="77777777" w:rsidTr="00A0077D">
        <w:tc>
          <w:tcPr>
            <w:tcW w:w="0" w:type="auto"/>
            <w:vMerge/>
            <w:tcBorders>
              <w:bottom w:val="single" w:sz="4" w:space="0" w:color="BFBFBF"/>
            </w:tcBorders>
            <w:shd w:val="clear" w:color="auto" w:fill="auto"/>
            <w:vAlign w:val="center"/>
          </w:tcPr>
          <w:p w14:paraId="05C7EF47" w14:textId="77777777" w:rsidR="00A0077D" w:rsidRPr="00ED4D49" w:rsidRDefault="00A0077D" w:rsidP="00A0077D">
            <w:pPr>
              <w:spacing w:before="0" w:after="0"/>
              <w:rPr>
                <w:rFonts w:cs="Calibri"/>
                <w:sz w:val="16"/>
                <w:szCs w:val="16"/>
                <w:lang w:val="en-US"/>
              </w:rPr>
            </w:pPr>
          </w:p>
        </w:tc>
        <w:tc>
          <w:tcPr>
            <w:tcW w:w="0" w:type="auto"/>
            <w:shd w:val="clear" w:color="auto" w:fill="auto"/>
            <w:vAlign w:val="center"/>
          </w:tcPr>
          <w:p w14:paraId="62333056" w14:textId="77AE5760" w:rsidR="00A0077D" w:rsidRPr="00ED4D49" w:rsidRDefault="00A0077D" w:rsidP="00A0077D">
            <w:pPr>
              <w:spacing w:before="0" w:after="0"/>
              <w:rPr>
                <w:rStyle w:val="Emphasis"/>
                <w:rFonts w:cs="Calibri"/>
                <w:i w:val="0"/>
                <w:sz w:val="16"/>
                <w:szCs w:val="16"/>
                <w:lang w:val="en-US"/>
              </w:rPr>
            </w:pPr>
            <w:r w:rsidRPr="00ED4D49">
              <w:rPr>
                <w:rFonts w:cs="Calibri"/>
                <w:sz w:val="16"/>
                <w:szCs w:val="16"/>
                <w:shd w:val="clear" w:color="auto" w:fill="FFFFFF"/>
                <w:lang w:val="en-US"/>
              </w:rPr>
              <w:t>Most </w:t>
            </w:r>
            <w:r w:rsidRPr="00ED4D49">
              <w:rPr>
                <w:rStyle w:val="Emphasis"/>
                <w:rFonts w:cs="Calibri"/>
                <w:bCs/>
                <w:i w:val="0"/>
                <w:iCs w:val="0"/>
                <w:sz w:val="16"/>
                <w:szCs w:val="16"/>
                <w:shd w:val="clear" w:color="auto" w:fill="FFFFFF"/>
                <w:lang w:val="en-US"/>
              </w:rPr>
              <w:t xml:space="preserve">Pure Heart </w:t>
            </w:r>
            <w:proofErr w:type="gramStart"/>
            <w:r w:rsidRPr="00ED4D49">
              <w:rPr>
                <w:rStyle w:val="Emphasis"/>
                <w:rFonts w:cs="Calibri"/>
                <w:bCs/>
                <w:i w:val="0"/>
                <w:iCs w:val="0"/>
                <w:sz w:val="16"/>
                <w:szCs w:val="16"/>
                <w:shd w:val="clear" w:color="auto" w:fill="FFFFFF"/>
                <w:lang w:val="en-US"/>
              </w:rPr>
              <w:t>Of</w:t>
            </w:r>
            <w:proofErr w:type="gramEnd"/>
            <w:r w:rsidRPr="00ED4D49">
              <w:rPr>
                <w:rStyle w:val="Emphasis"/>
                <w:rFonts w:cs="Calibri"/>
                <w:bCs/>
                <w:i w:val="0"/>
                <w:iCs w:val="0"/>
                <w:sz w:val="16"/>
                <w:szCs w:val="16"/>
                <w:shd w:val="clear" w:color="auto" w:fill="FFFFFF"/>
                <w:lang w:val="en-US"/>
              </w:rPr>
              <w:t xml:space="preserve"> Mary </w:t>
            </w:r>
            <w:r w:rsidR="001E54A6" w:rsidRPr="00ED4D49">
              <w:rPr>
                <w:rStyle w:val="Emphasis"/>
                <w:rFonts w:cs="Calibri"/>
                <w:bCs/>
                <w:i w:val="0"/>
                <w:iCs w:val="0"/>
                <w:sz w:val="16"/>
                <w:szCs w:val="16"/>
                <w:shd w:val="clear" w:color="auto" w:fill="FFFFFF"/>
                <w:lang w:val="en-US"/>
              </w:rPr>
              <w:t>Church</w:t>
            </w:r>
            <w:r w:rsidR="001E54A6" w:rsidRPr="00ED4D49">
              <w:rPr>
                <w:rFonts w:cs="Calibri"/>
                <w:sz w:val="16"/>
                <w:szCs w:val="16"/>
                <w:shd w:val="clear" w:color="auto" w:fill="FFFFFF"/>
                <w:lang w:val="en-US"/>
              </w:rPr>
              <w:t> </w:t>
            </w:r>
            <w:r w:rsidR="001E54A6" w:rsidRPr="00ED4D49">
              <w:rPr>
                <w:rStyle w:val="Emphasis"/>
                <w:rFonts w:cs="Calibri"/>
                <w:i w:val="0"/>
                <w:sz w:val="16"/>
                <w:szCs w:val="16"/>
                <w:lang w:val="en-US"/>
              </w:rPr>
              <w:t>and</w:t>
            </w:r>
            <w:r w:rsidRPr="00ED4D49">
              <w:rPr>
                <w:rStyle w:val="Emphasis"/>
                <w:rFonts w:cs="Calibri"/>
                <w:i w:val="0"/>
                <w:sz w:val="16"/>
                <w:szCs w:val="16"/>
                <w:lang w:val="en-US"/>
              </w:rPr>
              <w:t xml:space="preserve"> parish office, architectural ensemble </w:t>
            </w:r>
          </w:p>
        </w:tc>
      </w:tr>
      <w:tr w:rsidR="00A0077D" w:rsidRPr="00ED4D49" w14:paraId="5837575F" w14:textId="77777777" w:rsidTr="00A0077D">
        <w:tc>
          <w:tcPr>
            <w:tcW w:w="0" w:type="auto"/>
            <w:gridSpan w:val="2"/>
            <w:tcBorders>
              <w:bottom w:val="single" w:sz="4" w:space="0" w:color="BFBFBF"/>
            </w:tcBorders>
            <w:shd w:val="clear" w:color="auto" w:fill="auto"/>
            <w:vAlign w:val="center"/>
          </w:tcPr>
          <w:p w14:paraId="7CF82F31" w14:textId="77777777" w:rsidR="00A0077D" w:rsidRPr="00ED4D49" w:rsidRDefault="00A0077D" w:rsidP="00A0077D">
            <w:pPr>
              <w:spacing w:before="0" w:after="0"/>
              <w:rPr>
                <w:rStyle w:val="Emphasis"/>
                <w:rFonts w:cs="Calibri"/>
                <w:b/>
                <w:i w:val="0"/>
                <w:sz w:val="16"/>
                <w:szCs w:val="16"/>
                <w:lang w:val="en-US"/>
              </w:rPr>
            </w:pPr>
            <w:r w:rsidRPr="00ED4D49">
              <w:rPr>
                <w:rFonts w:cs="Calibri"/>
                <w:b/>
                <w:sz w:val="16"/>
                <w:szCs w:val="16"/>
                <w:lang w:val="en-US"/>
              </w:rPr>
              <w:t>FBiH</w:t>
            </w:r>
          </w:p>
        </w:tc>
      </w:tr>
      <w:tr w:rsidR="00A0077D" w:rsidRPr="00ED4D49" w14:paraId="26DA6F63" w14:textId="77777777" w:rsidTr="00A0077D">
        <w:tc>
          <w:tcPr>
            <w:tcW w:w="0" w:type="auto"/>
            <w:tcBorders>
              <w:bottom w:val="single" w:sz="4" w:space="0" w:color="BFBFBF"/>
            </w:tcBorders>
            <w:shd w:val="clear" w:color="auto" w:fill="auto"/>
            <w:vAlign w:val="center"/>
          </w:tcPr>
          <w:p w14:paraId="5E1FB8FE" w14:textId="77777777" w:rsidR="00A0077D" w:rsidRPr="00ED4D49" w:rsidRDefault="00A0077D" w:rsidP="00A0077D">
            <w:pPr>
              <w:spacing w:before="0" w:after="0"/>
              <w:rPr>
                <w:rFonts w:cs="Calibri"/>
                <w:sz w:val="16"/>
                <w:szCs w:val="16"/>
                <w:lang w:val="en-US"/>
              </w:rPr>
            </w:pPr>
            <w:proofErr w:type="spellStart"/>
            <w:r w:rsidRPr="00ED4D49">
              <w:rPr>
                <w:rFonts w:cs="Calibri"/>
                <w:sz w:val="16"/>
                <w:szCs w:val="16"/>
                <w:lang w:val="en-US"/>
              </w:rPr>
              <w:t>Orašje</w:t>
            </w:r>
            <w:proofErr w:type="spellEnd"/>
            <w:r w:rsidRPr="00ED4D49">
              <w:rPr>
                <w:rFonts w:cs="Calibri"/>
                <w:sz w:val="16"/>
                <w:szCs w:val="16"/>
                <w:lang w:val="en-US"/>
              </w:rPr>
              <w:t xml:space="preserve"> </w:t>
            </w:r>
          </w:p>
        </w:tc>
        <w:tc>
          <w:tcPr>
            <w:tcW w:w="0" w:type="auto"/>
            <w:shd w:val="clear" w:color="auto" w:fill="auto"/>
            <w:vAlign w:val="center"/>
          </w:tcPr>
          <w:p w14:paraId="0208CE2E" w14:textId="77777777" w:rsidR="00A0077D" w:rsidRPr="00ED4D49" w:rsidRDefault="00A0077D" w:rsidP="00A0077D">
            <w:pPr>
              <w:spacing w:before="0" w:after="0"/>
              <w:rPr>
                <w:rStyle w:val="Emphasis"/>
                <w:rFonts w:cs="Calibri"/>
                <w:i w:val="0"/>
                <w:sz w:val="16"/>
                <w:szCs w:val="16"/>
                <w:lang w:val="en-US"/>
              </w:rPr>
            </w:pPr>
            <w:r w:rsidRPr="00ED4D49">
              <w:rPr>
                <w:rStyle w:val="Emphasis"/>
                <w:rFonts w:cs="Calibri"/>
                <w:i w:val="0"/>
                <w:sz w:val="16"/>
                <w:szCs w:val="16"/>
                <w:lang w:val="en-US"/>
              </w:rPr>
              <w:t xml:space="preserve">Parish church of the Assumption of the </w:t>
            </w:r>
            <w:proofErr w:type="spellStart"/>
            <w:r w:rsidRPr="00ED4D49">
              <w:rPr>
                <w:rStyle w:val="Emphasis"/>
                <w:rFonts w:cs="Calibri"/>
                <w:i w:val="0"/>
                <w:sz w:val="16"/>
                <w:szCs w:val="16"/>
                <w:lang w:val="en-US"/>
              </w:rPr>
              <w:t>Blesed</w:t>
            </w:r>
            <w:proofErr w:type="spellEnd"/>
            <w:r w:rsidRPr="00ED4D49">
              <w:rPr>
                <w:rStyle w:val="Emphasis"/>
                <w:rFonts w:cs="Calibri"/>
                <w:i w:val="0"/>
                <w:sz w:val="16"/>
                <w:szCs w:val="16"/>
                <w:lang w:val="en-US"/>
              </w:rPr>
              <w:t xml:space="preserve"> Virgin Mary and the Franciscan monastery in </w:t>
            </w:r>
            <w:proofErr w:type="spellStart"/>
            <w:r w:rsidRPr="00ED4D49">
              <w:rPr>
                <w:rStyle w:val="Emphasis"/>
                <w:rFonts w:cs="Calibri"/>
                <w:i w:val="0"/>
                <w:sz w:val="16"/>
                <w:szCs w:val="16"/>
                <w:lang w:val="en-US"/>
              </w:rPr>
              <w:t>Tolisa</w:t>
            </w:r>
            <w:proofErr w:type="spellEnd"/>
            <w:r w:rsidRPr="00ED4D49">
              <w:rPr>
                <w:rStyle w:val="Emphasis"/>
                <w:rFonts w:cs="Calibri"/>
                <w:i w:val="0"/>
                <w:sz w:val="16"/>
                <w:szCs w:val="16"/>
                <w:lang w:val="en-US"/>
              </w:rPr>
              <w:t>, together with movable heritage, the architectural ensemble</w:t>
            </w:r>
          </w:p>
        </w:tc>
      </w:tr>
      <w:tr w:rsidR="00A0077D" w:rsidRPr="00ED4D49" w14:paraId="084E5E15" w14:textId="77777777" w:rsidTr="00A0077D">
        <w:tc>
          <w:tcPr>
            <w:tcW w:w="0" w:type="auto"/>
            <w:vMerge w:val="restart"/>
            <w:shd w:val="clear" w:color="auto" w:fill="auto"/>
            <w:vAlign w:val="center"/>
          </w:tcPr>
          <w:p w14:paraId="24EFF70B" w14:textId="77777777" w:rsidR="00A0077D" w:rsidRPr="00ED4D49" w:rsidRDefault="00A0077D" w:rsidP="00A0077D">
            <w:pPr>
              <w:spacing w:before="0" w:after="0"/>
              <w:rPr>
                <w:rFonts w:cs="Calibri"/>
                <w:sz w:val="16"/>
                <w:szCs w:val="16"/>
                <w:lang w:val="en-US"/>
              </w:rPr>
            </w:pPr>
            <w:proofErr w:type="spellStart"/>
            <w:r w:rsidRPr="00ED4D49">
              <w:rPr>
                <w:rFonts w:cs="Calibri"/>
                <w:sz w:val="16"/>
                <w:szCs w:val="16"/>
                <w:lang w:val="en-US"/>
              </w:rPr>
              <w:t>Gradačac</w:t>
            </w:r>
            <w:proofErr w:type="spellEnd"/>
            <w:r w:rsidRPr="00ED4D49">
              <w:rPr>
                <w:rFonts w:cs="Calibri"/>
                <w:sz w:val="16"/>
                <w:szCs w:val="16"/>
                <w:lang w:val="en-US"/>
              </w:rPr>
              <w:t xml:space="preserve"> </w:t>
            </w:r>
          </w:p>
        </w:tc>
        <w:tc>
          <w:tcPr>
            <w:tcW w:w="0" w:type="auto"/>
            <w:shd w:val="clear" w:color="auto" w:fill="auto"/>
            <w:vAlign w:val="bottom"/>
          </w:tcPr>
          <w:p w14:paraId="24E535D1" w14:textId="77777777" w:rsidR="00A0077D" w:rsidRPr="00ED4D49" w:rsidRDefault="00A0077D" w:rsidP="00A0077D">
            <w:pPr>
              <w:spacing w:before="0" w:after="0"/>
              <w:rPr>
                <w:rFonts w:cs="Calibri"/>
                <w:sz w:val="16"/>
                <w:szCs w:val="16"/>
                <w:lang w:val="en-US"/>
              </w:rPr>
            </w:pPr>
            <w:r w:rsidRPr="00ED4D49">
              <w:rPr>
                <w:rFonts w:cs="Calibri"/>
                <w:sz w:val="16"/>
                <w:szCs w:val="16"/>
                <w:lang w:val="en-US"/>
              </w:rPr>
              <w:t xml:space="preserve">Old fort of </w:t>
            </w:r>
            <w:proofErr w:type="spellStart"/>
            <w:r w:rsidRPr="00ED4D49">
              <w:rPr>
                <w:rFonts w:cs="Calibri"/>
                <w:sz w:val="16"/>
                <w:szCs w:val="16"/>
                <w:lang w:val="en-US"/>
              </w:rPr>
              <w:t>Gradačac</w:t>
            </w:r>
            <w:proofErr w:type="spellEnd"/>
            <w:r w:rsidRPr="00ED4D49">
              <w:rPr>
                <w:rFonts w:cs="Calibri"/>
                <w:sz w:val="16"/>
                <w:szCs w:val="16"/>
                <w:lang w:val="en-US"/>
              </w:rPr>
              <w:t xml:space="preserve"> with </w:t>
            </w:r>
            <w:proofErr w:type="spellStart"/>
            <w:r w:rsidRPr="00ED4D49">
              <w:rPr>
                <w:rFonts w:cs="Calibri"/>
                <w:sz w:val="16"/>
                <w:szCs w:val="16"/>
                <w:lang w:val="en-US"/>
              </w:rPr>
              <w:t>Gradaščevića</w:t>
            </w:r>
            <w:proofErr w:type="spellEnd"/>
            <w:r w:rsidRPr="00ED4D49">
              <w:rPr>
                <w:rFonts w:cs="Calibri"/>
                <w:sz w:val="16"/>
                <w:szCs w:val="16"/>
                <w:lang w:val="en-US"/>
              </w:rPr>
              <w:t xml:space="preserve"> tower, the historic site</w:t>
            </w:r>
          </w:p>
        </w:tc>
      </w:tr>
      <w:tr w:rsidR="00A0077D" w:rsidRPr="00ED4D49" w14:paraId="13CD13B0" w14:textId="77777777" w:rsidTr="00A0077D">
        <w:tc>
          <w:tcPr>
            <w:tcW w:w="0" w:type="auto"/>
            <w:vMerge/>
            <w:shd w:val="clear" w:color="auto" w:fill="auto"/>
            <w:vAlign w:val="center"/>
          </w:tcPr>
          <w:p w14:paraId="417C0639" w14:textId="77777777" w:rsidR="00A0077D" w:rsidRPr="00ED4D49" w:rsidRDefault="00A0077D" w:rsidP="00A0077D">
            <w:pPr>
              <w:spacing w:before="0" w:after="0"/>
              <w:rPr>
                <w:rFonts w:cs="Calibri"/>
                <w:sz w:val="16"/>
                <w:szCs w:val="16"/>
                <w:lang w:val="en-US"/>
              </w:rPr>
            </w:pPr>
          </w:p>
        </w:tc>
        <w:tc>
          <w:tcPr>
            <w:tcW w:w="0" w:type="auto"/>
            <w:shd w:val="clear" w:color="auto" w:fill="auto"/>
            <w:vAlign w:val="bottom"/>
          </w:tcPr>
          <w:p w14:paraId="4E079432" w14:textId="77777777" w:rsidR="00A0077D" w:rsidRPr="00ED4D49" w:rsidRDefault="00A0077D" w:rsidP="00A0077D">
            <w:pPr>
              <w:spacing w:before="0" w:after="0"/>
              <w:rPr>
                <w:rFonts w:cs="Calibri"/>
                <w:sz w:val="16"/>
                <w:szCs w:val="16"/>
                <w:lang w:val="en-US"/>
              </w:rPr>
            </w:pPr>
            <w:proofErr w:type="spellStart"/>
            <w:r w:rsidRPr="00ED4D49">
              <w:rPr>
                <w:rFonts w:cs="Calibri"/>
                <w:sz w:val="16"/>
                <w:szCs w:val="16"/>
                <w:lang w:val="en-US"/>
              </w:rPr>
              <w:t>Husejnija</w:t>
            </w:r>
            <w:proofErr w:type="spellEnd"/>
            <w:r w:rsidRPr="00ED4D49">
              <w:rPr>
                <w:rFonts w:cs="Calibri"/>
                <w:sz w:val="16"/>
                <w:szCs w:val="16"/>
                <w:lang w:val="en-US"/>
              </w:rPr>
              <w:t xml:space="preserve"> mosque, the architectural ensemble</w:t>
            </w:r>
          </w:p>
        </w:tc>
      </w:tr>
      <w:tr w:rsidR="00A0077D" w:rsidRPr="00ED4D49" w14:paraId="29CBC91D" w14:textId="77777777" w:rsidTr="00A0077D">
        <w:tc>
          <w:tcPr>
            <w:tcW w:w="0" w:type="auto"/>
            <w:vMerge/>
            <w:shd w:val="clear" w:color="auto" w:fill="auto"/>
            <w:vAlign w:val="center"/>
          </w:tcPr>
          <w:p w14:paraId="3D791264" w14:textId="77777777" w:rsidR="00A0077D" w:rsidRPr="00ED4D49" w:rsidRDefault="00A0077D" w:rsidP="00A0077D">
            <w:pPr>
              <w:spacing w:before="0" w:after="0"/>
              <w:rPr>
                <w:rFonts w:cs="Calibri"/>
                <w:sz w:val="16"/>
                <w:szCs w:val="16"/>
                <w:lang w:val="en-US"/>
              </w:rPr>
            </w:pPr>
          </w:p>
        </w:tc>
        <w:tc>
          <w:tcPr>
            <w:tcW w:w="0" w:type="auto"/>
            <w:shd w:val="clear" w:color="auto" w:fill="auto"/>
            <w:vAlign w:val="bottom"/>
          </w:tcPr>
          <w:p w14:paraId="68C35CCB" w14:textId="77777777" w:rsidR="00A0077D" w:rsidRPr="00ED4D49" w:rsidRDefault="00A0077D" w:rsidP="00A0077D">
            <w:pPr>
              <w:spacing w:before="0" w:after="0"/>
              <w:rPr>
                <w:rFonts w:cs="Calibri"/>
                <w:sz w:val="16"/>
                <w:szCs w:val="16"/>
                <w:lang w:val="en-US"/>
              </w:rPr>
            </w:pPr>
            <w:r w:rsidRPr="00ED4D49">
              <w:rPr>
                <w:rFonts w:cs="Calibri"/>
                <w:sz w:val="16"/>
                <w:szCs w:val="16"/>
                <w:lang w:val="en-US"/>
              </w:rPr>
              <w:t xml:space="preserve">Harem of the </w:t>
            </w:r>
            <w:proofErr w:type="spellStart"/>
            <w:r w:rsidRPr="00ED4D49">
              <w:rPr>
                <w:rFonts w:cs="Calibri"/>
                <w:sz w:val="16"/>
                <w:szCs w:val="16"/>
                <w:lang w:val="en-US"/>
              </w:rPr>
              <w:t>Bukva</w:t>
            </w:r>
            <w:proofErr w:type="spellEnd"/>
            <w:r w:rsidRPr="00ED4D49">
              <w:rPr>
                <w:rFonts w:cs="Calibri"/>
                <w:sz w:val="16"/>
                <w:szCs w:val="16"/>
                <w:lang w:val="en-US"/>
              </w:rPr>
              <w:t xml:space="preserve"> (</w:t>
            </w:r>
            <w:proofErr w:type="spellStart"/>
            <w:r w:rsidRPr="00ED4D49">
              <w:rPr>
                <w:rFonts w:cs="Calibri"/>
                <w:sz w:val="16"/>
                <w:szCs w:val="16"/>
                <w:lang w:val="en-US"/>
              </w:rPr>
              <w:t>Bukvačka</w:t>
            </w:r>
            <w:proofErr w:type="spellEnd"/>
            <w:r w:rsidRPr="00ED4D49">
              <w:rPr>
                <w:rFonts w:cs="Calibri"/>
                <w:sz w:val="16"/>
                <w:szCs w:val="16"/>
                <w:lang w:val="en-US"/>
              </w:rPr>
              <w:t xml:space="preserve"> or </w:t>
            </w:r>
            <w:proofErr w:type="spellStart"/>
            <w:r w:rsidRPr="00ED4D49">
              <w:rPr>
                <w:rFonts w:cs="Calibri"/>
                <w:sz w:val="16"/>
                <w:szCs w:val="16"/>
                <w:lang w:val="en-US"/>
              </w:rPr>
              <w:t>Bukvarska</w:t>
            </w:r>
            <w:proofErr w:type="spellEnd"/>
            <w:r w:rsidRPr="00ED4D49">
              <w:rPr>
                <w:rFonts w:cs="Calibri"/>
                <w:sz w:val="16"/>
                <w:szCs w:val="16"/>
                <w:lang w:val="en-US"/>
              </w:rPr>
              <w:t>) Mosque, the sepulchral ensemble</w:t>
            </w:r>
          </w:p>
        </w:tc>
      </w:tr>
      <w:tr w:rsidR="00A0077D" w:rsidRPr="00ED4D49" w14:paraId="3C214333" w14:textId="77777777" w:rsidTr="00A0077D">
        <w:tc>
          <w:tcPr>
            <w:tcW w:w="0" w:type="auto"/>
            <w:vMerge/>
            <w:shd w:val="clear" w:color="auto" w:fill="auto"/>
            <w:vAlign w:val="center"/>
          </w:tcPr>
          <w:p w14:paraId="09EF308F" w14:textId="77777777" w:rsidR="00A0077D" w:rsidRPr="00ED4D49" w:rsidRDefault="00A0077D" w:rsidP="00A0077D">
            <w:pPr>
              <w:spacing w:before="0" w:after="0"/>
              <w:rPr>
                <w:rFonts w:cs="Calibri"/>
                <w:sz w:val="16"/>
                <w:szCs w:val="16"/>
                <w:lang w:val="en-US"/>
              </w:rPr>
            </w:pPr>
          </w:p>
        </w:tc>
        <w:tc>
          <w:tcPr>
            <w:tcW w:w="0" w:type="auto"/>
            <w:shd w:val="clear" w:color="auto" w:fill="auto"/>
            <w:vAlign w:val="bottom"/>
          </w:tcPr>
          <w:p w14:paraId="38269B51" w14:textId="77777777" w:rsidR="00A0077D" w:rsidRPr="00ED4D49" w:rsidRDefault="00A0077D" w:rsidP="00A0077D">
            <w:pPr>
              <w:spacing w:before="0" w:after="0"/>
              <w:rPr>
                <w:rFonts w:cs="Calibri"/>
                <w:sz w:val="16"/>
                <w:szCs w:val="16"/>
                <w:lang w:val="en-US"/>
              </w:rPr>
            </w:pPr>
            <w:r w:rsidRPr="00ED4D49">
              <w:rPr>
                <w:rFonts w:cs="Calibri"/>
                <w:sz w:val="16"/>
                <w:szCs w:val="16"/>
                <w:lang w:val="en-US"/>
              </w:rPr>
              <w:t>Harem of the Reuf-bey or New (</w:t>
            </w:r>
            <w:proofErr w:type="spellStart"/>
            <w:r w:rsidRPr="00ED4D49">
              <w:rPr>
                <w:rFonts w:cs="Calibri"/>
                <w:sz w:val="16"/>
                <w:szCs w:val="16"/>
                <w:lang w:val="en-US"/>
              </w:rPr>
              <w:t>Džedid</w:t>
            </w:r>
            <w:proofErr w:type="spellEnd"/>
            <w:r w:rsidRPr="00ED4D49">
              <w:rPr>
                <w:rFonts w:cs="Calibri"/>
                <w:sz w:val="16"/>
                <w:szCs w:val="16"/>
                <w:lang w:val="en-US"/>
              </w:rPr>
              <w:t>) Mosque, the sepulchral ensemble</w:t>
            </w:r>
          </w:p>
        </w:tc>
      </w:tr>
      <w:tr w:rsidR="00A0077D" w:rsidRPr="00ED4D49" w14:paraId="0362F066" w14:textId="77777777" w:rsidTr="00A0077D">
        <w:tc>
          <w:tcPr>
            <w:tcW w:w="0" w:type="auto"/>
            <w:vMerge/>
            <w:shd w:val="clear" w:color="auto" w:fill="auto"/>
            <w:vAlign w:val="center"/>
          </w:tcPr>
          <w:p w14:paraId="631BCE06" w14:textId="77777777" w:rsidR="00A0077D" w:rsidRPr="00ED4D49" w:rsidRDefault="00A0077D" w:rsidP="00A0077D">
            <w:pPr>
              <w:spacing w:before="0" w:after="0"/>
              <w:rPr>
                <w:rFonts w:cs="Calibri"/>
                <w:sz w:val="16"/>
                <w:szCs w:val="16"/>
                <w:lang w:val="en-US"/>
              </w:rPr>
            </w:pPr>
          </w:p>
        </w:tc>
        <w:tc>
          <w:tcPr>
            <w:tcW w:w="0" w:type="auto"/>
            <w:shd w:val="clear" w:color="auto" w:fill="auto"/>
            <w:vAlign w:val="bottom"/>
          </w:tcPr>
          <w:p w14:paraId="3CBB957F" w14:textId="77777777" w:rsidR="00A0077D" w:rsidRPr="00ED4D49" w:rsidRDefault="00A0077D" w:rsidP="00A0077D">
            <w:pPr>
              <w:spacing w:before="0" w:after="0"/>
              <w:rPr>
                <w:rFonts w:cs="Calibri"/>
                <w:sz w:val="16"/>
                <w:szCs w:val="16"/>
                <w:lang w:val="en-US"/>
              </w:rPr>
            </w:pPr>
            <w:r w:rsidRPr="00ED4D49">
              <w:rPr>
                <w:rFonts w:cs="Calibri"/>
                <w:sz w:val="16"/>
                <w:szCs w:val="16"/>
                <w:lang w:val="en-US"/>
              </w:rPr>
              <w:t>St Elijah’s Church, the historic monument</w:t>
            </w:r>
          </w:p>
        </w:tc>
      </w:tr>
      <w:tr w:rsidR="00A0077D" w:rsidRPr="00ED4D49" w14:paraId="3B8FE833" w14:textId="77777777" w:rsidTr="00A0077D">
        <w:tc>
          <w:tcPr>
            <w:tcW w:w="0" w:type="auto"/>
            <w:vMerge/>
            <w:shd w:val="clear" w:color="auto" w:fill="auto"/>
            <w:vAlign w:val="center"/>
          </w:tcPr>
          <w:p w14:paraId="05AD2292" w14:textId="77777777" w:rsidR="00A0077D" w:rsidRPr="00ED4D49" w:rsidRDefault="00A0077D" w:rsidP="00A0077D">
            <w:pPr>
              <w:spacing w:before="0" w:after="0"/>
              <w:rPr>
                <w:rFonts w:cs="Calibri"/>
                <w:sz w:val="16"/>
                <w:szCs w:val="16"/>
                <w:lang w:val="en-US"/>
              </w:rPr>
            </w:pPr>
          </w:p>
        </w:tc>
        <w:tc>
          <w:tcPr>
            <w:tcW w:w="0" w:type="auto"/>
            <w:shd w:val="clear" w:color="auto" w:fill="auto"/>
            <w:vAlign w:val="bottom"/>
          </w:tcPr>
          <w:p w14:paraId="5E13E047" w14:textId="77777777" w:rsidR="00A0077D" w:rsidRPr="00ED4D49" w:rsidRDefault="00A0077D" w:rsidP="00A0077D">
            <w:pPr>
              <w:spacing w:before="0" w:after="0"/>
              <w:rPr>
                <w:rFonts w:cs="Calibri"/>
                <w:sz w:val="16"/>
                <w:szCs w:val="16"/>
                <w:lang w:val="en-US"/>
              </w:rPr>
            </w:pPr>
            <w:r w:rsidRPr="00ED4D49">
              <w:rPr>
                <w:rStyle w:val="Emphasis"/>
                <w:rFonts w:cs="Calibri"/>
                <w:bCs/>
                <w:i w:val="0"/>
                <w:iCs w:val="0"/>
                <w:sz w:val="16"/>
                <w:szCs w:val="16"/>
                <w:shd w:val="clear" w:color="auto" w:fill="FFFFFF"/>
                <w:lang w:val="en-US"/>
              </w:rPr>
              <w:t>Family house</w:t>
            </w:r>
            <w:r w:rsidRPr="00ED4D49">
              <w:rPr>
                <w:rFonts w:cs="Calibri"/>
                <w:sz w:val="16"/>
                <w:szCs w:val="16"/>
                <w:shd w:val="clear" w:color="auto" w:fill="FFFFFF"/>
                <w:lang w:val="en-US"/>
              </w:rPr>
              <w:t> of </w:t>
            </w:r>
            <w:proofErr w:type="spellStart"/>
            <w:r w:rsidRPr="00ED4D49">
              <w:rPr>
                <w:rStyle w:val="Emphasis"/>
                <w:rFonts w:cs="Calibri"/>
                <w:bCs/>
                <w:i w:val="0"/>
                <w:iCs w:val="0"/>
                <w:sz w:val="16"/>
                <w:szCs w:val="16"/>
                <w:shd w:val="clear" w:color="auto" w:fill="FFFFFF"/>
                <w:lang w:val="en-US"/>
              </w:rPr>
              <w:t>Gradaščević</w:t>
            </w:r>
            <w:proofErr w:type="spellEnd"/>
            <w:r w:rsidRPr="00ED4D49">
              <w:rPr>
                <w:rStyle w:val="Emphasis"/>
                <w:rFonts w:cs="Calibri"/>
                <w:bCs/>
                <w:i w:val="0"/>
                <w:iCs w:val="0"/>
                <w:sz w:val="16"/>
                <w:szCs w:val="16"/>
                <w:shd w:val="clear" w:color="auto" w:fill="FFFFFF"/>
                <w:lang w:val="en-US"/>
              </w:rPr>
              <w:t xml:space="preserve"> family</w:t>
            </w:r>
            <w:r w:rsidRPr="00ED4D49">
              <w:rPr>
                <w:rFonts w:cs="Calibri"/>
                <w:sz w:val="16"/>
                <w:szCs w:val="16"/>
                <w:lang w:val="en-US"/>
              </w:rPr>
              <w:t>, historic monument</w:t>
            </w:r>
          </w:p>
        </w:tc>
      </w:tr>
      <w:tr w:rsidR="00A0077D" w:rsidRPr="00ED4D49" w14:paraId="7AB14C5A" w14:textId="77777777" w:rsidTr="00A0077D">
        <w:tc>
          <w:tcPr>
            <w:tcW w:w="0" w:type="auto"/>
            <w:vMerge w:val="restart"/>
            <w:shd w:val="clear" w:color="auto" w:fill="auto"/>
            <w:vAlign w:val="center"/>
          </w:tcPr>
          <w:p w14:paraId="1ACBAF4B" w14:textId="77777777" w:rsidR="00A0077D" w:rsidRPr="00ED4D49" w:rsidRDefault="00A0077D" w:rsidP="00A0077D">
            <w:pPr>
              <w:spacing w:before="0" w:after="0"/>
              <w:rPr>
                <w:rFonts w:cs="Calibri"/>
                <w:sz w:val="16"/>
                <w:szCs w:val="16"/>
                <w:lang w:val="en-US"/>
              </w:rPr>
            </w:pPr>
            <w:proofErr w:type="spellStart"/>
            <w:r w:rsidRPr="00ED4D49">
              <w:rPr>
                <w:rFonts w:cs="Calibri"/>
                <w:sz w:val="16"/>
                <w:szCs w:val="16"/>
                <w:lang w:val="en-US"/>
              </w:rPr>
              <w:t>Srebrenik</w:t>
            </w:r>
            <w:proofErr w:type="spellEnd"/>
            <w:r w:rsidRPr="00ED4D49">
              <w:rPr>
                <w:rFonts w:cs="Calibri"/>
                <w:sz w:val="16"/>
                <w:szCs w:val="16"/>
                <w:lang w:val="en-US"/>
              </w:rPr>
              <w:t xml:space="preserve"> </w:t>
            </w:r>
          </w:p>
        </w:tc>
        <w:tc>
          <w:tcPr>
            <w:tcW w:w="0" w:type="auto"/>
            <w:shd w:val="clear" w:color="auto" w:fill="auto"/>
            <w:vAlign w:val="center"/>
          </w:tcPr>
          <w:p w14:paraId="13107DA8" w14:textId="77777777" w:rsidR="00A0077D" w:rsidRPr="00ED4D49" w:rsidRDefault="00A0077D" w:rsidP="00A0077D">
            <w:pPr>
              <w:spacing w:before="0" w:after="0"/>
              <w:rPr>
                <w:rStyle w:val="Emphasis"/>
                <w:rFonts w:cs="Calibri"/>
                <w:i w:val="0"/>
                <w:sz w:val="16"/>
                <w:szCs w:val="16"/>
                <w:lang w:val="en-US"/>
              </w:rPr>
            </w:pPr>
            <w:r w:rsidRPr="00ED4D49">
              <w:rPr>
                <w:rStyle w:val="Emphasis"/>
                <w:rFonts w:cs="Calibri"/>
                <w:i w:val="0"/>
                <w:sz w:val="16"/>
                <w:szCs w:val="16"/>
                <w:lang w:val="en-US"/>
              </w:rPr>
              <w:t xml:space="preserve">Mosque in </w:t>
            </w:r>
            <w:proofErr w:type="spellStart"/>
            <w:r w:rsidRPr="00ED4D49">
              <w:rPr>
                <w:rStyle w:val="Emphasis"/>
                <w:rFonts w:cs="Calibri"/>
                <w:i w:val="0"/>
                <w:sz w:val="16"/>
                <w:szCs w:val="16"/>
                <w:lang w:val="en-US"/>
              </w:rPr>
              <w:t>Ćojluk</w:t>
            </w:r>
            <w:proofErr w:type="spellEnd"/>
            <w:r w:rsidRPr="00ED4D49">
              <w:rPr>
                <w:rStyle w:val="Emphasis"/>
                <w:rFonts w:cs="Calibri"/>
                <w:i w:val="0"/>
                <w:sz w:val="16"/>
                <w:szCs w:val="16"/>
                <w:lang w:val="en-US"/>
              </w:rPr>
              <w:t>, the architectural ensemble</w:t>
            </w:r>
          </w:p>
        </w:tc>
      </w:tr>
      <w:tr w:rsidR="00A0077D" w:rsidRPr="00ED4D49" w14:paraId="688B22EB" w14:textId="77777777" w:rsidTr="00A0077D">
        <w:tc>
          <w:tcPr>
            <w:tcW w:w="0" w:type="auto"/>
            <w:vMerge/>
            <w:shd w:val="clear" w:color="auto" w:fill="auto"/>
            <w:vAlign w:val="center"/>
          </w:tcPr>
          <w:p w14:paraId="7ECB0CFB" w14:textId="77777777" w:rsidR="00A0077D" w:rsidRPr="00ED4D49" w:rsidRDefault="00A0077D" w:rsidP="00A0077D">
            <w:pPr>
              <w:spacing w:before="0" w:after="0"/>
              <w:rPr>
                <w:rFonts w:cs="Calibri"/>
                <w:sz w:val="16"/>
                <w:szCs w:val="16"/>
                <w:lang w:val="en-US"/>
              </w:rPr>
            </w:pPr>
          </w:p>
        </w:tc>
        <w:tc>
          <w:tcPr>
            <w:tcW w:w="0" w:type="auto"/>
            <w:shd w:val="clear" w:color="auto" w:fill="auto"/>
            <w:vAlign w:val="center"/>
          </w:tcPr>
          <w:p w14:paraId="4EBDF5CA" w14:textId="77777777" w:rsidR="00A0077D" w:rsidRPr="00ED4D49" w:rsidRDefault="00A0077D" w:rsidP="00A0077D">
            <w:pPr>
              <w:spacing w:before="0" w:after="0"/>
              <w:rPr>
                <w:rStyle w:val="Emphasis"/>
                <w:rFonts w:cs="Calibri"/>
                <w:i w:val="0"/>
                <w:sz w:val="16"/>
                <w:szCs w:val="16"/>
                <w:lang w:val="en-US"/>
              </w:rPr>
            </w:pPr>
            <w:r w:rsidRPr="00ED4D49">
              <w:rPr>
                <w:rStyle w:val="Emphasis"/>
                <w:rFonts w:cs="Calibri"/>
                <w:i w:val="0"/>
                <w:sz w:val="16"/>
                <w:szCs w:val="16"/>
                <w:lang w:val="en-US"/>
              </w:rPr>
              <w:t xml:space="preserve">Suljagić Konak with outbuildings in Donja </w:t>
            </w:r>
            <w:proofErr w:type="spellStart"/>
            <w:r w:rsidRPr="00ED4D49">
              <w:rPr>
                <w:rStyle w:val="Emphasis"/>
                <w:rFonts w:cs="Calibri"/>
                <w:i w:val="0"/>
                <w:sz w:val="16"/>
                <w:szCs w:val="16"/>
                <w:lang w:val="en-US"/>
              </w:rPr>
              <w:t>Špionica</w:t>
            </w:r>
            <w:proofErr w:type="spellEnd"/>
            <w:r w:rsidRPr="00ED4D49">
              <w:rPr>
                <w:rStyle w:val="Emphasis"/>
                <w:rFonts w:cs="Calibri"/>
                <w:i w:val="0"/>
                <w:sz w:val="16"/>
                <w:szCs w:val="16"/>
                <w:lang w:val="en-US"/>
              </w:rPr>
              <w:t>, the historic building</w:t>
            </w:r>
          </w:p>
        </w:tc>
      </w:tr>
      <w:tr w:rsidR="00A0077D" w:rsidRPr="00ED4D49" w14:paraId="43C7AC03" w14:textId="77777777" w:rsidTr="00A0077D">
        <w:tc>
          <w:tcPr>
            <w:tcW w:w="0" w:type="auto"/>
            <w:vMerge/>
            <w:shd w:val="clear" w:color="auto" w:fill="auto"/>
            <w:vAlign w:val="center"/>
          </w:tcPr>
          <w:p w14:paraId="3CC777B9" w14:textId="77777777" w:rsidR="00A0077D" w:rsidRPr="00ED4D49" w:rsidRDefault="00A0077D" w:rsidP="00A0077D">
            <w:pPr>
              <w:spacing w:before="0" w:after="0"/>
              <w:rPr>
                <w:rFonts w:cs="Calibri"/>
                <w:sz w:val="16"/>
                <w:szCs w:val="16"/>
                <w:lang w:val="en-US"/>
              </w:rPr>
            </w:pPr>
          </w:p>
        </w:tc>
        <w:tc>
          <w:tcPr>
            <w:tcW w:w="0" w:type="auto"/>
            <w:shd w:val="clear" w:color="auto" w:fill="auto"/>
            <w:vAlign w:val="center"/>
          </w:tcPr>
          <w:p w14:paraId="4B48D2B1" w14:textId="77777777" w:rsidR="00A0077D" w:rsidRPr="00ED4D49" w:rsidRDefault="00A0077D" w:rsidP="00A0077D">
            <w:pPr>
              <w:spacing w:before="0" w:after="0"/>
              <w:rPr>
                <w:rStyle w:val="Emphasis"/>
                <w:rFonts w:cs="Calibri"/>
                <w:i w:val="0"/>
                <w:sz w:val="16"/>
                <w:szCs w:val="16"/>
                <w:lang w:val="en-US"/>
              </w:rPr>
            </w:pPr>
            <w:r w:rsidRPr="00ED4D49">
              <w:rPr>
                <w:rStyle w:val="Emphasis"/>
                <w:rFonts w:cs="Calibri"/>
                <w:i w:val="0"/>
                <w:sz w:val="16"/>
                <w:szCs w:val="16"/>
                <w:lang w:val="en-US"/>
              </w:rPr>
              <w:t xml:space="preserve">Prehistoric hillfort on </w:t>
            </w:r>
            <w:proofErr w:type="spellStart"/>
            <w:r w:rsidRPr="00ED4D49">
              <w:rPr>
                <w:rStyle w:val="Emphasis"/>
                <w:rFonts w:cs="Calibri"/>
                <w:i w:val="0"/>
                <w:sz w:val="16"/>
                <w:szCs w:val="16"/>
                <w:lang w:val="en-US"/>
              </w:rPr>
              <w:t>Grabovik-Zaketuša</w:t>
            </w:r>
            <w:proofErr w:type="spellEnd"/>
            <w:r w:rsidRPr="00ED4D49">
              <w:rPr>
                <w:rStyle w:val="Emphasis"/>
                <w:rFonts w:cs="Calibri"/>
                <w:i w:val="0"/>
                <w:sz w:val="16"/>
                <w:szCs w:val="16"/>
                <w:lang w:val="en-US"/>
              </w:rPr>
              <w:t xml:space="preserve"> above the village of Straža, the archaeological site</w:t>
            </w:r>
          </w:p>
        </w:tc>
      </w:tr>
      <w:tr w:rsidR="00A0077D" w:rsidRPr="00ED4D49" w14:paraId="641F835F" w14:textId="77777777" w:rsidTr="00A0077D">
        <w:tc>
          <w:tcPr>
            <w:tcW w:w="0" w:type="auto"/>
            <w:vMerge/>
            <w:shd w:val="clear" w:color="auto" w:fill="auto"/>
            <w:vAlign w:val="center"/>
          </w:tcPr>
          <w:p w14:paraId="5E1ED584" w14:textId="77777777" w:rsidR="00A0077D" w:rsidRPr="00ED4D49" w:rsidRDefault="00A0077D" w:rsidP="00A0077D">
            <w:pPr>
              <w:spacing w:before="0" w:after="0"/>
              <w:rPr>
                <w:rFonts w:cs="Calibri"/>
                <w:sz w:val="16"/>
                <w:szCs w:val="16"/>
                <w:lang w:val="en-US"/>
              </w:rPr>
            </w:pPr>
          </w:p>
        </w:tc>
        <w:tc>
          <w:tcPr>
            <w:tcW w:w="0" w:type="auto"/>
            <w:shd w:val="clear" w:color="auto" w:fill="auto"/>
            <w:vAlign w:val="center"/>
          </w:tcPr>
          <w:p w14:paraId="5FF20E68" w14:textId="77777777" w:rsidR="00A0077D" w:rsidRPr="00ED4D49" w:rsidRDefault="00A0077D" w:rsidP="00A0077D">
            <w:pPr>
              <w:spacing w:before="0" w:after="0"/>
              <w:rPr>
                <w:rStyle w:val="Emphasis"/>
                <w:rFonts w:cs="Calibri"/>
                <w:i w:val="0"/>
                <w:sz w:val="16"/>
                <w:szCs w:val="16"/>
                <w:lang w:val="en-US"/>
              </w:rPr>
            </w:pPr>
            <w:r w:rsidRPr="00ED4D49">
              <w:rPr>
                <w:rStyle w:val="Emphasis"/>
                <w:rFonts w:cs="Calibri"/>
                <w:i w:val="0"/>
                <w:sz w:val="16"/>
                <w:szCs w:val="16"/>
                <w:lang w:val="en-US"/>
              </w:rPr>
              <w:t xml:space="preserve">Prehistoric hillfort on </w:t>
            </w:r>
            <w:proofErr w:type="spellStart"/>
            <w:r w:rsidRPr="00ED4D49">
              <w:rPr>
                <w:rStyle w:val="Emphasis"/>
                <w:rFonts w:cs="Calibri"/>
                <w:i w:val="0"/>
                <w:sz w:val="16"/>
                <w:szCs w:val="16"/>
                <w:lang w:val="en-US"/>
              </w:rPr>
              <w:t>Gradina</w:t>
            </w:r>
            <w:proofErr w:type="spellEnd"/>
            <w:r w:rsidRPr="00ED4D49">
              <w:rPr>
                <w:rStyle w:val="Emphasis"/>
                <w:rFonts w:cs="Calibri"/>
                <w:i w:val="0"/>
                <w:sz w:val="16"/>
                <w:szCs w:val="16"/>
                <w:lang w:val="en-US"/>
              </w:rPr>
              <w:t xml:space="preserve"> under Kuge, village of </w:t>
            </w:r>
            <w:proofErr w:type="spellStart"/>
            <w:r w:rsidRPr="00ED4D49">
              <w:rPr>
                <w:rStyle w:val="Emphasis"/>
                <w:rFonts w:cs="Calibri"/>
                <w:i w:val="0"/>
                <w:sz w:val="16"/>
                <w:szCs w:val="16"/>
                <w:lang w:val="en-US"/>
              </w:rPr>
              <w:t>Bjelave</w:t>
            </w:r>
            <w:proofErr w:type="spellEnd"/>
            <w:r w:rsidRPr="00ED4D49">
              <w:rPr>
                <w:rStyle w:val="Emphasis"/>
                <w:rFonts w:cs="Calibri"/>
                <w:i w:val="0"/>
                <w:sz w:val="16"/>
                <w:szCs w:val="16"/>
                <w:lang w:val="en-US"/>
              </w:rPr>
              <w:t>, the archaeological site</w:t>
            </w:r>
          </w:p>
        </w:tc>
      </w:tr>
      <w:tr w:rsidR="00A0077D" w:rsidRPr="00ED4D49" w14:paraId="1E4AA9A0" w14:textId="77777777" w:rsidTr="00A0077D">
        <w:tc>
          <w:tcPr>
            <w:tcW w:w="0" w:type="auto"/>
            <w:vMerge/>
            <w:shd w:val="clear" w:color="auto" w:fill="auto"/>
            <w:vAlign w:val="center"/>
          </w:tcPr>
          <w:p w14:paraId="27FFBA51" w14:textId="77777777" w:rsidR="00A0077D" w:rsidRPr="00ED4D49" w:rsidRDefault="00A0077D" w:rsidP="00A0077D">
            <w:pPr>
              <w:spacing w:before="0" w:after="0"/>
              <w:rPr>
                <w:rFonts w:cs="Calibri"/>
                <w:sz w:val="16"/>
                <w:szCs w:val="16"/>
                <w:lang w:val="en-US"/>
              </w:rPr>
            </w:pPr>
          </w:p>
        </w:tc>
        <w:tc>
          <w:tcPr>
            <w:tcW w:w="0" w:type="auto"/>
            <w:shd w:val="clear" w:color="auto" w:fill="auto"/>
            <w:vAlign w:val="center"/>
          </w:tcPr>
          <w:p w14:paraId="189B70FF" w14:textId="77777777" w:rsidR="00A0077D" w:rsidRPr="00ED4D49" w:rsidRDefault="00A0077D" w:rsidP="00A0077D">
            <w:pPr>
              <w:spacing w:before="0" w:after="0"/>
              <w:rPr>
                <w:rStyle w:val="Emphasis"/>
                <w:rFonts w:cs="Calibri"/>
                <w:i w:val="0"/>
                <w:sz w:val="16"/>
                <w:szCs w:val="16"/>
                <w:lang w:val="en-US"/>
              </w:rPr>
            </w:pPr>
            <w:r w:rsidRPr="00ED4D49">
              <w:rPr>
                <w:rStyle w:val="Emphasis"/>
                <w:rFonts w:cs="Calibri"/>
                <w:i w:val="0"/>
                <w:sz w:val="16"/>
                <w:szCs w:val="16"/>
                <w:lang w:val="en-US"/>
              </w:rPr>
              <w:t xml:space="preserve">Old mosque with harem in </w:t>
            </w:r>
            <w:proofErr w:type="spellStart"/>
            <w:r w:rsidRPr="00ED4D49">
              <w:rPr>
                <w:rStyle w:val="Emphasis"/>
                <w:rFonts w:cs="Calibri"/>
                <w:i w:val="0"/>
                <w:sz w:val="16"/>
                <w:szCs w:val="16"/>
                <w:lang w:val="en-US"/>
              </w:rPr>
              <w:t>Špionica</w:t>
            </w:r>
            <w:proofErr w:type="spellEnd"/>
            <w:r w:rsidRPr="00ED4D49">
              <w:rPr>
                <w:rStyle w:val="Emphasis"/>
                <w:rFonts w:cs="Calibri"/>
                <w:i w:val="0"/>
                <w:sz w:val="16"/>
                <w:szCs w:val="16"/>
                <w:lang w:val="en-US"/>
              </w:rPr>
              <w:t>, the architectural ensemble</w:t>
            </w:r>
          </w:p>
        </w:tc>
      </w:tr>
      <w:tr w:rsidR="00A0077D" w:rsidRPr="00ED4D49" w14:paraId="42A4C024" w14:textId="77777777" w:rsidTr="00A0077D">
        <w:tc>
          <w:tcPr>
            <w:tcW w:w="0" w:type="auto"/>
            <w:vMerge/>
            <w:tcBorders>
              <w:bottom w:val="single" w:sz="4" w:space="0" w:color="BFBFBF"/>
            </w:tcBorders>
            <w:shd w:val="clear" w:color="auto" w:fill="auto"/>
            <w:vAlign w:val="center"/>
          </w:tcPr>
          <w:p w14:paraId="315A2170" w14:textId="77777777" w:rsidR="00A0077D" w:rsidRPr="00ED4D49" w:rsidRDefault="00A0077D" w:rsidP="00A0077D">
            <w:pPr>
              <w:spacing w:before="0" w:after="0"/>
              <w:rPr>
                <w:rFonts w:cs="Calibri"/>
                <w:sz w:val="16"/>
                <w:szCs w:val="16"/>
                <w:lang w:val="en-US"/>
              </w:rPr>
            </w:pPr>
          </w:p>
        </w:tc>
        <w:tc>
          <w:tcPr>
            <w:tcW w:w="0" w:type="auto"/>
            <w:shd w:val="clear" w:color="auto" w:fill="auto"/>
            <w:vAlign w:val="center"/>
          </w:tcPr>
          <w:p w14:paraId="69C19602" w14:textId="77777777" w:rsidR="00A0077D" w:rsidRPr="00ED4D49" w:rsidRDefault="00A0077D" w:rsidP="00A0077D">
            <w:pPr>
              <w:spacing w:before="0" w:after="0"/>
              <w:rPr>
                <w:rStyle w:val="Emphasis"/>
                <w:rFonts w:cs="Calibri"/>
                <w:i w:val="0"/>
                <w:sz w:val="16"/>
                <w:szCs w:val="16"/>
                <w:lang w:val="en-US"/>
              </w:rPr>
            </w:pPr>
            <w:r w:rsidRPr="00ED4D49">
              <w:rPr>
                <w:rStyle w:val="Emphasis"/>
                <w:rFonts w:cs="Calibri"/>
                <w:i w:val="0"/>
                <w:sz w:val="16"/>
                <w:szCs w:val="16"/>
                <w:lang w:val="en-US"/>
              </w:rPr>
              <w:t xml:space="preserve">Old </w:t>
            </w:r>
            <w:proofErr w:type="spellStart"/>
            <w:r w:rsidRPr="00ED4D49">
              <w:rPr>
                <w:rStyle w:val="Emphasis"/>
                <w:rFonts w:cs="Calibri"/>
                <w:i w:val="0"/>
                <w:sz w:val="16"/>
                <w:szCs w:val="16"/>
                <w:lang w:val="en-US"/>
              </w:rPr>
              <w:t>Srebrenik</w:t>
            </w:r>
            <w:proofErr w:type="spellEnd"/>
            <w:r w:rsidRPr="00ED4D49">
              <w:rPr>
                <w:rStyle w:val="Emphasis"/>
                <w:rFonts w:cs="Calibri"/>
                <w:i w:val="0"/>
                <w:sz w:val="16"/>
                <w:szCs w:val="16"/>
                <w:lang w:val="en-US"/>
              </w:rPr>
              <w:t xml:space="preserve"> Fort, the historic site</w:t>
            </w:r>
          </w:p>
        </w:tc>
      </w:tr>
      <w:tr w:rsidR="00A0077D" w:rsidRPr="00ED4D49" w14:paraId="712C050C" w14:textId="77777777" w:rsidTr="00A0077D">
        <w:tc>
          <w:tcPr>
            <w:tcW w:w="0" w:type="auto"/>
            <w:tcBorders>
              <w:top w:val="single" w:sz="4" w:space="0" w:color="BFBFBF"/>
              <w:bottom w:val="single" w:sz="4" w:space="0" w:color="BFBFBF"/>
            </w:tcBorders>
            <w:shd w:val="clear" w:color="auto" w:fill="auto"/>
            <w:vAlign w:val="center"/>
          </w:tcPr>
          <w:p w14:paraId="456BF0C1" w14:textId="77777777" w:rsidR="00A0077D" w:rsidRPr="00ED4D49" w:rsidRDefault="00A0077D" w:rsidP="00A0077D">
            <w:pPr>
              <w:spacing w:before="0" w:after="0"/>
              <w:rPr>
                <w:rFonts w:cs="Calibri"/>
                <w:sz w:val="16"/>
                <w:szCs w:val="16"/>
                <w:lang w:val="en-US"/>
              </w:rPr>
            </w:pPr>
            <w:proofErr w:type="spellStart"/>
            <w:r w:rsidRPr="00ED4D49">
              <w:rPr>
                <w:rFonts w:cs="Calibri"/>
                <w:sz w:val="16"/>
                <w:szCs w:val="16"/>
                <w:lang w:val="en-US"/>
              </w:rPr>
              <w:t>Odžak</w:t>
            </w:r>
            <w:proofErr w:type="spellEnd"/>
            <w:r w:rsidRPr="00ED4D49">
              <w:rPr>
                <w:rFonts w:cs="Calibri"/>
                <w:sz w:val="16"/>
                <w:szCs w:val="16"/>
                <w:lang w:val="en-US"/>
              </w:rPr>
              <w:t xml:space="preserve">  </w:t>
            </w:r>
          </w:p>
        </w:tc>
        <w:tc>
          <w:tcPr>
            <w:tcW w:w="0" w:type="auto"/>
            <w:shd w:val="clear" w:color="auto" w:fill="auto"/>
            <w:vAlign w:val="center"/>
          </w:tcPr>
          <w:p w14:paraId="5900077C" w14:textId="77777777" w:rsidR="00A0077D" w:rsidRPr="00ED4D49" w:rsidRDefault="00A0077D" w:rsidP="00A0077D">
            <w:pPr>
              <w:spacing w:before="0" w:after="0"/>
              <w:rPr>
                <w:rStyle w:val="Emphasis"/>
                <w:rFonts w:cs="Calibri"/>
                <w:i w:val="0"/>
                <w:sz w:val="16"/>
                <w:szCs w:val="16"/>
                <w:lang w:val="en-US"/>
              </w:rPr>
            </w:pPr>
            <w:r w:rsidRPr="00ED4D49">
              <w:rPr>
                <w:rStyle w:val="Emphasis"/>
                <w:rFonts w:cs="Calibri"/>
                <w:i w:val="0"/>
                <w:sz w:val="16"/>
                <w:szCs w:val="16"/>
                <w:lang w:val="en-US"/>
              </w:rPr>
              <w:t>Town Hall (</w:t>
            </w:r>
            <w:proofErr w:type="spellStart"/>
            <w:r w:rsidRPr="00ED4D49">
              <w:rPr>
                <w:rStyle w:val="Emphasis"/>
                <w:rFonts w:cs="Calibri"/>
                <w:i w:val="0"/>
                <w:sz w:val="16"/>
                <w:szCs w:val="16"/>
                <w:lang w:val="en-US"/>
              </w:rPr>
              <w:t>Beledija</w:t>
            </w:r>
            <w:proofErr w:type="spellEnd"/>
            <w:r w:rsidRPr="00ED4D49">
              <w:rPr>
                <w:rStyle w:val="Emphasis"/>
                <w:rFonts w:cs="Calibri"/>
                <w:i w:val="0"/>
                <w:sz w:val="16"/>
                <w:szCs w:val="16"/>
                <w:lang w:val="en-US"/>
              </w:rPr>
              <w:t xml:space="preserve"> or Mala </w:t>
            </w:r>
            <w:proofErr w:type="spellStart"/>
            <w:r w:rsidRPr="00ED4D49">
              <w:rPr>
                <w:rStyle w:val="Emphasis"/>
                <w:rFonts w:cs="Calibri"/>
                <w:i w:val="0"/>
                <w:sz w:val="16"/>
                <w:szCs w:val="16"/>
                <w:lang w:val="en-US"/>
              </w:rPr>
              <w:t>vijećnica</w:t>
            </w:r>
            <w:proofErr w:type="spellEnd"/>
            <w:r w:rsidRPr="00ED4D49">
              <w:rPr>
                <w:rStyle w:val="Emphasis"/>
                <w:rFonts w:cs="Calibri"/>
                <w:i w:val="0"/>
                <w:sz w:val="16"/>
                <w:szCs w:val="16"/>
                <w:lang w:val="en-US"/>
              </w:rPr>
              <w:t xml:space="preserve"> – Small Town Hall) in </w:t>
            </w:r>
            <w:proofErr w:type="spellStart"/>
            <w:r w:rsidRPr="00ED4D49">
              <w:rPr>
                <w:rStyle w:val="Emphasis"/>
                <w:rFonts w:cs="Calibri"/>
                <w:i w:val="0"/>
                <w:sz w:val="16"/>
                <w:szCs w:val="16"/>
                <w:lang w:val="en-US"/>
              </w:rPr>
              <w:t>Odžak</w:t>
            </w:r>
            <w:proofErr w:type="spellEnd"/>
            <w:r w:rsidRPr="00ED4D49">
              <w:rPr>
                <w:rStyle w:val="Emphasis"/>
                <w:rFonts w:cs="Calibri"/>
                <w:i w:val="0"/>
                <w:sz w:val="16"/>
                <w:szCs w:val="16"/>
                <w:lang w:val="en-US"/>
              </w:rPr>
              <w:t>, the historic building</w:t>
            </w:r>
          </w:p>
        </w:tc>
      </w:tr>
      <w:tr w:rsidR="00A0077D" w:rsidRPr="00ED4D49" w14:paraId="3730F8E4" w14:textId="77777777" w:rsidTr="00A0077D">
        <w:tc>
          <w:tcPr>
            <w:tcW w:w="0" w:type="auto"/>
            <w:gridSpan w:val="2"/>
            <w:tcBorders>
              <w:top w:val="single" w:sz="4" w:space="0" w:color="BFBFBF"/>
              <w:bottom w:val="single" w:sz="4" w:space="0" w:color="BFBFBF"/>
            </w:tcBorders>
            <w:shd w:val="clear" w:color="auto" w:fill="auto"/>
            <w:vAlign w:val="center"/>
          </w:tcPr>
          <w:p w14:paraId="40CA97DE" w14:textId="77777777" w:rsidR="00A0077D" w:rsidRPr="00ED4D49" w:rsidRDefault="00A0077D" w:rsidP="00A0077D">
            <w:pPr>
              <w:spacing w:before="0" w:after="0"/>
              <w:rPr>
                <w:rStyle w:val="Emphasis"/>
                <w:rFonts w:cs="Calibri"/>
                <w:b/>
                <w:i w:val="0"/>
                <w:sz w:val="16"/>
                <w:szCs w:val="16"/>
                <w:lang w:val="en-US"/>
              </w:rPr>
            </w:pPr>
            <w:r w:rsidRPr="00ED4D49">
              <w:rPr>
                <w:rFonts w:cs="Calibri"/>
                <w:b/>
                <w:sz w:val="16"/>
                <w:szCs w:val="16"/>
                <w:lang w:val="en-US"/>
              </w:rPr>
              <w:t>BD BiH</w:t>
            </w:r>
          </w:p>
        </w:tc>
      </w:tr>
      <w:tr w:rsidR="00A0077D" w:rsidRPr="00ED4D49" w14:paraId="10B0417F" w14:textId="77777777" w:rsidTr="00A0077D">
        <w:tc>
          <w:tcPr>
            <w:tcW w:w="0" w:type="auto"/>
            <w:vMerge w:val="restart"/>
            <w:shd w:val="clear" w:color="auto" w:fill="auto"/>
            <w:vAlign w:val="center"/>
          </w:tcPr>
          <w:p w14:paraId="6CC9031D" w14:textId="77777777" w:rsidR="00A0077D" w:rsidRPr="00ED4D49" w:rsidRDefault="00A0077D" w:rsidP="00A0077D">
            <w:pPr>
              <w:spacing w:before="0" w:after="0"/>
              <w:rPr>
                <w:rFonts w:cs="Calibri"/>
                <w:sz w:val="16"/>
                <w:szCs w:val="16"/>
                <w:lang w:val="en-US"/>
              </w:rPr>
            </w:pPr>
            <w:r w:rsidRPr="00ED4D49">
              <w:rPr>
                <w:rFonts w:cs="Calibri"/>
                <w:sz w:val="16"/>
                <w:szCs w:val="16"/>
                <w:lang w:val="en-US"/>
              </w:rPr>
              <w:t xml:space="preserve">Brčko </w:t>
            </w:r>
          </w:p>
        </w:tc>
        <w:tc>
          <w:tcPr>
            <w:tcW w:w="0" w:type="auto"/>
            <w:shd w:val="clear" w:color="auto" w:fill="auto"/>
            <w:vAlign w:val="bottom"/>
          </w:tcPr>
          <w:p w14:paraId="768969E4" w14:textId="77777777" w:rsidR="00A0077D" w:rsidRPr="00ED4D49" w:rsidRDefault="00A0077D" w:rsidP="00A0077D">
            <w:pPr>
              <w:spacing w:before="0" w:after="0"/>
              <w:rPr>
                <w:rFonts w:cs="Calibri"/>
                <w:sz w:val="16"/>
                <w:szCs w:val="16"/>
                <w:lang w:val="en-US"/>
              </w:rPr>
            </w:pPr>
            <w:proofErr w:type="spellStart"/>
            <w:r w:rsidRPr="00ED4D49">
              <w:rPr>
                <w:rFonts w:cs="Calibri"/>
                <w:sz w:val="16"/>
                <w:szCs w:val="16"/>
                <w:lang w:val="en-US"/>
              </w:rPr>
              <w:t>Azizija</w:t>
            </w:r>
            <w:proofErr w:type="spellEnd"/>
            <w:r w:rsidRPr="00ED4D49">
              <w:rPr>
                <w:rFonts w:cs="Calibri"/>
                <w:sz w:val="16"/>
                <w:szCs w:val="16"/>
                <w:lang w:val="en-US"/>
              </w:rPr>
              <w:t xml:space="preserve"> mosque with harem in </w:t>
            </w:r>
            <w:proofErr w:type="spellStart"/>
            <w:r w:rsidRPr="00ED4D49">
              <w:rPr>
                <w:rFonts w:cs="Calibri"/>
                <w:sz w:val="16"/>
                <w:szCs w:val="16"/>
                <w:lang w:val="en-US"/>
              </w:rPr>
              <w:t>Brezovo</w:t>
            </w:r>
            <w:proofErr w:type="spellEnd"/>
            <w:r w:rsidRPr="00ED4D49">
              <w:rPr>
                <w:rFonts w:cs="Calibri"/>
                <w:sz w:val="16"/>
                <w:szCs w:val="16"/>
                <w:lang w:val="en-US"/>
              </w:rPr>
              <w:t xml:space="preserve"> Polje, the site and remains of the architectural ensemble</w:t>
            </w:r>
          </w:p>
        </w:tc>
      </w:tr>
      <w:tr w:rsidR="00A0077D" w:rsidRPr="00ED4D49" w14:paraId="2D2EAE50" w14:textId="77777777" w:rsidTr="00A0077D">
        <w:tc>
          <w:tcPr>
            <w:tcW w:w="0" w:type="auto"/>
            <w:vMerge/>
            <w:shd w:val="clear" w:color="auto" w:fill="auto"/>
            <w:vAlign w:val="center"/>
          </w:tcPr>
          <w:p w14:paraId="54CD6DBE" w14:textId="77777777" w:rsidR="00A0077D" w:rsidRPr="00ED4D49" w:rsidRDefault="00A0077D" w:rsidP="00A0077D">
            <w:pPr>
              <w:spacing w:before="0" w:after="0"/>
              <w:rPr>
                <w:rFonts w:cs="Calibri"/>
                <w:sz w:val="16"/>
                <w:szCs w:val="16"/>
                <w:lang w:val="en-US"/>
              </w:rPr>
            </w:pPr>
          </w:p>
        </w:tc>
        <w:tc>
          <w:tcPr>
            <w:tcW w:w="0" w:type="auto"/>
            <w:shd w:val="clear" w:color="auto" w:fill="auto"/>
            <w:vAlign w:val="bottom"/>
          </w:tcPr>
          <w:p w14:paraId="67F7EC3C" w14:textId="77777777" w:rsidR="00A0077D" w:rsidRPr="00ED4D49" w:rsidRDefault="00A0077D" w:rsidP="00A0077D">
            <w:pPr>
              <w:spacing w:before="0" w:after="0"/>
              <w:rPr>
                <w:rFonts w:cs="Calibri"/>
                <w:sz w:val="16"/>
                <w:szCs w:val="16"/>
                <w:lang w:val="en-US"/>
              </w:rPr>
            </w:pPr>
            <w:proofErr w:type="spellStart"/>
            <w:r w:rsidRPr="00ED4D49">
              <w:rPr>
                <w:rFonts w:cs="Calibri"/>
                <w:sz w:val="16"/>
                <w:szCs w:val="16"/>
                <w:lang w:val="en-US"/>
              </w:rPr>
              <w:t>Kočića</w:t>
            </w:r>
            <w:proofErr w:type="spellEnd"/>
            <w:r w:rsidRPr="00ED4D49">
              <w:rPr>
                <w:rFonts w:cs="Calibri"/>
                <w:sz w:val="16"/>
                <w:szCs w:val="16"/>
                <w:lang w:val="en-US"/>
              </w:rPr>
              <w:t xml:space="preserve"> house in Brčko, the historic building</w:t>
            </w:r>
          </w:p>
        </w:tc>
      </w:tr>
      <w:tr w:rsidR="00A0077D" w:rsidRPr="00ED4D49" w14:paraId="04E5FE0C" w14:textId="77777777" w:rsidTr="00A0077D">
        <w:tc>
          <w:tcPr>
            <w:tcW w:w="0" w:type="auto"/>
            <w:vMerge/>
            <w:shd w:val="clear" w:color="auto" w:fill="auto"/>
            <w:vAlign w:val="center"/>
          </w:tcPr>
          <w:p w14:paraId="72E1F7D8" w14:textId="77777777" w:rsidR="00A0077D" w:rsidRPr="00ED4D49" w:rsidRDefault="00A0077D" w:rsidP="00A0077D">
            <w:pPr>
              <w:spacing w:before="0" w:after="0"/>
              <w:rPr>
                <w:rFonts w:cs="Calibri"/>
                <w:sz w:val="16"/>
                <w:szCs w:val="16"/>
                <w:lang w:val="en-US"/>
              </w:rPr>
            </w:pPr>
          </w:p>
        </w:tc>
        <w:tc>
          <w:tcPr>
            <w:tcW w:w="0" w:type="auto"/>
            <w:shd w:val="clear" w:color="auto" w:fill="auto"/>
            <w:vAlign w:val="bottom"/>
          </w:tcPr>
          <w:p w14:paraId="61EE0FEE" w14:textId="77777777" w:rsidR="00A0077D" w:rsidRPr="00ED4D49" w:rsidRDefault="00A0077D" w:rsidP="00A0077D">
            <w:pPr>
              <w:spacing w:before="0" w:after="0"/>
              <w:rPr>
                <w:rFonts w:cs="Calibri"/>
                <w:sz w:val="16"/>
                <w:szCs w:val="16"/>
                <w:lang w:val="en-US"/>
              </w:rPr>
            </w:pPr>
            <w:proofErr w:type="spellStart"/>
            <w:r w:rsidRPr="00ED4D49">
              <w:rPr>
                <w:rFonts w:cs="Calibri"/>
                <w:sz w:val="16"/>
                <w:szCs w:val="16"/>
                <w:lang w:val="en-US"/>
              </w:rPr>
              <w:t>Gradašćevića</w:t>
            </w:r>
            <w:proofErr w:type="spellEnd"/>
            <w:r w:rsidRPr="00ED4D49">
              <w:rPr>
                <w:rFonts w:cs="Calibri"/>
                <w:sz w:val="16"/>
                <w:szCs w:val="16"/>
                <w:lang w:val="en-US"/>
              </w:rPr>
              <w:t xml:space="preserve"> tower with the court-yard and the yard walls in </w:t>
            </w:r>
            <w:proofErr w:type="spellStart"/>
            <w:r w:rsidRPr="00ED4D49">
              <w:rPr>
                <w:rFonts w:cs="Calibri"/>
                <w:sz w:val="16"/>
                <w:szCs w:val="16"/>
                <w:lang w:val="en-US"/>
              </w:rPr>
              <w:t>Bijela</w:t>
            </w:r>
            <w:proofErr w:type="spellEnd"/>
            <w:r w:rsidRPr="00ED4D49">
              <w:rPr>
                <w:rFonts w:cs="Calibri"/>
                <w:sz w:val="16"/>
                <w:szCs w:val="16"/>
                <w:lang w:val="en-US"/>
              </w:rPr>
              <w:t>, the architectural ensemble</w:t>
            </w:r>
          </w:p>
        </w:tc>
      </w:tr>
      <w:tr w:rsidR="00A0077D" w:rsidRPr="00ED4D49" w14:paraId="312A6A5B" w14:textId="77777777" w:rsidTr="00A0077D">
        <w:tc>
          <w:tcPr>
            <w:tcW w:w="0" w:type="auto"/>
            <w:vMerge/>
            <w:shd w:val="clear" w:color="auto" w:fill="auto"/>
            <w:vAlign w:val="center"/>
          </w:tcPr>
          <w:p w14:paraId="064FCB02" w14:textId="77777777" w:rsidR="00A0077D" w:rsidRPr="00ED4D49" w:rsidRDefault="00A0077D" w:rsidP="00A0077D">
            <w:pPr>
              <w:spacing w:before="0" w:after="0"/>
              <w:rPr>
                <w:rFonts w:cs="Calibri"/>
                <w:sz w:val="16"/>
                <w:szCs w:val="16"/>
                <w:lang w:val="en-US"/>
              </w:rPr>
            </w:pPr>
          </w:p>
        </w:tc>
        <w:tc>
          <w:tcPr>
            <w:tcW w:w="0" w:type="auto"/>
            <w:shd w:val="clear" w:color="auto" w:fill="auto"/>
            <w:vAlign w:val="bottom"/>
          </w:tcPr>
          <w:p w14:paraId="3E2BCB7E" w14:textId="77777777" w:rsidR="00A0077D" w:rsidRPr="00ED4D49" w:rsidRDefault="00A0077D" w:rsidP="00A0077D">
            <w:pPr>
              <w:spacing w:before="0" w:after="0"/>
              <w:rPr>
                <w:rFonts w:cs="Calibri"/>
                <w:sz w:val="16"/>
                <w:szCs w:val="16"/>
                <w:lang w:val="en-US"/>
              </w:rPr>
            </w:pPr>
            <w:r w:rsidRPr="00ED4D49">
              <w:rPr>
                <w:rFonts w:cs="Calibri"/>
                <w:sz w:val="16"/>
                <w:szCs w:val="16"/>
                <w:lang w:val="en-US"/>
              </w:rPr>
              <w:t xml:space="preserve">Town </w:t>
            </w:r>
            <w:proofErr w:type="gramStart"/>
            <w:r w:rsidRPr="00ED4D49">
              <w:rPr>
                <w:rFonts w:cs="Calibri"/>
                <w:sz w:val="16"/>
                <w:szCs w:val="16"/>
                <w:lang w:val="en-US"/>
              </w:rPr>
              <w:t>Hall ,</w:t>
            </w:r>
            <w:proofErr w:type="gramEnd"/>
            <w:r w:rsidRPr="00ED4D49">
              <w:rPr>
                <w:rFonts w:cs="Calibri"/>
                <w:sz w:val="16"/>
                <w:szCs w:val="16"/>
                <w:lang w:val="en-US"/>
              </w:rPr>
              <w:t xml:space="preserve"> the historic building</w:t>
            </w:r>
          </w:p>
        </w:tc>
      </w:tr>
      <w:tr w:rsidR="00A0077D" w:rsidRPr="00ED4D49" w14:paraId="1B834CAB" w14:textId="77777777" w:rsidTr="00A0077D">
        <w:tc>
          <w:tcPr>
            <w:tcW w:w="0" w:type="auto"/>
            <w:vMerge/>
            <w:shd w:val="clear" w:color="auto" w:fill="auto"/>
            <w:vAlign w:val="center"/>
          </w:tcPr>
          <w:p w14:paraId="433EE6C5" w14:textId="77777777" w:rsidR="00A0077D" w:rsidRPr="00ED4D49" w:rsidRDefault="00A0077D" w:rsidP="00A0077D">
            <w:pPr>
              <w:spacing w:before="0" w:after="0"/>
              <w:rPr>
                <w:rFonts w:cs="Calibri"/>
                <w:sz w:val="16"/>
                <w:szCs w:val="16"/>
                <w:lang w:val="en-US"/>
              </w:rPr>
            </w:pPr>
          </w:p>
        </w:tc>
        <w:tc>
          <w:tcPr>
            <w:tcW w:w="0" w:type="auto"/>
            <w:shd w:val="clear" w:color="auto" w:fill="auto"/>
            <w:vAlign w:val="bottom"/>
          </w:tcPr>
          <w:p w14:paraId="5F27F8DE" w14:textId="77777777" w:rsidR="00A0077D" w:rsidRPr="00ED4D49" w:rsidRDefault="00A0077D" w:rsidP="00A0077D">
            <w:pPr>
              <w:spacing w:before="0" w:after="0"/>
              <w:rPr>
                <w:rFonts w:cs="Calibri"/>
                <w:sz w:val="16"/>
                <w:szCs w:val="16"/>
                <w:lang w:val="en-US"/>
              </w:rPr>
            </w:pPr>
            <w:r w:rsidRPr="00ED4D49">
              <w:rPr>
                <w:rFonts w:cs="Calibri"/>
                <w:sz w:val="16"/>
                <w:szCs w:val="16"/>
                <w:lang w:val="en-US"/>
              </w:rPr>
              <w:t>Sava (Atik) mosque, the site and remains of the architectural ensemble</w:t>
            </w:r>
          </w:p>
        </w:tc>
      </w:tr>
      <w:tr w:rsidR="00A0077D" w:rsidRPr="00ED4D49" w14:paraId="7792B00F" w14:textId="77777777" w:rsidTr="00A0077D">
        <w:tc>
          <w:tcPr>
            <w:tcW w:w="0" w:type="auto"/>
            <w:vMerge/>
            <w:shd w:val="clear" w:color="auto" w:fill="auto"/>
            <w:vAlign w:val="center"/>
          </w:tcPr>
          <w:p w14:paraId="172104CE" w14:textId="77777777" w:rsidR="00A0077D" w:rsidRPr="00ED4D49" w:rsidRDefault="00A0077D" w:rsidP="00A0077D">
            <w:pPr>
              <w:spacing w:before="0" w:after="0"/>
              <w:rPr>
                <w:rFonts w:cs="Calibri"/>
                <w:sz w:val="16"/>
                <w:szCs w:val="16"/>
                <w:lang w:val="en-US"/>
              </w:rPr>
            </w:pPr>
          </w:p>
        </w:tc>
        <w:tc>
          <w:tcPr>
            <w:tcW w:w="0" w:type="auto"/>
            <w:shd w:val="clear" w:color="auto" w:fill="auto"/>
            <w:vAlign w:val="bottom"/>
          </w:tcPr>
          <w:p w14:paraId="68C20DA7" w14:textId="77777777" w:rsidR="00A0077D" w:rsidRPr="00ED4D49" w:rsidRDefault="00A0077D" w:rsidP="00A0077D">
            <w:pPr>
              <w:spacing w:before="0" w:after="0"/>
              <w:rPr>
                <w:rFonts w:cs="Calibri"/>
                <w:sz w:val="16"/>
                <w:szCs w:val="16"/>
                <w:lang w:val="en-US"/>
              </w:rPr>
            </w:pPr>
            <w:r w:rsidRPr="00ED4D49">
              <w:rPr>
                <w:rFonts w:cs="Calibri"/>
                <w:sz w:val="16"/>
                <w:szCs w:val="16"/>
                <w:lang w:val="en-US"/>
              </w:rPr>
              <w:t>Catholic Church, the architectural ensemble</w:t>
            </w:r>
          </w:p>
        </w:tc>
      </w:tr>
      <w:tr w:rsidR="00A0077D" w:rsidRPr="00ED4D49" w14:paraId="32DAF80B" w14:textId="77777777" w:rsidTr="00A0077D">
        <w:tc>
          <w:tcPr>
            <w:tcW w:w="0" w:type="auto"/>
            <w:vMerge/>
            <w:shd w:val="clear" w:color="auto" w:fill="auto"/>
            <w:vAlign w:val="center"/>
          </w:tcPr>
          <w:p w14:paraId="51791AF8" w14:textId="77777777" w:rsidR="00A0077D" w:rsidRPr="00ED4D49" w:rsidRDefault="00A0077D" w:rsidP="00A0077D">
            <w:pPr>
              <w:spacing w:before="0" w:after="0"/>
              <w:rPr>
                <w:rFonts w:cs="Calibri"/>
                <w:sz w:val="16"/>
                <w:szCs w:val="16"/>
                <w:lang w:val="en-US"/>
              </w:rPr>
            </w:pPr>
          </w:p>
        </w:tc>
        <w:tc>
          <w:tcPr>
            <w:tcW w:w="0" w:type="auto"/>
            <w:shd w:val="clear" w:color="auto" w:fill="auto"/>
            <w:vAlign w:val="bottom"/>
          </w:tcPr>
          <w:p w14:paraId="2E0C8F1C" w14:textId="77777777" w:rsidR="00A0077D" w:rsidRPr="00ED4D49" w:rsidRDefault="00A0077D" w:rsidP="00A0077D">
            <w:pPr>
              <w:spacing w:before="0" w:after="0"/>
              <w:rPr>
                <w:rFonts w:cs="Calibri"/>
                <w:sz w:val="16"/>
                <w:szCs w:val="16"/>
                <w:lang w:val="en-US"/>
              </w:rPr>
            </w:pPr>
            <w:proofErr w:type="spellStart"/>
            <w:r w:rsidRPr="00ED4D49">
              <w:rPr>
                <w:rFonts w:cs="Calibri"/>
                <w:sz w:val="16"/>
                <w:szCs w:val="16"/>
                <w:lang w:val="en-US"/>
              </w:rPr>
              <w:t>Islahijet</w:t>
            </w:r>
            <w:proofErr w:type="spellEnd"/>
            <w:r w:rsidRPr="00ED4D49">
              <w:rPr>
                <w:rFonts w:cs="Calibri"/>
                <w:sz w:val="16"/>
                <w:szCs w:val="16"/>
                <w:lang w:val="en-US"/>
              </w:rPr>
              <w:t>, the architectural ensemble</w:t>
            </w:r>
          </w:p>
        </w:tc>
      </w:tr>
      <w:tr w:rsidR="00A0077D" w:rsidRPr="00ED4D49" w14:paraId="0C6E6BCE" w14:textId="77777777" w:rsidTr="00A0077D">
        <w:tc>
          <w:tcPr>
            <w:tcW w:w="0" w:type="auto"/>
            <w:vMerge/>
            <w:shd w:val="clear" w:color="auto" w:fill="auto"/>
            <w:vAlign w:val="center"/>
          </w:tcPr>
          <w:p w14:paraId="156A93CB" w14:textId="77777777" w:rsidR="00A0077D" w:rsidRPr="00ED4D49" w:rsidRDefault="00A0077D" w:rsidP="00A0077D">
            <w:pPr>
              <w:spacing w:before="0" w:after="0"/>
              <w:rPr>
                <w:rFonts w:cs="Calibri"/>
                <w:sz w:val="16"/>
                <w:szCs w:val="16"/>
                <w:lang w:val="en-US"/>
              </w:rPr>
            </w:pPr>
          </w:p>
        </w:tc>
        <w:tc>
          <w:tcPr>
            <w:tcW w:w="0" w:type="auto"/>
            <w:shd w:val="clear" w:color="auto" w:fill="auto"/>
            <w:vAlign w:val="bottom"/>
          </w:tcPr>
          <w:p w14:paraId="34B48566" w14:textId="77777777" w:rsidR="00A0077D" w:rsidRPr="00ED4D49" w:rsidRDefault="00A0077D" w:rsidP="00A0077D">
            <w:pPr>
              <w:spacing w:before="0" w:after="0"/>
              <w:rPr>
                <w:rFonts w:cs="Calibri"/>
                <w:sz w:val="16"/>
                <w:szCs w:val="16"/>
                <w:lang w:val="en-US"/>
              </w:rPr>
            </w:pPr>
            <w:proofErr w:type="spellStart"/>
            <w:r w:rsidRPr="00ED4D49">
              <w:rPr>
                <w:rFonts w:cs="Calibri"/>
                <w:sz w:val="16"/>
                <w:szCs w:val="16"/>
                <w:lang w:val="en-US"/>
              </w:rPr>
              <w:t>Tzintzars</w:t>
            </w:r>
            <w:proofErr w:type="spellEnd"/>
            <w:r w:rsidRPr="00ED4D49">
              <w:rPr>
                <w:rFonts w:cs="Calibri"/>
                <w:sz w:val="16"/>
                <w:szCs w:val="16"/>
                <w:lang w:val="en-US"/>
              </w:rPr>
              <w:t xml:space="preserve"> (</w:t>
            </w:r>
            <w:proofErr w:type="spellStart"/>
            <w:r w:rsidRPr="00ED4D49">
              <w:rPr>
                <w:rFonts w:cs="Calibri"/>
                <w:sz w:val="16"/>
                <w:szCs w:val="16"/>
                <w:lang w:val="en-US"/>
              </w:rPr>
              <w:t>Cincarsko</w:t>
            </w:r>
            <w:proofErr w:type="spellEnd"/>
            <w:r w:rsidRPr="00ED4D49">
              <w:rPr>
                <w:rFonts w:cs="Calibri"/>
                <w:sz w:val="16"/>
                <w:szCs w:val="16"/>
                <w:lang w:val="en-US"/>
              </w:rPr>
              <w:t xml:space="preserve">) cemetery in </w:t>
            </w:r>
            <w:proofErr w:type="spellStart"/>
            <w:r w:rsidRPr="00ED4D49">
              <w:rPr>
                <w:rFonts w:cs="Calibri"/>
                <w:sz w:val="16"/>
                <w:szCs w:val="16"/>
                <w:lang w:val="en-US"/>
              </w:rPr>
              <w:t>Bijela</w:t>
            </w:r>
            <w:proofErr w:type="spellEnd"/>
            <w:r w:rsidRPr="00ED4D49">
              <w:rPr>
                <w:rFonts w:cs="Calibri"/>
                <w:sz w:val="16"/>
                <w:szCs w:val="16"/>
                <w:lang w:val="en-US"/>
              </w:rPr>
              <w:t xml:space="preserve"> – </w:t>
            </w:r>
            <w:proofErr w:type="spellStart"/>
            <w:r w:rsidRPr="00ED4D49">
              <w:rPr>
                <w:rFonts w:cs="Calibri"/>
                <w:sz w:val="16"/>
                <w:szCs w:val="16"/>
                <w:lang w:val="en-US"/>
              </w:rPr>
              <w:t>Kalajdžije</w:t>
            </w:r>
            <w:proofErr w:type="spellEnd"/>
            <w:r w:rsidRPr="00ED4D49">
              <w:rPr>
                <w:rFonts w:cs="Calibri"/>
                <w:sz w:val="16"/>
                <w:szCs w:val="16"/>
                <w:lang w:val="en-US"/>
              </w:rPr>
              <w:t>, the sepulchral ensemble</w:t>
            </w:r>
          </w:p>
        </w:tc>
      </w:tr>
      <w:tr w:rsidR="00A0077D" w:rsidRPr="00ED4D49" w14:paraId="3C6D912D" w14:textId="77777777" w:rsidTr="00A0077D">
        <w:tc>
          <w:tcPr>
            <w:tcW w:w="0" w:type="auto"/>
            <w:vMerge/>
            <w:shd w:val="clear" w:color="auto" w:fill="auto"/>
            <w:vAlign w:val="center"/>
          </w:tcPr>
          <w:p w14:paraId="032A77D6" w14:textId="77777777" w:rsidR="00A0077D" w:rsidRPr="00ED4D49" w:rsidRDefault="00A0077D" w:rsidP="00A0077D">
            <w:pPr>
              <w:spacing w:before="0" w:after="0"/>
              <w:rPr>
                <w:rFonts w:cs="Calibri"/>
                <w:sz w:val="16"/>
                <w:szCs w:val="16"/>
                <w:lang w:val="en-US"/>
              </w:rPr>
            </w:pPr>
          </w:p>
        </w:tc>
        <w:tc>
          <w:tcPr>
            <w:tcW w:w="0" w:type="auto"/>
            <w:shd w:val="clear" w:color="auto" w:fill="auto"/>
            <w:vAlign w:val="bottom"/>
          </w:tcPr>
          <w:p w14:paraId="0F43F07C" w14:textId="77777777" w:rsidR="00A0077D" w:rsidRPr="00ED4D49" w:rsidRDefault="00A0077D" w:rsidP="00A0077D">
            <w:pPr>
              <w:spacing w:before="0" w:after="0"/>
              <w:rPr>
                <w:rFonts w:cs="Calibri"/>
                <w:sz w:val="16"/>
                <w:szCs w:val="16"/>
                <w:lang w:val="en-US"/>
              </w:rPr>
            </w:pPr>
            <w:r w:rsidRPr="00ED4D49">
              <w:rPr>
                <w:rStyle w:val="Emphasis"/>
                <w:rFonts w:cs="Calibri"/>
                <w:bCs/>
                <w:i w:val="0"/>
                <w:iCs w:val="0"/>
                <w:sz w:val="16"/>
                <w:szCs w:val="16"/>
                <w:shd w:val="clear" w:color="auto" w:fill="FFFFFF"/>
                <w:lang w:val="en-US"/>
              </w:rPr>
              <w:t>Old Parish Church</w:t>
            </w:r>
            <w:r w:rsidRPr="00ED4D49">
              <w:rPr>
                <w:rFonts w:cs="Calibri"/>
                <w:sz w:val="16"/>
                <w:szCs w:val="16"/>
                <w:shd w:val="clear" w:color="auto" w:fill="FFFFFF"/>
                <w:lang w:val="en-US"/>
              </w:rPr>
              <w:t> and the old </w:t>
            </w:r>
            <w:r w:rsidRPr="00ED4D49">
              <w:rPr>
                <w:rStyle w:val="Emphasis"/>
                <w:rFonts w:cs="Calibri"/>
                <w:bCs/>
                <w:i w:val="0"/>
                <w:iCs w:val="0"/>
                <w:sz w:val="16"/>
                <w:szCs w:val="16"/>
                <w:shd w:val="clear" w:color="auto" w:fill="FFFFFF"/>
                <w:lang w:val="en-US"/>
              </w:rPr>
              <w:t>parish house</w:t>
            </w:r>
            <w:r w:rsidRPr="00ED4D49">
              <w:rPr>
                <w:rFonts w:cs="Calibri"/>
                <w:sz w:val="16"/>
                <w:szCs w:val="16"/>
                <w:lang w:val="en-US"/>
              </w:rPr>
              <w:t xml:space="preserve"> in Gornji </w:t>
            </w:r>
            <w:proofErr w:type="spellStart"/>
            <w:r w:rsidRPr="00ED4D49">
              <w:rPr>
                <w:rFonts w:cs="Calibri"/>
                <w:sz w:val="16"/>
                <w:szCs w:val="16"/>
                <w:lang w:val="en-US"/>
              </w:rPr>
              <w:t>Zovik</w:t>
            </w:r>
            <w:proofErr w:type="spellEnd"/>
          </w:p>
        </w:tc>
      </w:tr>
      <w:tr w:rsidR="00A0077D" w:rsidRPr="00ED4D49" w14:paraId="246F555D" w14:textId="77777777" w:rsidTr="00A0077D">
        <w:tc>
          <w:tcPr>
            <w:tcW w:w="0" w:type="auto"/>
            <w:vMerge/>
            <w:shd w:val="clear" w:color="auto" w:fill="auto"/>
            <w:vAlign w:val="center"/>
          </w:tcPr>
          <w:p w14:paraId="52674ACE" w14:textId="77777777" w:rsidR="00A0077D" w:rsidRPr="00ED4D49" w:rsidRDefault="00A0077D" w:rsidP="00A0077D">
            <w:pPr>
              <w:spacing w:before="0" w:after="0"/>
              <w:rPr>
                <w:rFonts w:cs="Calibri"/>
                <w:sz w:val="16"/>
                <w:szCs w:val="16"/>
                <w:lang w:val="en-US"/>
              </w:rPr>
            </w:pPr>
          </w:p>
        </w:tc>
        <w:tc>
          <w:tcPr>
            <w:tcW w:w="0" w:type="auto"/>
            <w:shd w:val="clear" w:color="auto" w:fill="auto"/>
            <w:vAlign w:val="center"/>
          </w:tcPr>
          <w:p w14:paraId="5FADAA69" w14:textId="77777777" w:rsidR="00A0077D" w:rsidRPr="00ED4D49" w:rsidRDefault="00A0077D" w:rsidP="00A0077D">
            <w:pPr>
              <w:spacing w:before="0" w:after="0"/>
              <w:rPr>
                <w:rFonts w:cs="Calibri"/>
                <w:sz w:val="16"/>
                <w:szCs w:val="16"/>
                <w:lang w:val="en-US"/>
              </w:rPr>
            </w:pPr>
            <w:r w:rsidRPr="00ED4D49">
              <w:rPr>
                <w:rFonts w:cs="Calibri"/>
                <w:sz w:val="16"/>
                <w:szCs w:val="16"/>
                <w:lang w:val="en-US"/>
              </w:rPr>
              <w:t>First Post Office, the historic building</w:t>
            </w:r>
          </w:p>
        </w:tc>
      </w:tr>
    </w:tbl>
    <w:p w14:paraId="5E2A94BE" w14:textId="77777777" w:rsidR="00A0077D" w:rsidRPr="00ED4D49" w:rsidRDefault="00A0077D" w:rsidP="00A0077D">
      <w:pPr>
        <w:rPr>
          <w:lang w:val="en-US"/>
        </w:rPr>
      </w:pPr>
    </w:p>
    <w:p w14:paraId="56FABB8B" w14:textId="6901C0BE" w:rsidR="00A0077D" w:rsidRPr="00ED4D49" w:rsidRDefault="00A0077D">
      <w:pPr>
        <w:spacing w:before="0" w:after="0" w:line="240" w:lineRule="auto"/>
        <w:rPr>
          <w:rFonts w:eastAsia="Times New Roman"/>
          <w:bCs/>
          <w:color w:val="1F497D"/>
          <w:sz w:val="24"/>
          <w:szCs w:val="26"/>
          <w:lang w:val="en-US" w:eastAsia="x-none"/>
        </w:rPr>
      </w:pPr>
      <w:r w:rsidRPr="00ED4D49">
        <w:rPr>
          <w:lang w:val="en-US"/>
        </w:rPr>
        <w:br w:type="page"/>
      </w:r>
    </w:p>
    <w:p w14:paraId="3009B2CF" w14:textId="57DB90CB" w:rsidR="006D6536" w:rsidRPr="00ED4D49" w:rsidRDefault="006D6536" w:rsidP="00530056">
      <w:pPr>
        <w:pStyle w:val="Heading2"/>
        <w:numPr>
          <w:ilvl w:val="0"/>
          <w:numId w:val="30"/>
        </w:numPr>
        <w:ind w:left="426" w:hanging="426"/>
      </w:pPr>
      <w:bookmarkStart w:id="282" w:name="_Toc22583823"/>
      <w:bookmarkStart w:id="283" w:name="_Ref22584504"/>
      <w:bookmarkStart w:id="284" w:name="_Toc31811110"/>
      <w:bookmarkEnd w:id="282"/>
      <w:r w:rsidRPr="00ED4D49">
        <w:lastRenderedPageBreak/>
        <w:t xml:space="preserve">Overview of </w:t>
      </w:r>
      <w:r w:rsidR="00DA00BD" w:rsidRPr="00ED4D49">
        <w:t>C</w:t>
      </w:r>
      <w:r w:rsidRPr="00ED4D49">
        <w:t xml:space="preserve">antonal </w:t>
      </w:r>
      <w:r w:rsidR="00DA00BD" w:rsidRPr="00ED4D49">
        <w:t>M</w:t>
      </w:r>
      <w:r w:rsidRPr="00ED4D49">
        <w:t xml:space="preserve">inistries </w:t>
      </w:r>
      <w:r w:rsidR="00DA00BD" w:rsidRPr="00ED4D49">
        <w:t>R</w:t>
      </w:r>
      <w:r w:rsidRPr="00ED4D49">
        <w:t xml:space="preserve">esponsible for </w:t>
      </w:r>
      <w:r w:rsidR="00DA00BD" w:rsidRPr="00ED4D49">
        <w:t>W</w:t>
      </w:r>
      <w:r w:rsidRPr="00ED4D49">
        <w:t xml:space="preserve">ater </w:t>
      </w:r>
      <w:r w:rsidR="00DA00BD" w:rsidRPr="00ED4D49">
        <w:t>M</w:t>
      </w:r>
      <w:r w:rsidRPr="00ED4D49">
        <w:t xml:space="preserve">anagement and </w:t>
      </w:r>
      <w:r w:rsidR="00DA00BD" w:rsidRPr="00ED4D49">
        <w:t>E</w:t>
      </w:r>
      <w:r w:rsidRPr="00ED4D49">
        <w:t xml:space="preserve">nvironmental </w:t>
      </w:r>
      <w:r w:rsidR="00DA00BD" w:rsidRPr="00ED4D49">
        <w:t>I</w:t>
      </w:r>
      <w:r w:rsidRPr="00ED4D49">
        <w:t>ssues</w:t>
      </w:r>
      <w:bookmarkEnd w:id="268"/>
      <w:bookmarkEnd w:id="269"/>
      <w:bookmarkEnd w:id="283"/>
      <w:bookmarkEnd w:id="284"/>
    </w:p>
    <w:p w14:paraId="22501C58" w14:textId="77777777" w:rsidR="006D6536" w:rsidRPr="00ED4D49" w:rsidRDefault="006D6536" w:rsidP="006D6536">
      <w:pPr>
        <w:rPr>
          <w:lang w:val="en-US" w:eastAsia="x-none"/>
        </w:rPr>
      </w:pPr>
    </w:p>
    <w:tbl>
      <w:tblPr>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2037"/>
        <w:gridCol w:w="3346"/>
        <w:gridCol w:w="3627"/>
      </w:tblGrid>
      <w:tr w:rsidR="006D6536" w:rsidRPr="00ED4D49" w14:paraId="0D08FD55" w14:textId="77777777" w:rsidTr="003162D3">
        <w:tc>
          <w:tcPr>
            <w:tcW w:w="1130" w:type="pct"/>
            <w:shd w:val="clear" w:color="auto" w:fill="auto"/>
          </w:tcPr>
          <w:p w14:paraId="7F1D7328" w14:textId="77777777" w:rsidR="006D6536" w:rsidRPr="00ED4D49" w:rsidRDefault="006D6536" w:rsidP="00A405B0">
            <w:pPr>
              <w:spacing w:before="0" w:after="0"/>
              <w:ind w:left="144" w:right="144"/>
              <w:jc w:val="both"/>
              <w:rPr>
                <w:rFonts w:cs="Calibri"/>
                <w:color w:val="336699"/>
                <w:sz w:val="16"/>
                <w:szCs w:val="16"/>
                <w:lang w:val="en-US"/>
              </w:rPr>
            </w:pPr>
            <w:r w:rsidRPr="00ED4D49">
              <w:rPr>
                <w:rFonts w:cs="Calibri"/>
                <w:color w:val="336699"/>
                <w:sz w:val="16"/>
                <w:szCs w:val="16"/>
                <w:lang w:val="en-US"/>
              </w:rPr>
              <w:t>Canton</w:t>
            </w:r>
          </w:p>
        </w:tc>
        <w:tc>
          <w:tcPr>
            <w:tcW w:w="1857" w:type="pct"/>
          </w:tcPr>
          <w:p w14:paraId="27D7BC12" w14:textId="77777777" w:rsidR="006D6536" w:rsidRPr="00ED4D49" w:rsidRDefault="006D6536" w:rsidP="00A405B0">
            <w:pPr>
              <w:spacing w:before="0" w:after="0"/>
              <w:ind w:left="144" w:right="144"/>
              <w:jc w:val="both"/>
              <w:rPr>
                <w:rFonts w:cs="Calibri"/>
                <w:color w:val="336699"/>
                <w:sz w:val="16"/>
                <w:szCs w:val="16"/>
                <w:lang w:val="en-US"/>
              </w:rPr>
            </w:pPr>
            <w:r w:rsidRPr="00ED4D49">
              <w:rPr>
                <w:rFonts w:cs="Calibri"/>
                <w:color w:val="336699"/>
                <w:sz w:val="16"/>
                <w:szCs w:val="16"/>
                <w:lang w:val="en-US"/>
              </w:rPr>
              <w:t xml:space="preserve">Ministry responsible for water management </w:t>
            </w:r>
          </w:p>
        </w:tc>
        <w:tc>
          <w:tcPr>
            <w:tcW w:w="2013" w:type="pct"/>
            <w:shd w:val="clear" w:color="auto" w:fill="auto"/>
          </w:tcPr>
          <w:p w14:paraId="1A56BFCE" w14:textId="77777777" w:rsidR="006D6536" w:rsidRPr="00ED4D49" w:rsidRDefault="006D6536" w:rsidP="00A405B0">
            <w:pPr>
              <w:spacing w:before="0" w:after="0"/>
              <w:ind w:left="144" w:right="144"/>
              <w:jc w:val="both"/>
              <w:rPr>
                <w:rFonts w:cs="Calibri"/>
                <w:color w:val="336699"/>
                <w:sz w:val="16"/>
                <w:szCs w:val="16"/>
                <w:lang w:val="en-US"/>
              </w:rPr>
            </w:pPr>
            <w:r w:rsidRPr="00ED4D49">
              <w:rPr>
                <w:rFonts w:cs="Calibri"/>
                <w:color w:val="336699"/>
                <w:sz w:val="16"/>
                <w:szCs w:val="16"/>
                <w:lang w:val="en-US"/>
              </w:rPr>
              <w:t>Ministry responsible for environment protection</w:t>
            </w:r>
          </w:p>
        </w:tc>
      </w:tr>
      <w:tr w:rsidR="006D6536" w:rsidRPr="00ED4D49" w14:paraId="7691C97D" w14:textId="77777777" w:rsidTr="003162D3">
        <w:tc>
          <w:tcPr>
            <w:tcW w:w="1130" w:type="pct"/>
            <w:shd w:val="clear" w:color="auto" w:fill="auto"/>
          </w:tcPr>
          <w:p w14:paraId="2CEB61E6" w14:textId="77777777" w:rsidR="006D6536" w:rsidRPr="00ED4D49" w:rsidRDefault="006D6536" w:rsidP="00A405B0">
            <w:pPr>
              <w:spacing w:before="0" w:after="0"/>
              <w:ind w:left="144" w:right="144"/>
              <w:rPr>
                <w:rFonts w:cs="Calibri"/>
                <w:sz w:val="16"/>
                <w:szCs w:val="16"/>
                <w:lang w:val="en-US"/>
              </w:rPr>
            </w:pPr>
            <w:r w:rsidRPr="00ED4D49">
              <w:rPr>
                <w:rFonts w:cs="Calibri"/>
                <w:sz w:val="16"/>
                <w:szCs w:val="16"/>
                <w:lang w:val="en-US"/>
              </w:rPr>
              <w:t>Sarajevo Canton</w:t>
            </w:r>
          </w:p>
        </w:tc>
        <w:tc>
          <w:tcPr>
            <w:tcW w:w="1857" w:type="pct"/>
          </w:tcPr>
          <w:p w14:paraId="5D177AFC" w14:textId="77777777" w:rsidR="006D6536" w:rsidRPr="00ED4D49" w:rsidRDefault="006D6536" w:rsidP="00A405B0">
            <w:pPr>
              <w:spacing w:before="0" w:after="0"/>
              <w:ind w:left="144" w:right="144"/>
              <w:rPr>
                <w:rFonts w:cs="Calibri"/>
                <w:sz w:val="16"/>
                <w:szCs w:val="16"/>
                <w:lang w:val="en-US"/>
              </w:rPr>
            </w:pPr>
            <w:r w:rsidRPr="00ED4D49">
              <w:rPr>
                <w:rFonts w:cs="Calibri"/>
                <w:sz w:val="16"/>
                <w:szCs w:val="16"/>
                <w:lang w:val="en-US"/>
              </w:rPr>
              <w:t xml:space="preserve">Ministry of Economy </w:t>
            </w:r>
          </w:p>
        </w:tc>
        <w:tc>
          <w:tcPr>
            <w:tcW w:w="2013" w:type="pct"/>
            <w:shd w:val="clear" w:color="auto" w:fill="auto"/>
          </w:tcPr>
          <w:p w14:paraId="68D60BDB" w14:textId="77777777" w:rsidR="006D6536" w:rsidRPr="00ED4D49" w:rsidRDefault="006D6536" w:rsidP="00A405B0">
            <w:pPr>
              <w:spacing w:before="0" w:after="0"/>
              <w:ind w:left="144" w:right="144"/>
              <w:rPr>
                <w:rFonts w:cs="Calibri"/>
                <w:sz w:val="16"/>
                <w:szCs w:val="16"/>
                <w:lang w:val="en-US"/>
              </w:rPr>
            </w:pPr>
            <w:r w:rsidRPr="00ED4D49">
              <w:rPr>
                <w:rFonts w:cs="Calibri"/>
                <w:sz w:val="16"/>
                <w:szCs w:val="16"/>
                <w:lang w:val="en-US"/>
              </w:rPr>
              <w:t xml:space="preserve">Ministry of Spatial Panning, Construction and Environmental Protection </w:t>
            </w:r>
          </w:p>
        </w:tc>
      </w:tr>
      <w:tr w:rsidR="006D6536" w:rsidRPr="00ED4D49" w14:paraId="459301FF" w14:textId="77777777" w:rsidTr="003162D3">
        <w:tc>
          <w:tcPr>
            <w:tcW w:w="1130" w:type="pct"/>
            <w:shd w:val="clear" w:color="auto" w:fill="auto"/>
          </w:tcPr>
          <w:p w14:paraId="51EBC70E" w14:textId="08E715C5" w:rsidR="006D6536" w:rsidRPr="00ED4D49" w:rsidRDefault="006D6536" w:rsidP="00A405B0">
            <w:pPr>
              <w:spacing w:before="0" w:after="0"/>
              <w:ind w:left="144" w:right="144"/>
              <w:rPr>
                <w:rFonts w:cs="Calibri"/>
                <w:sz w:val="16"/>
                <w:szCs w:val="16"/>
                <w:lang w:val="en-US"/>
              </w:rPr>
            </w:pPr>
            <w:r w:rsidRPr="00ED4D49">
              <w:rPr>
                <w:rFonts w:cs="Calibri"/>
                <w:sz w:val="16"/>
                <w:szCs w:val="16"/>
                <w:lang w:val="en-US"/>
              </w:rPr>
              <w:t>Tuzla Canton</w:t>
            </w:r>
            <w:r w:rsidR="003162D3" w:rsidRPr="00ED4D49">
              <w:rPr>
                <w:rFonts w:cs="Calibri"/>
                <w:sz w:val="16"/>
                <w:szCs w:val="16"/>
                <w:lang w:val="en-US"/>
              </w:rPr>
              <w:t>**</w:t>
            </w:r>
            <w:r w:rsidRPr="00ED4D49">
              <w:rPr>
                <w:rFonts w:cs="Calibri"/>
                <w:sz w:val="16"/>
                <w:szCs w:val="16"/>
                <w:lang w:val="en-US"/>
              </w:rPr>
              <w:t xml:space="preserve"> </w:t>
            </w:r>
          </w:p>
        </w:tc>
        <w:tc>
          <w:tcPr>
            <w:tcW w:w="1857" w:type="pct"/>
          </w:tcPr>
          <w:p w14:paraId="5D404DA9" w14:textId="77777777" w:rsidR="006D6536" w:rsidRPr="00ED4D49" w:rsidRDefault="006D6536" w:rsidP="00A405B0">
            <w:pPr>
              <w:spacing w:before="0" w:after="0"/>
              <w:ind w:left="144" w:right="144"/>
              <w:rPr>
                <w:rFonts w:cs="Calibri"/>
                <w:sz w:val="16"/>
                <w:szCs w:val="16"/>
                <w:lang w:val="en-US"/>
              </w:rPr>
            </w:pPr>
            <w:r w:rsidRPr="00ED4D49">
              <w:rPr>
                <w:rFonts w:cs="Calibri"/>
                <w:sz w:val="16"/>
                <w:szCs w:val="16"/>
                <w:lang w:val="en-US"/>
              </w:rPr>
              <w:t>Ministry of Agriculture, Forestry and Water Management</w:t>
            </w:r>
          </w:p>
        </w:tc>
        <w:tc>
          <w:tcPr>
            <w:tcW w:w="2013" w:type="pct"/>
            <w:shd w:val="clear" w:color="auto" w:fill="auto"/>
          </w:tcPr>
          <w:p w14:paraId="06F0239D" w14:textId="77777777" w:rsidR="006D6536" w:rsidRPr="00ED4D49" w:rsidRDefault="006D6536" w:rsidP="00A405B0">
            <w:pPr>
              <w:spacing w:before="0" w:after="0"/>
              <w:ind w:left="144" w:right="144"/>
              <w:rPr>
                <w:rFonts w:cs="Calibri"/>
                <w:sz w:val="16"/>
                <w:szCs w:val="16"/>
                <w:lang w:val="en-US"/>
              </w:rPr>
            </w:pPr>
            <w:r w:rsidRPr="00ED4D49">
              <w:rPr>
                <w:rFonts w:cs="Calibri"/>
                <w:sz w:val="16"/>
                <w:szCs w:val="16"/>
                <w:lang w:val="en-US"/>
              </w:rPr>
              <w:t>Ministry of Spatial Panning and Environmental Protection</w:t>
            </w:r>
          </w:p>
        </w:tc>
      </w:tr>
      <w:tr w:rsidR="006D6536" w:rsidRPr="00ED4D49" w14:paraId="789044D3" w14:textId="77777777" w:rsidTr="003162D3">
        <w:tc>
          <w:tcPr>
            <w:tcW w:w="1130" w:type="pct"/>
            <w:shd w:val="clear" w:color="auto" w:fill="auto"/>
          </w:tcPr>
          <w:p w14:paraId="33C063D0" w14:textId="77777777" w:rsidR="006D6536" w:rsidRPr="00ED4D49" w:rsidRDefault="006D6536" w:rsidP="00A405B0">
            <w:pPr>
              <w:spacing w:before="0" w:after="0"/>
              <w:ind w:left="144" w:right="144"/>
              <w:rPr>
                <w:rFonts w:cs="Calibri"/>
                <w:sz w:val="16"/>
                <w:szCs w:val="16"/>
                <w:lang w:val="en-US"/>
              </w:rPr>
            </w:pPr>
            <w:proofErr w:type="spellStart"/>
            <w:r w:rsidRPr="00ED4D49">
              <w:rPr>
                <w:rFonts w:cs="Calibri"/>
                <w:sz w:val="16"/>
                <w:szCs w:val="16"/>
                <w:lang w:val="en-US"/>
              </w:rPr>
              <w:t>Zenica</w:t>
            </w:r>
            <w:proofErr w:type="spellEnd"/>
            <w:r w:rsidRPr="00ED4D49">
              <w:rPr>
                <w:rFonts w:cs="Calibri"/>
                <w:sz w:val="16"/>
                <w:szCs w:val="16"/>
                <w:lang w:val="en-US"/>
              </w:rPr>
              <w:t xml:space="preserve">-Doboj Canton </w:t>
            </w:r>
          </w:p>
        </w:tc>
        <w:tc>
          <w:tcPr>
            <w:tcW w:w="1857" w:type="pct"/>
          </w:tcPr>
          <w:p w14:paraId="76C1E3AC" w14:textId="77777777" w:rsidR="006D6536" w:rsidRPr="00ED4D49" w:rsidRDefault="006D6536" w:rsidP="00A405B0">
            <w:pPr>
              <w:spacing w:before="0" w:after="0"/>
              <w:ind w:left="144" w:right="144"/>
              <w:rPr>
                <w:rFonts w:cs="Calibri"/>
                <w:sz w:val="16"/>
                <w:szCs w:val="16"/>
                <w:lang w:val="en-US"/>
              </w:rPr>
            </w:pPr>
            <w:r w:rsidRPr="00ED4D49">
              <w:rPr>
                <w:rFonts w:cs="Calibri"/>
                <w:sz w:val="16"/>
                <w:szCs w:val="16"/>
                <w:lang w:val="en-US"/>
              </w:rPr>
              <w:t xml:space="preserve">Ministry of Agriculture, Forestry and Water Management </w:t>
            </w:r>
          </w:p>
        </w:tc>
        <w:tc>
          <w:tcPr>
            <w:tcW w:w="2013" w:type="pct"/>
            <w:shd w:val="clear" w:color="auto" w:fill="auto"/>
          </w:tcPr>
          <w:p w14:paraId="074837C5" w14:textId="77777777" w:rsidR="006D6536" w:rsidRPr="00ED4D49" w:rsidRDefault="006D6536" w:rsidP="00A405B0">
            <w:pPr>
              <w:spacing w:before="0" w:after="0"/>
              <w:ind w:left="144" w:right="144"/>
              <w:rPr>
                <w:rFonts w:cs="Calibri"/>
                <w:sz w:val="16"/>
                <w:szCs w:val="16"/>
                <w:lang w:val="en-US"/>
              </w:rPr>
            </w:pPr>
            <w:r w:rsidRPr="00ED4D49">
              <w:rPr>
                <w:rFonts w:cs="Calibri"/>
                <w:sz w:val="16"/>
                <w:szCs w:val="16"/>
                <w:lang w:val="en-US"/>
              </w:rPr>
              <w:t>Ministry of Spatial Panning, Transport and Communications, and Environmental Protection</w:t>
            </w:r>
          </w:p>
        </w:tc>
      </w:tr>
      <w:tr w:rsidR="006D6536" w:rsidRPr="00ED4D49" w14:paraId="4B287F44" w14:textId="77777777" w:rsidTr="003162D3">
        <w:tc>
          <w:tcPr>
            <w:tcW w:w="1130" w:type="pct"/>
            <w:shd w:val="clear" w:color="auto" w:fill="auto"/>
          </w:tcPr>
          <w:p w14:paraId="51AD3EB3" w14:textId="77777777" w:rsidR="006D6536" w:rsidRPr="00ED4D49" w:rsidRDefault="006D6536" w:rsidP="00A405B0">
            <w:pPr>
              <w:spacing w:before="0" w:after="0"/>
              <w:ind w:left="144" w:right="144"/>
              <w:rPr>
                <w:rFonts w:cs="Calibri"/>
                <w:sz w:val="16"/>
                <w:szCs w:val="16"/>
                <w:lang w:val="en-US"/>
              </w:rPr>
            </w:pPr>
            <w:r w:rsidRPr="00ED4D49">
              <w:rPr>
                <w:rFonts w:cs="Calibri"/>
                <w:sz w:val="16"/>
                <w:szCs w:val="16"/>
                <w:lang w:val="en-US"/>
              </w:rPr>
              <w:t xml:space="preserve">Herzegovina-Neretva Canton </w:t>
            </w:r>
          </w:p>
        </w:tc>
        <w:tc>
          <w:tcPr>
            <w:tcW w:w="1857" w:type="pct"/>
          </w:tcPr>
          <w:p w14:paraId="7E4B302A" w14:textId="77777777" w:rsidR="006D6536" w:rsidRPr="00ED4D49" w:rsidRDefault="006D6536" w:rsidP="00A405B0">
            <w:pPr>
              <w:spacing w:before="0" w:after="0"/>
              <w:ind w:left="144" w:right="144"/>
              <w:rPr>
                <w:rFonts w:cs="Calibri"/>
                <w:sz w:val="16"/>
                <w:szCs w:val="16"/>
                <w:lang w:val="en-US"/>
              </w:rPr>
            </w:pPr>
            <w:r w:rsidRPr="00ED4D49">
              <w:rPr>
                <w:rFonts w:cs="Calibri"/>
                <w:sz w:val="16"/>
                <w:szCs w:val="16"/>
                <w:lang w:val="en-US"/>
              </w:rPr>
              <w:t>Ministry of Agriculture, Forestry and Water Management</w:t>
            </w:r>
          </w:p>
        </w:tc>
        <w:tc>
          <w:tcPr>
            <w:tcW w:w="2013" w:type="pct"/>
            <w:shd w:val="clear" w:color="auto" w:fill="auto"/>
          </w:tcPr>
          <w:p w14:paraId="2583C4FA" w14:textId="77777777" w:rsidR="006D6536" w:rsidRPr="00ED4D49" w:rsidRDefault="006D6536" w:rsidP="00A405B0">
            <w:pPr>
              <w:spacing w:before="0" w:after="0"/>
              <w:ind w:left="144" w:right="144"/>
              <w:rPr>
                <w:rFonts w:cs="Calibri"/>
                <w:sz w:val="16"/>
                <w:szCs w:val="16"/>
                <w:lang w:val="en-US"/>
              </w:rPr>
            </w:pPr>
            <w:r w:rsidRPr="00ED4D49">
              <w:rPr>
                <w:rFonts w:cs="Calibri"/>
                <w:sz w:val="16"/>
                <w:szCs w:val="16"/>
                <w:lang w:val="en-US"/>
              </w:rPr>
              <w:t xml:space="preserve">Ministry of Construction and Spatial Planning </w:t>
            </w:r>
          </w:p>
        </w:tc>
      </w:tr>
      <w:tr w:rsidR="006D6536" w:rsidRPr="00ED4D49" w14:paraId="2E2EE8FA" w14:textId="77777777" w:rsidTr="003162D3">
        <w:tc>
          <w:tcPr>
            <w:tcW w:w="1130" w:type="pct"/>
            <w:shd w:val="clear" w:color="auto" w:fill="auto"/>
          </w:tcPr>
          <w:p w14:paraId="6BA72260" w14:textId="77777777" w:rsidR="006D6536" w:rsidRPr="00ED4D49" w:rsidRDefault="006D6536" w:rsidP="00A405B0">
            <w:pPr>
              <w:spacing w:before="0" w:after="0"/>
              <w:ind w:left="144" w:right="144"/>
              <w:rPr>
                <w:rFonts w:cs="Calibri"/>
                <w:sz w:val="16"/>
                <w:szCs w:val="16"/>
                <w:lang w:val="en-US"/>
              </w:rPr>
            </w:pPr>
            <w:r w:rsidRPr="00ED4D49">
              <w:rPr>
                <w:rFonts w:cs="Calibri"/>
                <w:sz w:val="16"/>
                <w:szCs w:val="16"/>
                <w:lang w:val="en-US"/>
              </w:rPr>
              <w:t xml:space="preserve">West Herzegovina Canton </w:t>
            </w:r>
          </w:p>
        </w:tc>
        <w:tc>
          <w:tcPr>
            <w:tcW w:w="1857" w:type="pct"/>
          </w:tcPr>
          <w:p w14:paraId="05DEB271" w14:textId="77777777" w:rsidR="006D6536" w:rsidRPr="00ED4D49" w:rsidRDefault="006D6536" w:rsidP="00A405B0">
            <w:pPr>
              <w:spacing w:before="0" w:after="0"/>
              <w:ind w:left="144" w:right="144"/>
              <w:rPr>
                <w:rFonts w:cs="Calibri"/>
                <w:sz w:val="16"/>
                <w:szCs w:val="16"/>
                <w:lang w:val="en-US"/>
              </w:rPr>
            </w:pPr>
            <w:r w:rsidRPr="00ED4D49">
              <w:rPr>
                <w:rFonts w:cs="Calibri"/>
                <w:sz w:val="16"/>
                <w:szCs w:val="16"/>
                <w:lang w:val="en-US"/>
              </w:rPr>
              <w:t>Ministry of Economy</w:t>
            </w:r>
          </w:p>
        </w:tc>
        <w:tc>
          <w:tcPr>
            <w:tcW w:w="2013" w:type="pct"/>
            <w:shd w:val="clear" w:color="auto" w:fill="auto"/>
          </w:tcPr>
          <w:p w14:paraId="4B704C60" w14:textId="77777777" w:rsidR="006D6536" w:rsidRPr="00ED4D49" w:rsidRDefault="006D6536" w:rsidP="00A405B0">
            <w:pPr>
              <w:spacing w:before="0" w:after="0"/>
              <w:ind w:left="144" w:right="144"/>
              <w:rPr>
                <w:rFonts w:cs="Calibri"/>
                <w:sz w:val="16"/>
                <w:szCs w:val="16"/>
                <w:lang w:val="en-US"/>
              </w:rPr>
            </w:pPr>
            <w:r w:rsidRPr="00ED4D49">
              <w:rPr>
                <w:rFonts w:cs="Calibri"/>
                <w:sz w:val="16"/>
                <w:szCs w:val="16"/>
                <w:lang w:val="en-US"/>
              </w:rPr>
              <w:t>Ministry of Spatial Panning, Construction and Environmental Protection</w:t>
            </w:r>
          </w:p>
        </w:tc>
      </w:tr>
      <w:tr w:rsidR="006D6536" w:rsidRPr="00ED4D49" w14:paraId="667B6C3F" w14:textId="77777777" w:rsidTr="003162D3">
        <w:tc>
          <w:tcPr>
            <w:tcW w:w="1130" w:type="pct"/>
            <w:shd w:val="clear" w:color="auto" w:fill="auto"/>
          </w:tcPr>
          <w:p w14:paraId="58AC7A16" w14:textId="77777777" w:rsidR="006D6536" w:rsidRPr="00ED4D49" w:rsidRDefault="006D6536" w:rsidP="00A405B0">
            <w:pPr>
              <w:spacing w:before="0" w:after="0"/>
              <w:ind w:left="144" w:right="144"/>
              <w:rPr>
                <w:rFonts w:cs="Calibri"/>
                <w:sz w:val="16"/>
                <w:szCs w:val="16"/>
                <w:lang w:val="en-US"/>
              </w:rPr>
            </w:pPr>
            <w:r w:rsidRPr="00ED4D49">
              <w:rPr>
                <w:rFonts w:cs="Calibri"/>
                <w:sz w:val="16"/>
                <w:szCs w:val="16"/>
                <w:lang w:val="en-US"/>
              </w:rPr>
              <w:t>Canton 10</w:t>
            </w:r>
          </w:p>
        </w:tc>
        <w:tc>
          <w:tcPr>
            <w:tcW w:w="1857" w:type="pct"/>
          </w:tcPr>
          <w:p w14:paraId="6BD491D4" w14:textId="77777777" w:rsidR="006D6536" w:rsidRPr="00ED4D49" w:rsidRDefault="006D6536" w:rsidP="00A405B0">
            <w:pPr>
              <w:spacing w:before="0" w:after="0"/>
              <w:ind w:left="144" w:right="144"/>
              <w:rPr>
                <w:rFonts w:cs="Calibri"/>
                <w:sz w:val="16"/>
                <w:szCs w:val="16"/>
                <w:lang w:val="en-US"/>
              </w:rPr>
            </w:pPr>
            <w:r w:rsidRPr="00ED4D49">
              <w:rPr>
                <w:rFonts w:cs="Calibri"/>
                <w:sz w:val="16"/>
                <w:szCs w:val="16"/>
                <w:lang w:val="en-US"/>
              </w:rPr>
              <w:t xml:space="preserve">Ministry of Agriculture, Forestry and Water Management </w:t>
            </w:r>
          </w:p>
        </w:tc>
        <w:tc>
          <w:tcPr>
            <w:tcW w:w="2013" w:type="pct"/>
            <w:shd w:val="clear" w:color="auto" w:fill="auto"/>
          </w:tcPr>
          <w:p w14:paraId="54EB6B2C" w14:textId="77777777" w:rsidR="006D6536" w:rsidRPr="00ED4D49" w:rsidRDefault="006D6536" w:rsidP="00A405B0">
            <w:pPr>
              <w:spacing w:before="0" w:after="0"/>
              <w:ind w:left="144" w:right="144"/>
              <w:rPr>
                <w:rFonts w:cs="Calibri"/>
                <w:sz w:val="16"/>
                <w:szCs w:val="16"/>
                <w:lang w:val="en-US"/>
              </w:rPr>
            </w:pPr>
            <w:r w:rsidRPr="00ED4D49">
              <w:rPr>
                <w:rFonts w:cs="Calibri"/>
                <w:sz w:val="16"/>
                <w:szCs w:val="16"/>
                <w:lang w:val="en-US"/>
              </w:rPr>
              <w:t xml:space="preserve">Ministry of Construction, Reconstruction, Spatial Planning and Environmental Protection </w:t>
            </w:r>
          </w:p>
        </w:tc>
      </w:tr>
      <w:tr w:rsidR="006D6536" w:rsidRPr="00ED4D49" w14:paraId="2E5A192A" w14:textId="77777777" w:rsidTr="003162D3">
        <w:tc>
          <w:tcPr>
            <w:tcW w:w="1130" w:type="pct"/>
            <w:shd w:val="clear" w:color="auto" w:fill="auto"/>
          </w:tcPr>
          <w:p w14:paraId="27F490FE" w14:textId="77777777" w:rsidR="006D6536" w:rsidRPr="00ED4D49" w:rsidRDefault="006D6536" w:rsidP="00A405B0">
            <w:pPr>
              <w:spacing w:before="0" w:after="0"/>
              <w:ind w:left="144" w:right="144"/>
              <w:rPr>
                <w:rFonts w:cs="Calibri"/>
                <w:sz w:val="16"/>
                <w:szCs w:val="16"/>
                <w:lang w:val="en-US"/>
              </w:rPr>
            </w:pPr>
            <w:r w:rsidRPr="00ED4D49">
              <w:rPr>
                <w:rFonts w:cs="Calibri"/>
                <w:sz w:val="16"/>
                <w:szCs w:val="16"/>
                <w:lang w:val="en-US"/>
              </w:rPr>
              <w:t xml:space="preserve">Una-Sana Canton </w:t>
            </w:r>
          </w:p>
        </w:tc>
        <w:tc>
          <w:tcPr>
            <w:tcW w:w="1857" w:type="pct"/>
          </w:tcPr>
          <w:p w14:paraId="6C6B2D86" w14:textId="77777777" w:rsidR="006D6536" w:rsidRPr="00ED4D49" w:rsidRDefault="006D6536" w:rsidP="00A405B0">
            <w:pPr>
              <w:spacing w:before="0" w:after="0"/>
              <w:ind w:left="144" w:right="144"/>
              <w:rPr>
                <w:rFonts w:cs="Calibri"/>
                <w:sz w:val="16"/>
                <w:szCs w:val="16"/>
                <w:lang w:val="en-US"/>
              </w:rPr>
            </w:pPr>
            <w:r w:rsidRPr="00ED4D49">
              <w:rPr>
                <w:rFonts w:cs="Calibri"/>
                <w:sz w:val="16"/>
                <w:szCs w:val="16"/>
                <w:lang w:val="en-US"/>
              </w:rPr>
              <w:t>Ministry of Agriculture, Forestry and Water Management</w:t>
            </w:r>
          </w:p>
        </w:tc>
        <w:tc>
          <w:tcPr>
            <w:tcW w:w="2013" w:type="pct"/>
            <w:shd w:val="clear" w:color="auto" w:fill="auto"/>
          </w:tcPr>
          <w:p w14:paraId="66BE51EF" w14:textId="77777777" w:rsidR="006D6536" w:rsidRPr="00ED4D49" w:rsidRDefault="006D6536" w:rsidP="00A405B0">
            <w:pPr>
              <w:spacing w:before="0" w:after="0"/>
              <w:ind w:left="144" w:right="144"/>
              <w:rPr>
                <w:rFonts w:cs="Calibri"/>
                <w:sz w:val="16"/>
                <w:szCs w:val="16"/>
                <w:lang w:val="en-US"/>
              </w:rPr>
            </w:pPr>
            <w:r w:rsidRPr="00ED4D49">
              <w:rPr>
                <w:rFonts w:cs="Calibri"/>
                <w:sz w:val="16"/>
                <w:szCs w:val="16"/>
                <w:lang w:val="en-US"/>
              </w:rPr>
              <w:t>Ministry of Construction, Spatial Panning and Environmental Protection</w:t>
            </w:r>
          </w:p>
        </w:tc>
      </w:tr>
      <w:tr w:rsidR="006D6536" w:rsidRPr="00ED4D49" w14:paraId="7637D9DD" w14:textId="77777777" w:rsidTr="003162D3">
        <w:tc>
          <w:tcPr>
            <w:tcW w:w="1130" w:type="pct"/>
            <w:shd w:val="clear" w:color="auto" w:fill="auto"/>
          </w:tcPr>
          <w:p w14:paraId="518423D8" w14:textId="69828F70" w:rsidR="006D6536" w:rsidRPr="00ED4D49" w:rsidRDefault="006D6536" w:rsidP="00A405B0">
            <w:pPr>
              <w:spacing w:before="0" w:after="0"/>
              <w:ind w:left="144" w:right="144"/>
              <w:rPr>
                <w:rFonts w:cs="Calibri"/>
                <w:sz w:val="16"/>
                <w:szCs w:val="16"/>
                <w:lang w:val="en-US"/>
              </w:rPr>
            </w:pPr>
            <w:proofErr w:type="spellStart"/>
            <w:r w:rsidRPr="00ED4D49">
              <w:rPr>
                <w:rFonts w:cs="Calibri"/>
                <w:sz w:val="16"/>
                <w:szCs w:val="16"/>
                <w:lang w:val="en-US"/>
              </w:rPr>
              <w:t>Posavina</w:t>
            </w:r>
            <w:proofErr w:type="spellEnd"/>
            <w:r w:rsidRPr="00ED4D49">
              <w:rPr>
                <w:rFonts w:cs="Calibri"/>
                <w:sz w:val="16"/>
                <w:szCs w:val="16"/>
                <w:lang w:val="en-US"/>
              </w:rPr>
              <w:t xml:space="preserve"> Canton</w:t>
            </w:r>
            <w:r w:rsidR="003162D3" w:rsidRPr="00ED4D49">
              <w:rPr>
                <w:rFonts w:cs="Calibri"/>
                <w:sz w:val="16"/>
                <w:szCs w:val="16"/>
                <w:lang w:val="en-US"/>
              </w:rPr>
              <w:t>*</w:t>
            </w:r>
            <w:r w:rsidRPr="00ED4D49">
              <w:rPr>
                <w:rFonts w:cs="Calibri"/>
                <w:sz w:val="16"/>
                <w:szCs w:val="16"/>
                <w:lang w:val="en-US"/>
              </w:rPr>
              <w:t xml:space="preserve"> </w:t>
            </w:r>
          </w:p>
        </w:tc>
        <w:tc>
          <w:tcPr>
            <w:tcW w:w="1857" w:type="pct"/>
          </w:tcPr>
          <w:p w14:paraId="555FE92A" w14:textId="77777777" w:rsidR="006D6536" w:rsidRPr="00ED4D49" w:rsidRDefault="006D6536" w:rsidP="00A405B0">
            <w:pPr>
              <w:spacing w:before="0" w:after="0"/>
              <w:ind w:left="144" w:right="144"/>
              <w:rPr>
                <w:rFonts w:cs="Calibri"/>
                <w:sz w:val="16"/>
                <w:szCs w:val="16"/>
                <w:lang w:val="en-US"/>
              </w:rPr>
            </w:pPr>
            <w:r w:rsidRPr="00ED4D49">
              <w:rPr>
                <w:rFonts w:cs="Calibri"/>
                <w:sz w:val="16"/>
                <w:szCs w:val="16"/>
                <w:lang w:val="en-US"/>
              </w:rPr>
              <w:t>Ministry of Agriculture, Water Management and Forestry</w:t>
            </w:r>
          </w:p>
        </w:tc>
        <w:tc>
          <w:tcPr>
            <w:tcW w:w="2013" w:type="pct"/>
            <w:shd w:val="clear" w:color="auto" w:fill="auto"/>
          </w:tcPr>
          <w:p w14:paraId="5B80C5F9" w14:textId="77777777" w:rsidR="006D6536" w:rsidRPr="00ED4D49" w:rsidRDefault="006D6536" w:rsidP="00A405B0">
            <w:pPr>
              <w:spacing w:before="0" w:after="0"/>
              <w:ind w:left="144" w:right="144"/>
              <w:rPr>
                <w:rFonts w:cs="Calibri"/>
                <w:sz w:val="16"/>
                <w:szCs w:val="16"/>
                <w:lang w:val="en-US"/>
              </w:rPr>
            </w:pPr>
            <w:r w:rsidRPr="00ED4D49">
              <w:rPr>
                <w:rFonts w:cs="Calibri"/>
                <w:sz w:val="16"/>
                <w:szCs w:val="16"/>
                <w:lang w:val="en-US"/>
              </w:rPr>
              <w:t xml:space="preserve">Ministry of Transport, Communications, Tourism and Environmental Protection </w:t>
            </w:r>
          </w:p>
        </w:tc>
      </w:tr>
      <w:tr w:rsidR="006D6536" w:rsidRPr="00ED4D49" w14:paraId="2C93DE14" w14:textId="77777777" w:rsidTr="003162D3">
        <w:tc>
          <w:tcPr>
            <w:tcW w:w="1130" w:type="pct"/>
            <w:shd w:val="clear" w:color="auto" w:fill="auto"/>
          </w:tcPr>
          <w:p w14:paraId="57ADEF84" w14:textId="7E3C4727" w:rsidR="006D6536" w:rsidRPr="00ED4D49" w:rsidRDefault="006D6536" w:rsidP="00A405B0">
            <w:pPr>
              <w:spacing w:before="0" w:after="0"/>
              <w:ind w:left="144" w:right="144"/>
              <w:rPr>
                <w:rFonts w:cs="Calibri"/>
                <w:sz w:val="16"/>
                <w:szCs w:val="16"/>
                <w:lang w:val="en-US"/>
              </w:rPr>
            </w:pPr>
            <w:r w:rsidRPr="00ED4D49">
              <w:rPr>
                <w:rFonts w:cs="Calibri"/>
                <w:sz w:val="16"/>
                <w:szCs w:val="16"/>
                <w:lang w:val="en-US"/>
              </w:rPr>
              <w:t xml:space="preserve">Bosnia - </w:t>
            </w:r>
            <w:proofErr w:type="spellStart"/>
            <w:r w:rsidRPr="00ED4D49">
              <w:rPr>
                <w:rFonts w:cs="Calibri"/>
                <w:sz w:val="16"/>
                <w:szCs w:val="16"/>
                <w:lang w:val="en-US"/>
              </w:rPr>
              <w:t>Podrinje</w:t>
            </w:r>
            <w:proofErr w:type="spellEnd"/>
            <w:r w:rsidRPr="00ED4D49">
              <w:rPr>
                <w:rFonts w:cs="Calibri"/>
                <w:sz w:val="16"/>
                <w:szCs w:val="16"/>
                <w:lang w:val="en-US"/>
              </w:rPr>
              <w:t xml:space="preserve"> Canton</w:t>
            </w:r>
            <w:r w:rsidR="003162D3" w:rsidRPr="00ED4D49">
              <w:rPr>
                <w:rFonts w:cs="Calibri"/>
                <w:sz w:val="16"/>
                <w:szCs w:val="16"/>
                <w:lang w:val="en-US"/>
              </w:rPr>
              <w:t>**</w:t>
            </w:r>
          </w:p>
        </w:tc>
        <w:tc>
          <w:tcPr>
            <w:tcW w:w="1857" w:type="pct"/>
          </w:tcPr>
          <w:p w14:paraId="46CA7B16" w14:textId="77777777" w:rsidR="006D6536" w:rsidRPr="00ED4D49" w:rsidRDefault="006D6536" w:rsidP="00A405B0">
            <w:pPr>
              <w:spacing w:before="0" w:after="0"/>
              <w:ind w:left="144" w:right="144"/>
              <w:rPr>
                <w:rFonts w:cs="Calibri"/>
                <w:sz w:val="16"/>
                <w:szCs w:val="16"/>
                <w:lang w:val="en-US"/>
              </w:rPr>
            </w:pPr>
            <w:r w:rsidRPr="00ED4D49">
              <w:rPr>
                <w:rFonts w:cs="Calibri"/>
                <w:sz w:val="16"/>
                <w:szCs w:val="16"/>
                <w:lang w:val="en-US"/>
              </w:rPr>
              <w:t>Ministry of Economy</w:t>
            </w:r>
          </w:p>
        </w:tc>
        <w:tc>
          <w:tcPr>
            <w:tcW w:w="2013" w:type="pct"/>
            <w:shd w:val="clear" w:color="auto" w:fill="auto"/>
          </w:tcPr>
          <w:p w14:paraId="60E0D68E" w14:textId="77777777" w:rsidR="006D6536" w:rsidRPr="00ED4D49" w:rsidRDefault="006D6536" w:rsidP="00A405B0">
            <w:pPr>
              <w:spacing w:before="0" w:after="0"/>
              <w:ind w:left="144" w:right="144"/>
              <w:rPr>
                <w:rFonts w:cs="Calibri"/>
                <w:sz w:val="16"/>
                <w:szCs w:val="16"/>
                <w:lang w:val="en-US"/>
              </w:rPr>
            </w:pPr>
            <w:r w:rsidRPr="00ED4D49">
              <w:rPr>
                <w:rFonts w:cs="Calibri"/>
                <w:sz w:val="16"/>
                <w:szCs w:val="16"/>
                <w:lang w:val="en-US"/>
              </w:rPr>
              <w:t>Ministry of Urbanism, Spatial Panning and Environmental Protection</w:t>
            </w:r>
          </w:p>
        </w:tc>
      </w:tr>
      <w:tr w:rsidR="006D6536" w:rsidRPr="00ED4D49" w14:paraId="68C36D0B" w14:textId="77777777" w:rsidTr="003162D3">
        <w:tc>
          <w:tcPr>
            <w:tcW w:w="1130" w:type="pct"/>
            <w:shd w:val="clear" w:color="auto" w:fill="auto"/>
          </w:tcPr>
          <w:p w14:paraId="3FBB6C99" w14:textId="77777777" w:rsidR="006D6536" w:rsidRPr="00ED4D49" w:rsidRDefault="006D6536" w:rsidP="00A405B0">
            <w:pPr>
              <w:spacing w:before="0" w:after="0"/>
              <w:ind w:left="144" w:right="144"/>
              <w:rPr>
                <w:rFonts w:cs="Calibri"/>
                <w:sz w:val="16"/>
                <w:szCs w:val="16"/>
                <w:lang w:val="en-US"/>
              </w:rPr>
            </w:pPr>
            <w:r w:rsidRPr="00ED4D49">
              <w:rPr>
                <w:rFonts w:cs="Calibri"/>
                <w:sz w:val="16"/>
                <w:szCs w:val="16"/>
                <w:lang w:val="en-US"/>
              </w:rPr>
              <w:t xml:space="preserve">Central Bosnia Canton </w:t>
            </w:r>
          </w:p>
        </w:tc>
        <w:tc>
          <w:tcPr>
            <w:tcW w:w="1857" w:type="pct"/>
          </w:tcPr>
          <w:p w14:paraId="1442006D" w14:textId="7743704E" w:rsidR="006D6536" w:rsidRPr="00ED4D49" w:rsidRDefault="006D6536" w:rsidP="00A405B0">
            <w:pPr>
              <w:spacing w:before="0" w:after="0"/>
              <w:ind w:left="144" w:right="144"/>
              <w:rPr>
                <w:rFonts w:cs="Calibri"/>
                <w:sz w:val="16"/>
                <w:szCs w:val="16"/>
                <w:lang w:val="en-US"/>
              </w:rPr>
            </w:pPr>
            <w:r w:rsidRPr="00ED4D49">
              <w:rPr>
                <w:rFonts w:cs="Calibri"/>
                <w:sz w:val="16"/>
                <w:szCs w:val="16"/>
                <w:lang w:val="en-US"/>
              </w:rPr>
              <w:t xml:space="preserve">Ministry of Agriculture, Water Management and Forestry </w:t>
            </w:r>
          </w:p>
        </w:tc>
        <w:tc>
          <w:tcPr>
            <w:tcW w:w="2013" w:type="pct"/>
            <w:shd w:val="clear" w:color="auto" w:fill="auto"/>
          </w:tcPr>
          <w:p w14:paraId="43171D14" w14:textId="1783C66C" w:rsidR="006D6536" w:rsidRPr="00ED4D49" w:rsidRDefault="006D6536" w:rsidP="00A405B0">
            <w:pPr>
              <w:spacing w:before="0" w:after="0"/>
              <w:ind w:left="144" w:right="144"/>
              <w:rPr>
                <w:rFonts w:cs="Calibri"/>
                <w:sz w:val="16"/>
                <w:szCs w:val="16"/>
                <w:lang w:val="en-US"/>
              </w:rPr>
            </w:pPr>
            <w:r w:rsidRPr="00ED4D49">
              <w:rPr>
                <w:rFonts w:cs="Calibri"/>
                <w:sz w:val="16"/>
                <w:szCs w:val="16"/>
                <w:lang w:val="en-US"/>
              </w:rPr>
              <w:t>Ministry of Spatial Planning, Construction, Environmental Protection, Return and Housing Affairs</w:t>
            </w:r>
          </w:p>
        </w:tc>
      </w:tr>
    </w:tbl>
    <w:p w14:paraId="0FE5C0E6" w14:textId="7720949E" w:rsidR="003162D3" w:rsidRPr="00ED4D49" w:rsidRDefault="003162D3" w:rsidP="00947653">
      <w:pPr>
        <w:rPr>
          <w:rFonts w:cs="Calibri"/>
          <w:sz w:val="16"/>
          <w:szCs w:val="16"/>
          <w:lang w:val="en-US"/>
        </w:rPr>
      </w:pPr>
      <w:r w:rsidRPr="00ED4D49">
        <w:rPr>
          <w:rFonts w:cs="Calibri"/>
          <w:sz w:val="16"/>
          <w:szCs w:val="16"/>
          <w:lang w:val="en-US"/>
        </w:rPr>
        <w:t>*In the Sava River Basin</w:t>
      </w:r>
    </w:p>
    <w:p w14:paraId="64C99A5D" w14:textId="31870A9E" w:rsidR="00947653" w:rsidRPr="00ED4D49" w:rsidRDefault="003162D3" w:rsidP="00947653">
      <w:pPr>
        <w:rPr>
          <w:rFonts w:cs="Calibri"/>
          <w:sz w:val="16"/>
          <w:szCs w:val="16"/>
          <w:lang w:val="en-US"/>
        </w:rPr>
      </w:pPr>
      <w:r w:rsidRPr="00ED4D49">
        <w:rPr>
          <w:rFonts w:cs="Calibri"/>
          <w:sz w:val="16"/>
          <w:szCs w:val="16"/>
          <w:lang w:val="en-US"/>
        </w:rPr>
        <w:t>**In the Drina River Basin</w:t>
      </w:r>
    </w:p>
    <w:p w14:paraId="722B1DB1" w14:textId="77777777" w:rsidR="00E32A35" w:rsidRPr="00ED4D49" w:rsidRDefault="00E32A35" w:rsidP="00947653">
      <w:pPr>
        <w:rPr>
          <w:bCs/>
          <w:lang w:val="en-US" w:eastAsia="x-none"/>
        </w:rPr>
        <w:sectPr w:rsidR="00E32A35" w:rsidRPr="00ED4D49" w:rsidSect="00F57E67">
          <w:headerReference w:type="default" r:id="rId46"/>
          <w:headerReference w:type="first" r:id="rId47"/>
          <w:pgSz w:w="11900" w:h="16840"/>
          <w:pgMar w:top="1440" w:right="1440" w:bottom="1440" w:left="1440" w:header="720" w:footer="720" w:gutter="0"/>
          <w:cols w:space="720"/>
          <w:titlePg/>
          <w:docGrid w:linePitch="360"/>
        </w:sectPr>
      </w:pPr>
    </w:p>
    <w:p w14:paraId="6B14050F" w14:textId="7AD16781" w:rsidR="00E32A35" w:rsidRPr="00ED4D49" w:rsidRDefault="00E32A35" w:rsidP="00530056">
      <w:pPr>
        <w:pStyle w:val="Heading2"/>
        <w:numPr>
          <w:ilvl w:val="0"/>
          <w:numId w:val="30"/>
        </w:numPr>
        <w:ind w:left="426" w:hanging="426"/>
      </w:pPr>
      <w:bookmarkStart w:id="285" w:name="_Toc22583825"/>
      <w:bookmarkStart w:id="286" w:name="_Ref22310961"/>
      <w:bookmarkStart w:id="287" w:name="_Toc31811111"/>
      <w:bookmarkStart w:id="288" w:name="_Hlk172783422"/>
      <w:bookmarkEnd w:id="285"/>
      <w:r w:rsidRPr="00ED4D49">
        <w:lastRenderedPageBreak/>
        <w:t>Generic Environmental and Social Management Plan for the Project</w:t>
      </w:r>
      <w:bookmarkEnd w:id="286"/>
      <w:bookmarkEnd w:id="287"/>
    </w:p>
    <w:tbl>
      <w:tblPr>
        <w:tblStyle w:val="TableGridLight"/>
        <w:tblW w:w="14454" w:type="dxa"/>
        <w:tblLook w:val="04A0" w:firstRow="1" w:lastRow="0" w:firstColumn="1" w:lastColumn="0" w:noHBand="0" w:noVBand="1"/>
      </w:tblPr>
      <w:tblGrid>
        <w:gridCol w:w="1982"/>
        <w:gridCol w:w="2115"/>
        <w:gridCol w:w="2986"/>
        <w:gridCol w:w="3685"/>
        <w:gridCol w:w="3686"/>
      </w:tblGrid>
      <w:tr w:rsidR="00B62B42" w:rsidRPr="00ED4D49" w14:paraId="03F7194A" w14:textId="77777777" w:rsidTr="007F2484">
        <w:trPr>
          <w:tblHeader/>
        </w:trPr>
        <w:tc>
          <w:tcPr>
            <w:tcW w:w="1982" w:type="dxa"/>
          </w:tcPr>
          <w:bookmarkEnd w:id="270"/>
          <w:bookmarkEnd w:id="271"/>
          <w:bookmarkEnd w:id="272"/>
          <w:bookmarkEnd w:id="273"/>
          <w:bookmarkEnd w:id="274"/>
          <w:bookmarkEnd w:id="275"/>
          <w:bookmarkEnd w:id="276"/>
          <w:p w14:paraId="5438EEB9" w14:textId="77777777" w:rsidR="00B62B42" w:rsidRPr="00ED4D49" w:rsidRDefault="00B62B42" w:rsidP="00633607">
            <w:pPr>
              <w:spacing w:before="0" w:after="0"/>
              <w:ind w:left="144" w:right="144"/>
              <w:rPr>
                <w:rFonts w:cs="Calibri"/>
                <w:color w:val="336699"/>
                <w:sz w:val="18"/>
                <w:szCs w:val="18"/>
                <w:lang w:val="en-US"/>
              </w:rPr>
            </w:pPr>
            <w:r w:rsidRPr="00ED4D49">
              <w:rPr>
                <w:rFonts w:cs="Calibri"/>
                <w:color w:val="336699"/>
                <w:sz w:val="18"/>
                <w:szCs w:val="18"/>
                <w:lang w:val="en-US"/>
              </w:rPr>
              <w:t>Project</w:t>
            </w:r>
          </w:p>
          <w:p w14:paraId="272B0467" w14:textId="77777777" w:rsidR="00B62B42" w:rsidRPr="00ED4D49" w:rsidRDefault="00B62B42" w:rsidP="00633607">
            <w:pPr>
              <w:spacing w:before="0" w:after="0"/>
              <w:ind w:left="144" w:right="144"/>
              <w:rPr>
                <w:rFonts w:cs="Calibri"/>
                <w:color w:val="336699"/>
                <w:sz w:val="18"/>
                <w:szCs w:val="18"/>
                <w:lang w:val="en-US"/>
              </w:rPr>
            </w:pPr>
            <w:r w:rsidRPr="00ED4D49">
              <w:rPr>
                <w:rFonts w:cs="Calibri"/>
                <w:color w:val="336699"/>
                <w:sz w:val="18"/>
                <w:szCs w:val="18"/>
                <w:lang w:val="en-US"/>
              </w:rPr>
              <w:t>Phase /</w:t>
            </w:r>
          </w:p>
          <w:p w14:paraId="3854AB0D" w14:textId="77777777" w:rsidR="00B62B42" w:rsidRPr="00ED4D49" w:rsidRDefault="00B62B42" w:rsidP="00633607">
            <w:pPr>
              <w:spacing w:before="0" w:after="0"/>
              <w:ind w:left="144" w:right="144"/>
              <w:rPr>
                <w:rFonts w:cs="Calibri"/>
                <w:color w:val="336699"/>
                <w:sz w:val="18"/>
                <w:szCs w:val="18"/>
                <w:lang w:val="en-US"/>
              </w:rPr>
            </w:pPr>
            <w:r w:rsidRPr="00ED4D49">
              <w:rPr>
                <w:rFonts w:cs="Calibri"/>
                <w:color w:val="336699"/>
                <w:sz w:val="18"/>
                <w:szCs w:val="18"/>
                <w:lang w:val="en-US"/>
              </w:rPr>
              <w:t>Activities</w:t>
            </w:r>
          </w:p>
        </w:tc>
        <w:tc>
          <w:tcPr>
            <w:tcW w:w="2115" w:type="dxa"/>
          </w:tcPr>
          <w:p w14:paraId="2332DE14" w14:textId="77777777" w:rsidR="00B62B42" w:rsidRPr="00ED4D49" w:rsidRDefault="00B62B42" w:rsidP="00633607">
            <w:pPr>
              <w:spacing w:before="0" w:after="0"/>
              <w:ind w:left="144" w:right="144"/>
              <w:rPr>
                <w:rFonts w:cs="Calibri"/>
                <w:color w:val="336699"/>
                <w:sz w:val="18"/>
                <w:szCs w:val="18"/>
                <w:lang w:val="en-US"/>
              </w:rPr>
            </w:pPr>
            <w:r w:rsidRPr="00ED4D49">
              <w:rPr>
                <w:rFonts w:cs="Calibri"/>
                <w:color w:val="336699"/>
                <w:sz w:val="18"/>
                <w:szCs w:val="18"/>
                <w:lang w:val="en-US"/>
              </w:rPr>
              <w:t>Possible</w:t>
            </w:r>
          </w:p>
          <w:p w14:paraId="717E5C43" w14:textId="77777777" w:rsidR="00B62B42" w:rsidRPr="00ED4D49" w:rsidRDefault="00B62B42" w:rsidP="00633607">
            <w:pPr>
              <w:spacing w:before="0" w:after="0"/>
              <w:ind w:left="144" w:right="144"/>
              <w:rPr>
                <w:rFonts w:cs="Calibri"/>
                <w:color w:val="336699"/>
                <w:sz w:val="18"/>
                <w:szCs w:val="18"/>
                <w:lang w:val="en-US"/>
              </w:rPr>
            </w:pPr>
            <w:r w:rsidRPr="00ED4D49">
              <w:rPr>
                <w:rFonts w:cs="Calibri"/>
                <w:color w:val="336699"/>
                <w:sz w:val="18"/>
                <w:szCs w:val="18"/>
                <w:lang w:val="en-US"/>
              </w:rPr>
              <w:t>Environmental</w:t>
            </w:r>
          </w:p>
          <w:p w14:paraId="17A65C9F" w14:textId="77777777" w:rsidR="00B62B42" w:rsidRPr="00ED4D49" w:rsidRDefault="00B62B42" w:rsidP="00633607">
            <w:pPr>
              <w:spacing w:before="0" w:after="0"/>
              <w:ind w:left="144" w:right="144"/>
              <w:rPr>
                <w:rFonts w:cs="Calibri"/>
                <w:color w:val="336699"/>
                <w:sz w:val="18"/>
                <w:szCs w:val="18"/>
                <w:lang w:val="en-US"/>
              </w:rPr>
            </w:pPr>
            <w:r w:rsidRPr="00ED4D49">
              <w:rPr>
                <w:rFonts w:cs="Calibri"/>
                <w:color w:val="336699"/>
                <w:sz w:val="18"/>
                <w:szCs w:val="18"/>
                <w:lang w:val="en-US"/>
              </w:rPr>
              <w:t>Impacts</w:t>
            </w:r>
          </w:p>
        </w:tc>
        <w:tc>
          <w:tcPr>
            <w:tcW w:w="2986" w:type="dxa"/>
          </w:tcPr>
          <w:p w14:paraId="643BF0FD" w14:textId="77777777" w:rsidR="00B62B42" w:rsidRPr="00ED4D49" w:rsidRDefault="00B62B42" w:rsidP="00633607">
            <w:pPr>
              <w:spacing w:before="0" w:after="0"/>
              <w:ind w:left="144" w:right="144"/>
              <w:rPr>
                <w:rFonts w:cs="Calibri"/>
                <w:color w:val="336699"/>
                <w:sz w:val="18"/>
                <w:szCs w:val="18"/>
                <w:lang w:val="en-US"/>
              </w:rPr>
            </w:pPr>
            <w:r w:rsidRPr="00ED4D49">
              <w:rPr>
                <w:rFonts w:cs="Calibri"/>
                <w:color w:val="336699"/>
                <w:sz w:val="18"/>
                <w:szCs w:val="18"/>
                <w:lang w:val="en-US"/>
              </w:rPr>
              <w:t>Mitigating Measures</w:t>
            </w:r>
          </w:p>
        </w:tc>
        <w:tc>
          <w:tcPr>
            <w:tcW w:w="3685" w:type="dxa"/>
          </w:tcPr>
          <w:p w14:paraId="6A9900B6" w14:textId="77777777" w:rsidR="00B62B42" w:rsidRPr="00ED4D49" w:rsidRDefault="00B62B42" w:rsidP="00633607">
            <w:pPr>
              <w:spacing w:before="0" w:after="0"/>
              <w:ind w:left="144" w:right="144"/>
              <w:rPr>
                <w:rFonts w:cs="Calibri"/>
                <w:color w:val="336699"/>
                <w:sz w:val="18"/>
                <w:szCs w:val="18"/>
                <w:lang w:val="en-US"/>
              </w:rPr>
            </w:pPr>
            <w:r w:rsidRPr="00ED4D49">
              <w:rPr>
                <w:rFonts w:cs="Calibri"/>
                <w:color w:val="336699"/>
                <w:sz w:val="18"/>
                <w:szCs w:val="18"/>
                <w:lang w:val="en-US"/>
              </w:rPr>
              <w:t>Monitoring</w:t>
            </w:r>
          </w:p>
          <w:p w14:paraId="0ABD280D" w14:textId="77777777" w:rsidR="00B62B42" w:rsidRPr="00ED4D49" w:rsidRDefault="00B62B42" w:rsidP="00633607">
            <w:pPr>
              <w:spacing w:before="0" w:after="0"/>
              <w:ind w:left="144" w:right="144"/>
              <w:rPr>
                <w:rFonts w:cs="Calibri"/>
                <w:color w:val="336699"/>
                <w:sz w:val="18"/>
                <w:szCs w:val="18"/>
                <w:lang w:val="en-US"/>
              </w:rPr>
            </w:pPr>
            <w:r w:rsidRPr="00ED4D49">
              <w:rPr>
                <w:rFonts w:cs="Calibri"/>
                <w:color w:val="336699"/>
                <w:sz w:val="18"/>
                <w:szCs w:val="18"/>
                <w:lang w:val="en-US"/>
              </w:rPr>
              <w:t>parameters</w:t>
            </w:r>
          </w:p>
        </w:tc>
        <w:tc>
          <w:tcPr>
            <w:tcW w:w="3686" w:type="dxa"/>
          </w:tcPr>
          <w:p w14:paraId="15B63DB6" w14:textId="77777777" w:rsidR="00B62B42" w:rsidRPr="00ED4D49" w:rsidRDefault="00B62B42" w:rsidP="00633607">
            <w:pPr>
              <w:spacing w:before="0" w:after="0"/>
              <w:ind w:left="144" w:right="144"/>
              <w:rPr>
                <w:rFonts w:cs="Calibri"/>
                <w:color w:val="336699"/>
                <w:sz w:val="18"/>
                <w:szCs w:val="18"/>
                <w:lang w:val="en-US"/>
              </w:rPr>
            </w:pPr>
            <w:r w:rsidRPr="00ED4D49">
              <w:rPr>
                <w:rFonts w:cs="Calibri"/>
                <w:color w:val="336699"/>
                <w:sz w:val="18"/>
                <w:szCs w:val="18"/>
                <w:lang w:val="en-US"/>
              </w:rPr>
              <w:t>Responsible</w:t>
            </w:r>
          </w:p>
          <w:p w14:paraId="0B6A316F" w14:textId="77777777" w:rsidR="00B62B42" w:rsidRPr="00ED4D49" w:rsidRDefault="00B62B42" w:rsidP="00633607">
            <w:pPr>
              <w:spacing w:before="0" w:after="0"/>
              <w:ind w:left="144" w:right="144"/>
              <w:rPr>
                <w:rFonts w:cs="Calibri"/>
                <w:color w:val="336699"/>
                <w:sz w:val="18"/>
                <w:szCs w:val="18"/>
                <w:lang w:val="en-US"/>
              </w:rPr>
            </w:pPr>
            <w:r w:rsidRPr="00ED4D49">
              <w:rPr>
                <w:rFonts w:cs="Calibri"/>
                <w:color w:val="336699"/>
                <w:sz w:val="18"/>
                <w:szCs w:val="18"/>
                <w:lang w:val="en-US"/>
              </w:rPr>
              <w:t>Body</w:t>
            </w:r>
          </w:p>
        </w:tc>
      </w:tr>
      <w:tr w:rsidR="00B62B42" w:rsidRPr="00ED4D49" w14:paraId="2A94B0B8" w14:textId="77777777" w:rsidTr="00B62B42">
        <w:tc>
          <w:tcPr>
            <w:tcW w:w="14454" w:type="dxa"/>
            <w:gridSpan w:val="5"/>
          </w:tcPr>
          <w:p w14:paraId="3991D492" w14:textId="77777777" w:rsidR="00B62B42" w:rsidRPr="00ED4D49" w:rsidRDefault="00B62B42" w:rsidP="00633607">
            <w:pPr>
              <w:pStyle w:val="Default"/>
              <w:rPr>
                <w:rFonts w:ascii="Calibri" w:hAnsi="Calibri" w:cs="Calibri"/>
                <w:b/>
                <w:bCs/>
                <w:sz w:val="18"/>
                <w:szCs w:val="18"/>
              </w:rPr>
            </w:pPr>
            <w:r w:rsidRPr="00ED4D49">
              <w:rPr>
                <w:rFonts w:ascii="Calibri" w:hAnsi="Calibri" w:cs="Calibri"/>
                <w:b/>
                <w:bCs/>
                <w:sz w:val="18"/>
                <w:szCs w:val="18"/>
              </w:rPr>
              <w:t>Construction phase</w:t>
            </w:r>
          </w:p>
        </w:tc>
      </w:tr>
      <w:tr w:rsidR="009F15CE" w:rsidRPr="00ED4D49" w14:paraId="505087AC" w14:textId="77777777" w:rsidTr="00B62B42">
        <w:tc>
          <w:tcPr>
            <w:tcW w:w="1982" w:type="dxa"/>
            <w:vMerge w:val="restart"/>
          </w:tcPr>
          <w:p w14:paraId="3457A558" w14:textId="77777777" w:rsidR="009F15CE" w:rsidRPr="00ED4D49" w:rsidRDefault="009F15CE" w:rsidP="00633607">
            <w:pPr>
              <w:spacing w:before="0" w:after="0"/>
              <w:ind w:left="144" w:right="144"/>
              <w:rPr>
                <w:rFonts w:cs="Calibri"/>
                <w:b/>
                <w:bCs/>
                <w:color w:val="336699"/>
                <w:sz w:val="18"/>
                <w:szCs w:val="18"/>
                <w:lang w:val="en-US"/>
              </w:rPr>
            </w:pPr>
            <w:r w:rsidRPr="00ED4D49">
              <w:rPr>
                <w:rFonts w:cs="Calibri"/>
                <w:b/>
                <w:bCs/>
                <w:color w:val="336699"/>
                <w:sz w:val="18"/>
                <w:szCs w:val="18"/>
                <w:lang w:val="en-US"/>
              </w:rPr>
              <w:t xml:space="preserve">Mobilization/ Temporary facilities/ Construction/ </w:t>
            </w:r>
          </w:p>
          <w:p w14:paraId="254C47DB" w14:textId="216EE29C" w:rsidR="009F15CE" w:rsidRPr="00ED4D49" w:rsidRDefault="009F15CE" w:rsidP="00633607">
            <w:pPr>
              <w:spacing w:before="0" w:after="0"/>
              <w:ind w:left="144" w:right="144"/>
              <w:rPr>
                <w:rFonts w:cs="Calibri"/>
                <w:sz w:val="18"/>
                <w:szCs w:val="18"/>
                <w:lang w:val="en-US"/>
              </w:rPr>
            </w:pPr>
            <w:r w:rsidRPr="00ED4D49">
              <w:rPr>
                <w:rFonts w:cs="Calibri"/>
                <w:b/>
                <w:bCs/>
                <w:color w:val="336699"/>
                <w:sz w:val="18"/>
                <w:szCs w:val="18"/>
                <w:lang w:val="en-US"/>
              </w:rPr>
              <w:t>De-mobilization</w:t>
            </w:r>
          </w:p>
        </w:tc>
        <w:tc>
          <w:tcPr>
            <w:tcW w:w="12472" w:type="dxa"/>
            <w:gridSpan w:val="4"/>
          </w:tcPr>
          <w:p w14:paraId="7A6D5B32" w14:textId="77777777" w:rsidR="009F15CE" w:rsidRPr="00ED4D49" w:rsidRDefault="009F15CE" w:rsidP="00633607">
            <w:pPr>
              <w:pStyle w:val="Default"/>
              <w:rPr>
                <w:rFonts w:ascii="Calibri" w:hAnsi="Calibri" w:cs="Calibri"/>
                <w:b/>
                <w:bCs/>
                <w:sz w:val="18"/>
                <w:szCs w:val="18"/>
              </w:rPr>
            </w:pPr>
            <w:r w:rsidRPr="00ED4D49">
              <w:rPr>
                <w:rFonts w:ascii="Calibri" w:hAnsi="Calibri" w:cs="Calibri"/>
                <w:b/>
                <w:bCs/>
                <w:sz w:val="18"/>
                <w:szCs w:val="18"/>
              </w:rPr>
              <w:t>General Site Conditions and Safety Notifications</w:t>
            </w:r>
          </w:p>
        </w:tc>
      </w:tr>
      <w:tr w:rsidR="009F15CE" w:rsidRPr="00ED4D49" w14:paraId="064027E4" w14:textId="77777777" w:rsidTr="00B62B42">
        <w:tc>
          <w:tcPr>
            <w:tcW w:w="1982" w:type="dxa"/>
            <w:vMerge/>
          </w:tcPr>
          <w:p w14:paraId="3C71AAB9" w14:textId="1094B7B0" w:rsidR="009F15CE" w:rsidRPr="00ED4D49" w:rsidRDefault="009F15CE" w:rsidP="00633607">
            <w:pPr>
              <w:spacing w:before="0" w:after="0"/>
              <w:ind w:left="144" w:right="144"/>
              <w:rPr>
                <w:rFonts w:cs="Calibri"/>
                <w:sz w:val="18"/>
                <w:szCs w:val="18"/>
                <w:lang w:val="en-US"/>
              </w:rPr>
            </w:pPr>
          </w:p>
        </w:tc>
        <w:tc>
          <w:tcPr>
            <w:tcW w:w="2115" w:type="dxa"/>
          </w:tcPr>
          <w:p w14:paraId="364A08EB" w14:textId="722B99BC" w:rsidR="009F15CE" w:rsidRPr="00ED4D49" w:rsidRDefault="009F15CE" w:rsidP="00530056">
            <w:pPr>
              <w:pStyle w:val="ListParagraph"/>
              <w:numPr>
                <w:ilvl w:val="0"/>
                <w:numId w:val="27"/>
              </w:numPr>
              <w:autoSpaceDE w:val="0"/>
              <w:autoSpaceDN w:val="0"/>
              <w:adjustRightInd w:val="0"/>
              <w:spacing w:before="0" w:after="0" w:line="240" w:lineRule="auto"/>
              <w:ind w:left="204" w:hanging="124"/>
              <w:rPr>
                <w:rFonts w:cs="Calibri"/>
                <w:sz w:val="18"/>
                <w:szCs w:val="18"/>
              </w:rPr>
            </w:pPr>
            <w:r w:rsidRPr="00ED4D49">
              <w:rPr>
                <w:rFonts w:cs="Calibri"/>
                <w:kern w:val="24"/>
                <w:sz w:val="18"/>
                <w:szCs w:val="18"/>
              </w:rPr>
              <w:t xml:space="preserve">Notification of </w:t>
            </w:r>
            <w:r w:rsidRPr="00ED4D49">
              <w:rPr>
                <w:rFonts w:cs="Calibri"/>
                <w:sz w:val="18"/>
                <w:szCs w:val="18"/>
              </w:rPr>
              <w:t>public and Overall Site Safety</w:t>
            </w:r>
          </w:p>
        </w:tc>
        <w:tc>
          <w:tcPr>
            <w:tcW w:w="2986" w:type="dxa"/>
          </w:tcPr>
          <w:p w14:paraId="5144EAAC" w14:textId="77777777" w:rsidR="009F15CE" w:rsidRPr="00ED4D49" w:rsidRDefault="009F15CE" w:rsidP="00530056">
            <w:pPr>
              <w:pStyle w:val="ListParagraph"/>
              <w:numPr>
                <w:ilvl w:val="0"/>
                <w:numId w:val="27"/>
              </w:numPr>
              <w:autoSpaceDE w:val="0"/>
              <w:autoSpaceDN w:val="0"/>
              <w:adjustRightInd w:val="0"/>
              <w:spacing w:before="0" w:after="0" w:line="240" w:lineRule="auto"/>
              <w:ind w:left="130" w:hanging="136"/>
              <w:rPr>
                <w:rFonts w:cs="Calibri"/>
                <w:kern w:val="24"/>
                <w:sz w:val="18"/>
                <w:szCs w:val="18"/>
              </w:rPr>
            </w:pPr>
            <w:r w:rsidRPr="00ED4D49">
              <w:rPr>
                <w:rFonts w:cs="Calibri"/>
                <w:kern w:val="24"/>
                <w:sz w:val="18"/>
                <w:szCs w:val="18"/>
              </w:rPr>
              <w:t>The local construction and environment inspectorates and</w:t>
            </w:r>
          </w:p>
          <w:p w14:paraId="5BEBB760" w14:textId="77777777" w:rsidR="009F15CE" w:rsidRPr="00ED4D49" w:rsidRDefault="009F15CE" w:rsidP="00530056">
            <w:pPr>
              <w:pStyle w:val="ListParagraph"/>
              <w:numPr>
                <w:ilvl w:val="0"/>
                <w:numId w:val="27"/>
              </w:numPr>
              <w:autoSpaceDE w:val="0"/>
              <w:autoSpaceDN w:val="0"/>
              <w:adjustRightInd w:val="0"/>
              <w:spacing w:before="0" w:after="0" w:line="240" w:lineRule="auto"/>
              <w:ind w:left="130" w:hanging="136"/>
              <w:rPr>
                <w:rFonts w:cs="Calibri"/>
                <w:kern w:val="24"/>
                <w:sz w:val="18"/>
                <w:szCs w:val="18"/>
              </w:rPr>
            </w:pPr>
            <w:r w:rsidRPr="00ED4D49">
              <w:rPr>
                <w:rFonts w:cs="Calibri"/>
                <w:kern w:val="24"/>
                <w:sz w:val="18"/>
                <w:szCs w:val="18"/>
              </w:rPr>
              <w:t>communities have been notified of upcoming activities</w:t>
            </w:r>
          </w:p>
          <w:p w14:paraId="3EE58252" w14:textId="1A519DE9" w:rsidR="009F15CE" w:rsidRPr="00A42D15" w:rsidRDefault="009F15CE" w:rsidP="00CC4973">
            <w:pPr>
              <w:pStyle w:val="ListParagraph"/>
              <w:numPr>
                <w:ilvl w:val="0"/>
                <w:numId w:val="27"/>
              </w:numPr>
              <w:autoSpaceDE w:val="0"/>
              <w:autoSpaceDN w:val="0"/>
              <w:adjustRightInd w:val="0"/>
              <w:spacing w:before="0" w:after="0" w:line="240" w:lineRule="auto"/>
              <w:ind w:left="130" w:hanging="136"/>
              <w:rPr>
                <w:rFonts w:cs="Calibri"/>
                <w:kern w:val="24"/>
                <w:sz w:val="18"/>
                <w:szCs w:val="18"/>
              </w:rPr>
            </w:pPr>
            <w:r w:rsidRPr="00A42D15">
              <w:rPr>
                <w:rFonts w:cs="Calibri"/>
                <w:kern w:val="24"/>
                <w:sz w:val="18"/>
                <w:szCs w:val="18"/>
              </w:rPr>
              <w:t>The public has been notified of the works through appropriate</w:t>
            </w:r>
            <w:r w:rsidR="00A42D15">
              <w:rPr>
                <w:rFonts w:cs="Calibri"/>
                <w:kern w:val="24"/>
                <w:sz w:val="18"/>
                <w:szCs w:val="18"/>
              </w:rPr>
              <w:t xml:space="preserve"> </w:t>
            </w:r>
            <w:r w:rsidRPr="00A42D15">
              <w:rPr>
                <w:rFonts w:cs="Calibri"/>
                <w:kern w:val="24"/>
                <w:sz w:val="18"/>
                <w:szCs w:val="18"/>
              </w:rPr>
              <w:t>notification in the media and/or at publicly accessible sites (including the site of the works)</w:t>
            </w:r>
          </w:p>
          <w:p w14:paraId="05C5485A" w14:textId="77777777" w:rsidR="009F15CE" w:rsidRPr="00ED4D49" w:rsidRDefault="009F15CE" w:rsidP="00530056">
            <w:pPr>
              <w:pStyle w:val="ListParagraph"/>
              <w:numPr>
                <w:ilvl w:val="0"/>
                <w:numId w:val="27"/>
              </w:numPr>
              <w:autoSpaceDE w:val="0"/>
              <w:autoSpaceDN w:val="0"/>
              <w:adjustRightInd w:val="0"/>
              <w:spacing w:before="0" w:after="0" w:line="240" w:lineRule="auto"/>
              <w:ind w:left="130" w:hanging="136"/>
              <w:rPr>
                <w:rFonts w:cs="Calibri"/>
                <w:kern w:val="24"/>
                <w:sz w:val="18"/>
                <w:szCs w:val="18"/>
              </w:rPr>
            </w:pPr>
            <w:r w:rsidRPr="00ED4D49">
              <w:rPr>
                <w:rFonts w:cs="Calibri"/>
                <w:kern w:val="24"/>
                <w:sz w:val="18"/>
                <w:szCs w:val="18"/>
              </w:rPr>
              <w:t>All legally required permits have been acquired for construction and/or rehabilitation</w:t>
            </w:r>
          </w:p>
          <w:p w14:paraId="3DEC7456" w14:textId="5639CE53" w:rsidR="009F15CE" w:rsidRPr="00ED4D49" w:rsidRDefault="009F15CE" w:rsidP="00530056">
            <w:pPr>
              <w:pStyle w:val="ListParagraph"/>
              <w:numPr>
                <w:ilvl w:val="0"/>
                <w:numId w:val="27"/>
              </w:numPr>
              <w:autoSpaceDE w:val="0"/>
              <w:autoSpaceDN w:val="0"/>
              <w:adjustRightInd w:val="0"/>
              <w:spacing w:before="0" w:after="0" w:line="240" w:lineRule="auto"/>
              <w:ind w:left="130" w:hanging="136"/>
              <w:rPr>
                <w:rFonts w:cs="Calibri"/>
                <w:kern w:val="24"/>
                <w:sz w:val="18"/>
                <w:szCs w:val="18"/>
              </w:rPr>
            </w:pPr>
            <w:r w:rsidRPr="00ED4D49">
              <w:rPr>
                <w:rFonts w:cs="Calibri"/>
                <w:kern w:val="24"/>
                <w:sz w:val="18"/>
                <w:szCs w:val="18"/>
              </w:rPr>
              <w:t>The Contractor formally agrees that all work will be carried out in a safe and disciplined manner designed to minimize impacts on neighboring residents and environment.</w:t>
            </w:r>
          </w:p>
          <w:p w14:paraId="3337DE3C" w14:textId="77777777" w:rsidR="009F15CE" w:rsidRPr="00ED4D49" w:rsidRDefault="009F15CE" w:rsidP="00530056">
            <w:pPr>
              <w:pStyle w:val="ListParagraph"/>
              <w:numPr>
                <w:ilvl w:val="0"/>
                <w:numId w:val="27"/>
              </w:numPr>
              <w:autoSpaceDE w:val="0"/>
              <w:autoSpaceDN w:val="0"/>
              <w:adjustRightInd w:val="0"/>
              <w:spacing w:before="0" w:after="0" w:line="240" w:lineRule="auto"/>
              <w:ind w:left="136" w:hanging="136"/>
              <w:rPr>
                <w:rFonts w:cs="Calibri"/>
                <w:kern w:val="24"/>
                <w:sz w:val="18"/>
                <w:szCs w:val="18"/>
              </w:rPr>
            </w:pPr>
            <w:r w:rsidRPr="00ED4D49">
              <w:rPr>
                <w:rFonts w:cs="Calibri"/>
                <w:kern w:val="24"/>
                <w:sz w:val="18"/>
                <w:szCs w:val="18"/>
              </w:rPr>
              <w:t>Workers’ personnel protective equipment (PPE) will comply with international good practice (always hardhats, as needed masks and safety glasses, harnesses and safety boots)</w:t>
            </w:r>
          </w:p>
          <w:p w14:paraId="01557938" w14:textId="77777777" w:rsidR="009F15CE" w:rsidRPr="00ED4D49" w:rsidRDefault="009F15CE" w:rsidP="00530056">
            <w:pPr>
              <w:pStyle w:val="ListParagraph"/>
              <w:numPr>
                <w:ilvl w:val="0"/>
                <w:numId w:val="27"/>
              </w:numPr>
              <w:autoSpaceDE w:val="0"/>
              <w:autoSpaceDN w:val="0"/>
              <w:adjustRightInd w:val="0"/>
              <w:spacing w:before="0" w:after="0" w:line="240" w:lineRule="auto"/>
              <w:ind w:left="136" w:hanging="136"/>
              <w:rPr>
                <w:rFonts w:cs="Calibri"/>
                <w:kern w:val="24"/>
                <w:sz w:val="18"/>
                <w:szCs w:val="18"/>
              </w:rPr>
            </w:pPr>
            <w:r w:rsidRPr="00ED4D49">
              <w:rPr>
                <w:rFonts w:cs="Calibri"/>
                <w:kern w:val="24"/>
                <w:sz w:val="18"/>
                <w:szCs w:val="18"/>
              </w:rPr>
              <w:t>Appropriate signposting of the sites will inform workers of key rules and regulations to follow and emergency contact numbers</w:t>
            </w:r>
          </w:p>
          <w:p w14:paraId="47180F84" w14:textId="77777777" w:rsidR="009F15CE" w:rsidRPr="00ED4D49" w:rsidRDefault="009F15CE" w:rsidP="00530056">
            <w:pPr>
              <w:pStyle w:val="ListParagraph"/>
              <w:numPr>
                <w:ilvl w:val="0"/>
                <w:numId w:val="27"/>
              </w:numPr>
              <w:autoSpaceDE w:val="0"/>
              <w:autoSpaceDN w:val="0"/>
              <w:adjustRightInd w:val="0"/>
              <w:spacing w:before="0" w:after="0" w:line="240" w:lineRule="auto"/>
              <w:ind w:left="136" w:hanging="136"/>
              <w:rPr>
                <w:rFonts w:cs="Calibri"/>
                <w:kern w:val="24"/>
                <w:sz w:val="18"/>
                <w:szCs w:val="18"/>
              </w:rPr>
            </w:pPr>
            <w:r w:rsidRPr="00ED4D49">
              <w:rPr>
                <w:rFonts w:cs="Calibri"/>
                <w:kern w:val="24"/>
                <w:sz w:val="18"/>
                <w:szCs w:val="18"/>
              </w:rPr>
              <w:t>Provide on-site medical services and supplies for any emergency, through institutional and administrative arrangements with the local health unit</w:t>
            </w:r>
          </w:p>
          <w:p w14:paraId="0118214F" w14:textId="77777777" w:rsidR="009F15CE" w:rsidRPr="00ED4D49" w:rsidRDefault="009F15CE" w:rsidP="00530056">
            <w:pPr>
              <w:pStyle w:val="ListParagraph"/>
              <w:numPr>
                <w:ilvl w:val="0"/>
                <w:numId w:val="27"/>
              </w:numPr>
              <w:autoSpaceDE w:val="0"/>
              <w:autoSpaceDN w:val="0"/>
              <w:adjustRightInd w:val="0"/>
              <w:spacing w:before="0" w:after="0" w:line="240" w:lineRule="auto"/>
              <w:ind w:left="136" w:hanging="136"/>
              <w:rPr>
                <w:rFonts w:cs="Calibri"/>
                <w:kern w:val="24"/>
                <w:sz w:val="18"/>
                <w:szCs w:val="18"/>
              </w:rPr>
            </w:pPr>
            <w:r w:rsidRPr="00ED4D49">
              <w:rPr>
                <w:rFonts w:cs="Calibri"/>
                <w:kern w:val="24"/>
                <w:sz w:val="18"/>
                <w:szCs w:val="18"/>
              </w:rPr>
              <w:lastRenderedPageBreak/>
              <w:t>Provide portable water &amp; sanitary facilities for construction workers</w:t>
            </w:r>
          </w:p>
        </w:tc>
        <w:tc>
          <w:tcPr>
            <w:tcW w:w="3685" w:type="dxa"/>
          </w:tcPr>
          <w:p w14:paraId="15C2974A" w14:textId="77777777" w:rsidR="009F15CE" w:rsidRPr="00ED4D49" w:rsidRDefault="009F15CE" w:rsidP="00530056">
            <w:pPr>
              <w:pStyle w:val="ListParagraph"/>
              <w:numPr>
                <w:ilvl w:val="0"/>
                <w:numId w:val="27"/>
              </w:numPr>
              <w:autoSpaceDE w:val="0"/>
              <w:autoSpaceDN w:val="0"/>
              <w:adjustRightInd w:val="0"/>
              <w:spacing w:before="0" w:after="0" w:line="240" w:lineRule="auto"/>
              <w:ind w:left="136" w:hanging="136"/>
              <w:rPr>
                <w:rFonts w:cs="Calibri"/>
                <w:kern w:val="24"/>
                <w:sz w:val="18"/>
                <w:szCs w:val="18"/>
              </w:rPr>
            </w:pPr>
            <w:r w:rsidRPr="00ED4D49">
              <w:rPr>
                <w:rFonts w:cs="Calibri"/>
                <w:kern w:val="24"/>
                <w:sz w:val="18"/>
                <w:szCs w:val="18"/>
              </w:rPr>
              <w:lastRenderedPageBreak/>
              <w:t>Keep written proof of notifications, local permits, and/or media announcement, clippings</w:t>
            </w:r>
          </w:p>
          <w:p w14:paraId="65329F37" w14:textId="77777777" w:rsidR="009F15CE" w:rsidRPr="00ED4D49" w:rsidRDefault="009F15CE" w:rsidP="00530056">
            <w:pPr>
              <w:pStyle w:val="ListParagraph"/>
              <w:numPr>
                <w:ilvl w:val="0"/>
                <w:numId w:val="27"/>
              </w:numPr>
              <w:autoSpaceDE w:val="0"/>
              <w:autoSpaceDN w:val="0"/>
              <w:adjustRightInd w:val="0"/>
              <w:spacing w:before="0" w:after="0" w:line="240" w:lineRule="auto"/>
              <w:ind w:left="136" w:hanging="136"/>
              <w:rPr>
                <w:rFonts w:cs="Calibri"/>
                <w:kern w:val="24"/>
                <w:sz w:val="18"/>
                <w:szCs w:val="18"/>
              </w:rPr>
            </w:pPr>
            <w:r w:rsidRPr="00ED4D49">
              <w:rPr>
                <w:rFonts w:cs="Calibri"/>
                <w:kern w:val="24"/>
                <w:sz w:val="18"/>
                <w:szCs w:val="18"/>
              </w:rPr>
              <w:t>Supervisor to ensure use of PPE</w:t>
            </w:r>
          </w:p>
          <w:p w14:paraId="6212E233" w14:textId="77777777" w:rsidR="009F15CE" w:rsidRPr="00ED4D49" w:rsidRDefault="009F15CE" w:rsidP="00530056">
            <w:pPr>
              <w:pStyle w:val="ListParagraph"/>
              <w:numPr>
                <w:ilvl w:val="0"/>
                <w:numId w:val="27"/>
              </w:numPr>
              <w:autoSpaceDE w:val="0"/>
              <w:autoSpaceDN w:val="0"/>
              <w:adjustRightInd w:val="0"/>
              <w:spacing w:before="0" w:after="0" w:line="240" w:lineRule="auto"/>
              <w:ind w:left="136" w:hanging="136"/>
              <w:rPr>
                <w:rFonts w:cs="Calibri"/>
                <w:kern w:val="24"/>
                <w:sz w:val="18"/>
                <w:szCs w:val="18"/>
              </w:rPr>
            </w:pPr>
            <w:r w:rsidRPr="00ED4D49">
              <w:rPr>
                <w:rFonts w:cs="Calibri"/>
                <w:kern w:val="24"/>
                <w:sz w:val="18"/>
                <w:szCs w:val="18"/>
              </w:rPr>
              <w:t>Supervisor to visually inspect adequate signage</w:t>
            </w:r>
          </w:p>
        </w:tc>
        <w:tc>
          <w:tcPr>
            <w:tcW w:w="3686" w:type="dxa"/>
          </w:tcPr>
          <w:p w14:paraId="097C9F30" w14:textId="77777777" w:rsidR="009F15CE" w:rsidRPr="00ED4D49" w:rsidRDefault="009F15CE" w:rsidP="00530056">
            <w:pPr>
              <w:pStyle w:val="ListParagraph"/>
              <w:numPr>
                <w:ilvl w:val="0"/>
                <w:numId w:val="27"/>
              </w:numPr>
              <w:autoSpaceDE w:val="0"/>
              <w:autoSpaceDN w:val="0"/>
              <w:adjustRightInd w:val="0"/>
              <w:spacing w:before="0" w:after="180" w:line="264" w:lineRule="auto"/>
              <w:ind w:left="124" w:hanging="124"/>
              <w:rPr>
                <w:rFonts w:cs="Calibri"/>
                <w:kern w:val="24"/>
                <w:sz w:val="18"/>
                <w:szCs w:val="18"/>
              </w:rPr>
            </w:pPr>
            <w:r w:rsidRPr="00ED4D49">
              <w:rPr>
                <w:rFonts w:cs="Calibri"/>
                <w:kern w:val="24"/>
                <w:sz w:val="18"/>
                <w:szCs w:val="18"/>
              </w:rPr>
              <w:t>Site supervisor</w:t>
            </w:r>
          </w:p>
          <w:p w14:paraId="0CF3B40E" w14:textId="77777777" w:rsidR="009F15CE" w:rsidRPr="00ED4D49" w:rsidRDefault="009F15CE" w:rsidP="00530056">
            <w:pPr>
              <w:pStyle w:val="ListParagraph"/>
              <w:numPr>
                <w:ilvl w:val="0"/>
                <w:numId w:val="27"/>
              </w:numPr>
              <w:autoSpaceDE w:val="0"/>
              <w:autoSpaceDN w:val="0"/>
              <w:adjustRightInd w:val="0"/>
              <w:spacing w:before="0" w:after="180" w:line="264" w:lineRule="auto"/>
              <w:ind w:left="124" w:hanging="124"/>
              <w:rPr>
                <w:rFonts w:cs="Calibri"/>
                <w:kern w:val="24"/>
                <w:sz w:val="18"/>
                <w:szCs w:val="18"/>
              </w:rPr>
            </w:pPr>
            <w:r w:rsidRPr="00ED4D49">
              <w:rPr>
                <w:rFonts w:cs="Calibri"/>
                <w:kern w:val="24"/>
                <w:sz w:val="18"/>
                <w:szCs w:val="18"/>
              </w:rPr>
              <w:t>PIU</w:t>
            </w:r>
          </w:p>
          <w:p w14:paraId="7C4F38BA" w14:textId="77777777" w:rsidR="009F15CE" w:rsidRPr="00ED4D49" w:rsidRDefault="009F15CE" w:rsidP="00530056">
            <w:pPr>
              <w:pStyle w:val="ListParagraph"/>
              <w:numPr>
                <w:ilvl w:val="0"/>
                <w:numId w:val="27"/>
              </w:numPr>
              <w:autoSpaceDE w:val="0"/>
              <w:autoSpaceDN w:val="0"/>
              <w:adjustRightInd w:val="0"/>
              <w:spacing w:before="0" w:after="180" w:line="264" w:lineRule="auto"/>
              <w:ind w:left="124" w:hanging="124"/>
              <w:rPr>
                <w:rFonts w:cs="Calibri"/>
                <w:kern w:val="24"/>
                <w:sz w:val="18"/>
                <w:szCs w:val="18"/>
              </w:rPr>
            </w:pPr>
            <w:r w:rsidRPr="00ED4D49">
              <w:rPr>
                <w:rFonts w:cs="Calibri"/>
                <w:kern w:val="24"/>
                <w:sz w:val="18"/>
                <w:szCs w:val="18"/>
              </w:rPr>
              <w:t>Contractor for execution of civil works</w:t>
            </w:r>
          </w:p>
        </w:tc>
      </w:tr>
      <w:tr w:rsidR="00885072" w:rsidRPr="00ED4D49" w14:paraId="56B71090" w14:textId="77777777" w:rsidTr="009E6567">
        <w:tc>
          <w:tcPr>
            <w:tcW w:w="1982" w:type="dxa"/>
            <w:vMerge w:val="restart"/>
          </w:tcPr>
          <w:p w14:paraId="0CF733B2" w14:textId="6C982A64" w:rsidR="00885072" w:rsidRPr="00ED4D49" w:rsidRDefault="00885072" w:rsidP="00633607">
            <w:pPr>
              <w:spacing w:before="0" w:after="0"/>
              <w:ind w:left="144" w:right="144"/>
              <w:rPr>
                <w:rFonts w:cs="Calibri"/>
                <w:sz w:val="18"/>
                <w:szCs w:val="18"/>
                <w:lang w:val="en-US"/>
              </w:rPr>
            </w:pPr>
            <w:r w:rsidRPr="00ED4D49">
              <w:rPr>
                <w:rFonts w:cs="Calibri"/>
                <w:b/>
                <w:bCs/>
                <w:color w:val="336699"/>
                <w:sz w:val="18"/>
                <w:szCs w:val="18"/>
                <w:lang w:val="en-US"/>
              </w:rPr>
              <w:t>Mobilization/ Temporary facilities/ Construction/De-mobilization</w:t>
            </w:r>
          </w:p>
        </w:tc>
        <w:tc>
          <w:tcPr>
            <w:tcW w:w="12472" w:type="dxa"/>
            <w:gridSpan w:val="4"/>
          </w:tcPr>
          <w:p w14:paraId="3F7DC338" w14:textId="21A6D33E" w:rsidR="00885072" w:rsidRPr="00ED4D49" w:rsidRDefault="00885072" w:rsidP="00885072">
            <w:pPr>
              <w:pStyle w:val="Default"/>
              <w:rPr>
                <w:rFonts w:cs="Calibri"/>
                <w:kern w:val="24"/>
                <w:sz w:val="18"/>
                <w:szCs w:val="18"/>
              </w:rPr>
            </w:pPr>
            <w:r w:rsidRPr="00ED4D49">
              <w:rPr>
                <w:rFonts w:ascii="Calibri" w:hAnsi="Calibri" w:cs="Calibri"/>
                <w:b/>
                <w:bCs/>
                <w:sz w:val="18"/>
                <w:szCs w:val="18"/>
              </w:rPr>
              <w:t>Material supply</w:t>
            </w:r>
          </w:p>
        </w:tc>
      </w:tr>
      <w:tr w:rsidR="00885072" w:rsidRPr="00ED4D49" w14:paraId="55102AC4" w14:textId="77777777" w:rsidTr="00B62B42">
        <w:tc>
          <w:tcPr>
            <w:tcW w:w="1982" w:type="dxa"/>
            <w:vMerge/>
          </w:tcPr>
          <w:p w14:paraId="7B6AE34E" w14:textId="77777777" w:rsidR="00885072" w:rsidRPr="00ED4D49" w:rsidRDefault="00885072" w:rsidP="00633607">
            <w:pPr>
              <w:spacing w:before="0" w:after="0"/>
              <w:ind w:left="144" w:right="144"/>
              <w:rPr>
                <w:rFonts w:cs="Calibri"/>
                <w:sz w:val="18"/>
                <w:szCs w:val="18"/>
                <w:lang w:val="en-US"/>
              </w:rPr>
            </w:pPr>
          </w:p>
        </w:tc>
        <w:tc>
          <w:tcPr>
            <w:tcW w:w="2115" w:type="dxa"/>
          </w:tcPr>
          <w:p w14:paraId="4E9F188D" w14:textId="75A9A031" w:rsidR="00885072" w:rsidRPr="00ED4D49" w:rsidRDefault="00885072" w:rsidP="00530056">
            <w:pPr>
              <w:pStyle w:val="ListParagraph"/>
              <w:numPr>
                <w:ilvl w:val="0"/>
                <w:numId w:val="27"/>
              </w:numPr>
              <w:autoSpaceDE w:val="0"/>
              <w:autoSpaceDN w:val="0"/>
              <w:adjustRightInd w:val="0"/>
              <w:spacing w:before="0" w:after="0" w:line="240" w:lineRule="auto"/>
              <w:ind w:left="204" w:hanging="124"/>
              <w:rPr>
                <w:rFonts w:cs="Calibri"/>
                <w:kern w:val="24"/>
                <w:sz w:val="18"/>
                <w:szCs w:val="18"/>
              </w:rPr>
            </w:pPr>
            <w:r w:rsidRPr="00ED4D49">
              <w:rPr>
                <w:rFonts w:cs="Calibri"/>
                <w:kern w:val="24"/>
                <w:sz w:val="18"/>
                <w:szCs w:val="18"/>
              </w:rPr>
              <w:t xml:space="preserve">Indirect impact on environment by purchasing material for unlicensed companies </w:t>
            </w:r>
          </w:p>
        </w:tc>
        <w:tc>
          <w:tcPr>
            <w:tcW w:w="2986" w:type="dxa"/>
          </w:tcPr>
          <w:p w14:paraId="487DC4BF" w14:textId="6B967347" w:rsidR="00885072" w:rsidRPr="00ED4D49" w:rsidRDefault="00885072" w:rsidP="00530056">
            <w:pPr>
              <w:pStyle w:val="ListParagraph"/>
              <w:numPr>
                <w:ilvl w:val="0"/>
                <w:numId w:val="27"/>
              </w:numPr>
              <w:autoSpaceDE w:val="0"/>
              <w:autoSpaceDN w:val="0"/>
              <w:adjustRightInd w:val="0"/>
              <w:spacing w:before="0" w:after="0" w:line="240" w:lineRule="auto"/>
              <w:ind w:left="130" w:hanging="136"/>
              <w:rPr>
                <w:rFonts w:cs="Calibri"/>
                <w:kern w:val="24"/>
                <w:sz w:val="18"/>
                <w:szCs w:val="18"/>
              </w:rPr>
            </w:pPr>
            <w:r w:rsidRPr="00ED4D49">
              <w:rPr>
                <w:rFonts w:cs="Calibri"/>
                <w:kern w:val="24"/>
                <w:sz w:val="18"/>
                <w:szCs w:val="18"/>
              </w:rPr>
              <w:t>Sourcing of materials from authorized and licensed sites</w:t>
            </w:r>
          </w:p>
        </w:tc>
        <w:tc>
          <w:tcPr>
            <w:tcW w:w="3685" w:type="dxa"/>
          </w:tcPr>
          <w:p w14:paraId="1BF19FF7" w14:textId="6929D18A" w:rsidR="00885072" w:rsidRPr="00ED4D49" w:rsidRDefault="00885072" w:rsidP="00530056">
            <w:pPr>
              <w:pStyle w:val="ListParagraph"/>
              <w:numPr>
                <w:ilvl w:val="0"/>
                <w:numId w:val="27"/>
              </w:numPr>
              <w:autoSpaceDE w:val="0"/>
              <w:autoSpaceDN w:val="0"/>
              <w:adjustRightInd w:val="0"/>
              <w:spacing w:before="0" w:after="0" w:line="240" w:lineRule="auto"/>
              <w:ind w:left="136" w:hanging="136"/>
              <w:rPr>
                <w:rFonts w:cs="Calibri"/>
                <w:kern w:val="24"/>
                <w:sz w:val="18"/>
                <w:szCs w:val="18"/>
              </w:rPr>
            </w:pPr>
            <w:r w:rsidRPr="00ED4D49">
              <w:rPr>
                <w:rFonts w:cs="Calibri"/>
                <w:kern w:val="24"/>
                <w:sz w:val="18"/>
                <w:szCs w:val="18"/>
              </w:rPr>
              <w:t>Insight in contracts with suppliers</w:t>
            </w:r>
          </w:p>
        </w:tc>
        <w:tc>
          <w:tcPr>
            <w:tcW w:w="3686" w:type="dxa"/>
          </w:tcPr>
          <w:p w14:paraId="271A7D6C" w14:textId="77777777" w:rsidR="00885072" w:rsidRPr="00ED4D49" w:rsidRDefault="00885072" w:rsidP="00530056">
            <w:pPr>
              <w:pStyle w:val="ListParagraph"/>
              <w:numPr>
                <w:ilvl w:val="0"/>
                <w:numId w:val="27"/>
              </w:numPr>
              <w:autoSpaceDE w:val="0"/>
              <w:autoSpaceDN w:val="0"/>
              <w:adjustRightInd w:val="0"/>
              <w:spacing w:before="0" w:after="180" w:line="264" w:lineRule="auto"/>
              <w:ind w:left="124" w:hanging="124"/>
              <w:rPr>
                <w:rFonts w:cs="Calibri"/>
                <w:kern w:val="24"/>
                <w:sz w:val="18"/>
                <w:szCs w:val="18"/>
              </w:rPr>
            </w:pPr>
            <w:r w:rsidRPr="00ED4D49">
              <w:rPr>
                <w:rFonts w:cs="Calibri"/>
                <w:kern w:val="24"/>
                <w:sz w:val="18"/>
                <w:szCs w:val="18"/>
              </w:rPr>
              <w:t>Site supervisor</w:t>
            </w:r>
          </w:p>
          <w:p w14:paraId="3E4A70A6" w14:textId="77777777" w:rsidR="00885072" w:rsidRPr="00ED4D49" w:rsidRDefault="00885072" w:rsidP="00530056">
            <w:pPr>
              <w:pStyle w:val="ListParagraph"/>
              <w:numPr>
                <w:ilvl w:val="0"/>
                <w:numId w:val="27"/>
              </w:numPr>
              <w:autoSpaceDE w:val="0"/>
              <w:autoSpaceDN w:val="0"/>
              <w:adjustRightInd w:val="0"/>
              <w:spacing w:before="0" w:after="180" w:line="264" w:lineRule="auto"/>
              <w:ind w:left="124" w:hanging="124"/>
              <w:rPr>
                <w:rFonts w:cs="Calibri"/>
                <w:kern w:val="24"/>
                <w:sz w:val="18"/>
                <w:szCs w:val="18"/>
              </w:rPr>
            </w:pPr>
            <w:r w:rsidRPr="00ED4D49">
              <w:rPr>
                <w:rFonts w:cs="Calibri"/>
                <w:kern w:val="24"/>
                <w:sz w:val="18"/>
                <w:szCs w:val="18"/>
              </w:rPr>
              <w:t>PIU</w:t>
            </w:r>
          </w:p>
          <w:p w14:paraId="1F9292A3" w14:textId="48D07708" w:rsidR="00885072" w:rsidRPr="00ED4D49" w:rsidRDefault="00885072" w:rsidP="00530056">
            <w:pPr>
              <w:pStyle w:val="ListParagraph"/>
              <w:numPr>
                <w:ilvl w:val="0"/>
                <w:numId w:val="27"/>
              </w:numPr>
              <w:autoSpaceDE w:val="0"/>
              <w:autoSpaceDN w:val="0"/>
              <w:adjustRightInd w:val="0"/>
              <w:spacing w:before="0" w:after="180" w:line="264" w:lineRule="auto"/>
              <w:ind w:left="124" w:hanging="124"/>
              <w:rPr>
                <w:rFonts w:cs="Calibri"/>
                <w:kern w:val="24"/>
                <w:sz w:val="18"/>
                <w:szCs w:val="18"/>
              </w:rPr>
            </w:pPr>
            <w:r w:rsidRPr="00ED4D49">
              <w:rPr>
                <w:rFonts w:cs="Calibri"/>
                <w:kern w:val="24"/>
                <w:sz w:val="18"/>
                <w:szCs w:val="18"/>
              </w:rPr>
              <w:t>Contractor for execution of civil works</w:t>
            </w:r>
          </w:p>
        </w:tc>
      </w:tr>
      <w:tr w:rsidR="00885072" w:rsidRPr="00ED4D49" w14:paraId="0757FC9F" w14:textId="77777777" w:rsidTr="00B62B42">
        <w:tc>
          <w:tcPr>
            <w:tcW w:w="1982" w:type="dxa"/>
            <w:vMerge/>
          </w:tcPr>
          <w:p w14:paraId="7020DB89" w14:textId="77777777" w:rsidR="00885072" w:rsidRPr="00ED4D49" w:rsidRDefault="00885072" w:rsidP="00633607">
            <w:pPr>
              <w:spacing w:before="0" w:after="0"/>
              <w:ind w:left="144" w:right="144"/>
              <w:rPr>
                <w:rFonts w:cs="Calibri"/>
                <w:sz w:val="18"/>
                <w:szCs w:val="18"/>
                <w:lang w:val="en-US"/>
              </w:rPr>
            </w:pPr>
          </w:p>
        </w:tc>
        <w:tc>
          <w:tcPr>
            <w:tcW w:w="2115" w:type="dxa"/>
          </w:tcPr>
          <w:p w14:paraId="37931194" w14:textId="78A901D1" w:rsidR="00885072" w:rsidRPr="00ED4D49" w:rsidRDefault="00885072" w:rsidP="00530056">
            <w:pPr>
              <w:pStyle w:val="ListParagraph"/>
              <w:numPr>
                <w:ilvl w:val="0"/>
                <w:numId w:val="27"/>
              </w:numPr>
              <w:autoSpaceDE w:val="0"/>
              <w:autoSpaceDN w:val="0"/>
              <w:adjustRightInd w:val="0"/>
              <w:spacing w:before="0" w:after="0" w:line="240" w:lineRule="auto"/>
              <w:ind w:left="204" w:hanging="124"/>
              <w:rPr>
                <w:rFonts w:cs="Calibri"/>
                <w:kern w:val="24"/>
                <w:sz w:val="18"/>
                <w:szCs w:val="18"/>
              </w:rPr>
            </w:pPr>
            <w:r w:rsidRPr="00ED4D49">
              <w:rPr>
                <w:rFonts w:cs="Calibri"/>
                <w:kern w:val="24"/>
                <w:sz w:val="18"/>
                <w:szCs w:val="18"/>
              </w:rPr>
              <w:t>Use of borrow pits for materials</w:t>
            </w:r>
          </w:p>
        </w:tc>
        <w:tc>
          <w:tcPr>
            <w:tcW w:w="2986" w:type="dxa"/>
          </w:tcPr>
          <w:p w14:paraId="20162984" w14:textId="607A87C0" w:rsidR="00885072" w:rsidRPr="00ED4D49" w:rsidRDefault="00885072" w:rsidP="00530056">
            <w:pPr>
              <w:pStyle w:val="ListParagraph"/>
              <w:numPr>
                <w:ilvl w:val="0"/>
                <w:numId w:val="27"/>
              </w:numPr>
              <w:autoSpaceDE w:val="0"/>
              <w:autoSpaceDN w:val="0"/>
              <w:adjustRightInd w:val="0"/>
              <w:spacing w:before="0" w:after="0" w:line="240" w:lineRule="auto"/>
              <w:ind w:left="130" w:hanging="136"/>
              <w:rPr>
                <w:rFonts w:cs="Calibri"/>
                <w:kern w:val="24"/>
                <w:sz w:val="18"/>
                <w:szCs w:val="18"/>
              </w:rPr>
            </w:pPr>
            <w:r w:rsidRPr="00ED4D49">
              <w:rPr>
                <w:rFonts w:cs="Calibri"/>
                <w:kern w:val="24"/>
                <w:sz w:val="18"/>
                <w:szCs w:val="18"/>
              </w:rPr>
              <w:t>Borrow pits shall be subject to complete restauration works following closure</w:t>
            </w:r>
          </w:p>
        </w:tc>
        <w:tc>
          <w:tcPr>
            <w:tcW w:w="3685" w:type="dxa"/>
          </w:tcPr>
          <w:p w14:paraId="0D438320" w14:textId="6A712E40" w:rsidR="00885072" w:rsidRPr="00ED4D49" w:rsidRDefault="00550D90" w:rsidP="00530056">
            <w:pPr>
              <w:pStyle w:val="ListParagraph"/>
              <w:numPr>
                <w:ilvl w:val="0"/>
                <w:numId w:val="27"/>
              </w:numPr>
              <w:autoSpaceDE w:val="0"/>
              <w:autoSpaceDN w:val="0"/>
              <w:adjustRightInd w:val="0"/>
              <w:spacing w:before="0" w:after="0" w:line="240" w:lineRule="auto"/>
              <w:ind w:left="136" w:hanging="136"/>
              <w:rPr>
                <w:rFonts w:cs="Calibri"/>
                <w:kern w:val="24"/>
                <w:sz w:val="18"/>
                <w:szCs w:val="18"/>
              </w:rPr>
            </w:pPr>
            <w:r w:rsidRPr="00ED4D49">
              <w:rPr>
                <w:rFonts w:cs="Calibri"/>
                <w:kern w:val="24"/>
                <w:sz w:val="18"/>
                <w:szCs w:val="18"/>
              </w:rPr>
              <w:t>Inspection of borrow pits following closure</w:t>
            </w:r>
          </w:p>
        </w:tc>
        <w:tc>
          <w:tcPr>
            <w:tcW w:w="3686" w:type="dxa"/>
          </w:tcPr>
          <w:p w14:paraId="7FBB6A40" w14:textId="77777777" w:rsidR="00885072" w:rsidRPr="00ED4D49" w:rsidRDefault="00885072" w:rsidP="00530056">
            <w:pPr>
              <w:pStyle w:val="ListParagraph"/>
              <w:numPr>
                <w:ilvl w:val="0"/>
                <w:numId w:val="27"/>
              </w:numPr>
              <w:autoSpaceDE w:val="0"/>
              <w:autoSpaceDN w:val="0"/>
              <w:adjustRightInd w:val="0"/>
              <w:spacing w:before="0" w:after="180" w:line="264" w:lineRule="auto"/>
              <w:ind w:left="124" w:hanging="124"/>
              <w:rPr>
                <w:rFonts w:cs="Calibri"/>
                <w:kern w:val="24"/>
                <w:sz w:val="18"/>
                <w:szCs w:val="18"/>
              </w:rPr>
            </w:pPr>
            <w:r w:rsidRPr="00ED4D49">
              <w:rPr>
                <w:rFonts w:cs="Calibri"/>
                <w:kern w:val="24"/>
                <w:sz w:val="18"/>
                <w:szCs w:val="18"/>
              </w:rPr>
              <w:t>Site supervisor</w:t>
            </w:r>
          </w:p>
          <w:p w14:paraId="720A11C1" w14:textId="5187D7B9" w:rsidR="00885072" w:rsidRPr="00ED4D49" w:rsidRDefault="00885072" w:rsidP="00530056">
            <w:pPr>
              <w:pStyle w:val="ListParagraph"/>
              <w:numPr>
                <w:ilvl w:val="0"/>
                <w:numId w:val="27"/>
              </w:numPr>
              <w:autoSpaceDE w:val="0"/>
              <w:autoSpaceDN w:val="0"/>
              <w:adjustRightInd w:val="0"/>
              <w:spacing w:before="0" w:after="180" w:line="264" w:lineRule="auto"/>
              <w:ind w:left="124" w:hanging="124"/>
              <w:rPr>
                <w:rFonts w:cs="Calibri"/>
                <w:kern w:val="24"/>
                <w:sz w:val="18"/>
                <w:szCs w:val="18"/>
              </w:rPr>
            </w:pPr>
            <w:r w:rsidRPr="00ED4D49">
              <w:rPr>
                <w:rFonts w:cs="Calibri"/>
                <w:kern w:val="24"/>
                <w:sz w:val="18"/>
                <w:szCs w:val="18"/>
              </w:rPr>
              <w:t>PIU</w:t>
            </w:r>
          </w:p>
        </w:tc>
      </w:tr>
      <w:tr w:rsidR="00B62B42" w:rsidRPr="00ED4D49" w14:paraId="14470160" w14:textId="77777777" w:rsidTr="00B62B42">
        <w:tc>
          <w:tcPr>
            <w:tcW w:w="1982" w:type="dxa"/>
            <w:vMerge w:val="restart"/>
          </w:tcPr>
          <w:p w14:paraId="66471417" w14:textId="77777777" w:rsidR="00B62B42" w:rsidRPr="00ED4D49" w:rsidRDefault="00B62B42" w:rsidP="00633607">
            <w:pPr>
              <w:spacing w:before="0" w:after="0"/>
              <w:ind w:left="144" w:right="144"/>
              <w:rPr>
                <w:rFonts w:cs="Calibri"/>
                <w:b/>
                <w:color w:val="0070C0"/>
                <w:sz w:val="18"/>
                <w:szCs w:val="18"/>
                <w:lang w:val="en-US"/>
              </w:rPr>
            </w:pPr>
            <w:r w:rsidRPr="00ED4D49">
              <w:rPr>
                <w:rFonts w:cs="Calibri"/>
                <w:b/>
                <w:bCs/>
                <w:color w:val="336699"/>
                <w:sz w:val="18"/>
                <w:szCs w:val="18"/>
                <w:lang w:val="en-US"/>
              </w:rPr>
              <w:t>Mobilization/ Temporary facilities/ Construction/De-mobilization</w:t>
            </w:r>
          </w:p>
        </w:tc>
        <w:tc>
          <w:tcPr>
            <w:tcW w:w="12472" w:type="dxa"/>
            <w:gridSpan w:val="4"/>
          </w:tcPr>
          <w:p w14:paraId="4FDAB462" w14:textId="77777777" w:rsidR="00B62B42" w:rsidRPr="00ED4D49" w:rsidRDefault="00B62B42" w:rsidP="00633607">
            <w:pPr>
              <w:pStyle w:val="Default"/>
              <w:rPr>
                <w:rFonts w:ascii="Calibri" w:hAnsi="Calibri" w:cs="Calibri"/>
                <w:sz w:val="18"/>
                <w:szCs w:val="18"/>
              </w:rPr>
            </w:pPr>
            <w:r w:rsidRPr="00ED4D49">
              <w:rPr>
                <w:rFonts w:ascii="Calibri" w:hAnsi="Calibri" w:cs="Calibri"/>
                <w:b/>
                <w:bCs/>
                <w:sz w:val="18"/>
                <w:szCs w:val="18"/>
              </w:rPr>
              <w:t>Traffic and Pedestrian Safety</w:t>
            </w:r>
          </w:p>
        </w:tc>
      </w:tr>
      <w:tr w:rsidR="00B62B42" w:rsidRPr="00ED4D49" w14:paraId="6FAAFAA3" w14:textId="77777777" w:rsidTr="00B62B42">
        <w:tc>
          <w:tcPr>
            <w:tcW w:w="1982" w:type="dxa"/>
            <w:vMerge/>
          </w:tcPr>
          <w:p w14:paraId="030C7753" w14:textId="77777777" w:rsidR="00B62B42" w:rsidRPr="00ED4D49" w:rsidRDefault="00B62B42" w:rsidP="00633607">
            <w:pPr>
              <w:pStyle w:val="Default"/>
              <w:rPr>
                <w:rFonts w:ascii="Calibri" w:hAnsi="Calibri" w:cs="Calibri"/>
                <w:sz w:val="18"/>
                <w:szCs w:val="18"/>
              </w:rPr>
            </w:pPr>
          </w:p>
        </w:tc>
        <w:tc>
          <w:tcPr>
            <w:tcW w:w="2115" w:type="dxa"/>
          </w:tcPr>
          <w:p w14:paraId="104A6E84" w14:textId="77777777" w:rsidR="00B62B42" w:rsidRPr="00ED4D49" w:rsidRDefault="00B62B42" w:rsidP="00530056">
            <w:pPr>
              <w:pStyle w:val="ListParagraph"/>
              <w:numPr>
                <w:ilvl w:val="0"/>
                <w:numId w:val="27"/>
              </w:numPr>
              <w:autoSpaceDE w:val="0"/>
              <w:autoSpaceDN w:val="0"/>
              <w:adjustRightInd w:val="0"/>
              <w:spacing w:before="0" w:after="0" w:line="240" w:lineRule="auto"/>
              <w:ind w:left="204" w:hanging="204"/>
              <w:rPr>
                <w:rFonts w:cs="Calibri"/>
                <w:kern w:val="24"/>
                <w:sz w:val="18"/>
                <w:szCs w:val="18"/>
              </w:rPr>
            </w:pPr>
            <w:r w:rsidRPr="00ED4D49">
              <w:rPr>
                <w:rFonts w:cs="Calibri"/>
                <w:b/>
                <w:bCs/>
                <w:kern w:val="24"/>
                <w:sz w:val="18"/>
                <w:szCs w:val="18"/>
              </w:rPr>
              <w:t xml:space="preserve">Increased traffic </w:t>
            </w:r>
            <w:r w:rsidRPr="00ED4D49">
              <w:rPr>
                <w:rFonts w:cs="Calibri"/>
                <w:kern w:val="24"/>
                <w:sz w:val="18"/>
                <w:szCs w:val="18"/>
              </w:rPr>
              <w:t>due to heavy equipment/vehicle movement/works in vicinity of main/local roads</w:t>
            </w:r>
          </w:p>
          <w:p w14:paraId="127E7CC0" w14:textId="77777777" w:rsidR="00B62B42" w:rsidRPr="00ED4D49" w:rsidRDefault="00B62B42" w:rsidP="00530056">
            <w:pPr>
              <w:pStyle w:val="ListParagraph"/>
              <w:numPr>
                <w:ilvl w:val="0"/>
                <w:numId w:val="27"/>
              </w:numPr>
              <w:autoSpaceDE w:val="0"/>
              <w:autoSpaceDN w:val="0"/>
              <w:adjustRightInd w:val="0"/>
              <w:spacing w:before="0" w:after="0" w:line="240" w:lineRule="auto"/>
              <w:ind w:left="204" w:hanging="133"/>
              <w:rPr>
                <w:rFonts w:cs="Calibri"/>
                <w:kern w:val="24"/>
                <w:sz w:val="18"/>
                <w:szCs w:val="18"/>
              </w:rPr>
            </w:pPr>
            <w:r w:rsidRPr="00ED4D49">
              <w:rPr>
                <w:rFonts w:cs="Calibri"/>
                <w:b/>
                <w:bCs/>
                <w:kern w:val="24"/>
                <w:sz w:val="18"/>
                <w:szCs w:val="18"/>
              </w:rPr>
              <w:t xml:space="preserve">Decreased public access </w:t>
            </w:r>
            <w:r w:rsidRPr="00ED4D49">
              <w:rPr>
                <w:rFonts w:cs="Calibri"/>
                <w:kern w:val="24"/>
                <w:sz w:val="18"/>
                <w:szCs w:val="18"/>
              </w:rPr>
              <w:t>through the construction area</w:t>
            </w:r>
          </w:p>
        </w:tc>
        <w:tc>
          <w:tcPr>
            <w:tcW w:w="2986" w:type="dxa"/>
          </w:tcPr>
          <w:p w14:paraId="19847E1C" w14:textId="77777777" w:rsidR="00B62B42" w:rsidRPr="00ED4D49" w:rsidRDefault="00B62B42" w:rsidP="00530056">
            <w:pPr>
              <w:pStyle w:val="ListParagraph"/>
              <w:numPr>
                <w:ilvl w:val="0"/>
                <w:numId w:val="27"/>
              </w:numPr>
              <w:autoSpaceDE w:val="0"/>
              <w:autoSpaceDN w:val="0"/>
              <w:adjustRightInd w:val="0"/>
              <w:spacing w:before="0" w:after="0" w:line="240" w:lineRule="auto"/>
              <w:ind w:left="136" w:hanging="142"/>
              <w:rPr>
                <w:rFonts w:cs="Calibri"/>
                <w:kern w:val="24"/>
                <w:sz w:val="18"/>
                <w:szCs w:val="18"/>
              </w:rPr>
            </w:pPr>
            <w:r w:rsidRPr="00ED4D49">
              <w:rPr>
                <w:rFonts w:cs="Calibri"/>
                <w:kern w:val="24"/>
                <w:sz w:val="18"/>
                <w:szCs w:val="18"/>
              </w:rPr>
              <w:t>Schedule vehicle movement during lean daytime traffic hours or at night.</w:t>
            </w:r>
          </w:p>
          <w:p w14:paraId="0AE6C008" w14:textId="77777777" w:rsidR="00B62B42" w:rsidRPr="00ED4D49" w:rsidRDefault="00B62B42" w:rsidP="00530056">
            <w:pPr>
              <w:pStyle w:val="ListParagraph"/>
              <w:numPr>
                <w:ilvl w:val="0"/>
                <w:numId w:val="27"/>
              </w:numPr>
              <w:autoSpaceDE w:val="0"/>
              <w:autoSpaceDN w:val="0"/>
              <w:adjustRightInd w:val="0"/>
              <w:spacing w:before="0" w:after="0" w:line="240" w:lineRule="auto"/>
              <w:ind w:left="136" w:hanging="142"/>
              <w:rPr>
                <w:rFonts w:cs="Calibri"/>
                <w:kern w:val="24"/>
                <w:sz w:val="18"/>
                <w:szCs w:val="18"/>
              </w:rPr>
            </w:pPr>
            <w:r w:rsidRPr="00ED4D49">
              <w:rPr>
                <w:rFonts w:cs="Calibri"/>
                <w:kern w:val="24"/>
                <w:sz w:val="18"/>
                <w:szCs w:val="18"/>
              </w:rPr>
              <w:t>Provide traffic aides/flagmen, traffic signs to help ensure the free and safe flow of traffic</w:t>
            </w:r>
          </w:p>
          <w:p w14:paraId="5161ADCD" w14:textId="77777777" w:rsidR="00B62B42" w:rsidRPr="00ED4D49" w:rsidRDefault="00B62B42" w:rsidP="00530056">
            <w:pPr>
              <w:pStyle w:val="ListParagraph"/>
              <w:numPr>
                <w:ilvl w:val="0"/>
                <w:numId w:val="27"/>
              </w:numPr>
              <w:autoSpaceDE w:val="0"/>
              <w:autoSpaceDN w:val="0"/>
              <w:adjustRightInd w:val="0"/>
              <w:spacing w:before="0" w:after="0" w:line="240" w:lineRule="auto"/>
              <w:ind w:left="136" w:hanging="142"/>
              <w:rPr>
                <w:rFonts w:cs="Calibri"/>
                <w:kern w:val="24"/>
                <w:sz w:val="18"/>
                <w:szCs w:val="18"/>
              </w:rPr>
            </w:pPr>
            <w:r w:rsidRPr="00ED4D49">
              <w:rPr>
                <w:rFonts w:cs="Calibri"/>
                <w:kern w:val="24"/>
                <w:sz w:val="18"/>
                <w:szCs w:val="18"/>
              </w:rPr>
              <w:t>Maintain &amp; Repair temporary alternative route of vehicles &amp; pedestrians</w:t>
            </w:r>
          </w:p>
          <w:p w14:paraId="2B556279" w14:textId="77777777" w:rsidR="00B62B42" w:rsidRPr="00ED4D49" w:rsidRDefault="00B62B42" w:rsidP="00530056">
            <w:pPr>
              <w:pStyle w:val="ListParagraph"/>
              <w:numPr>
                <w:ilvl w:val="0"/>
                <w:numId w:val="27"/>
              </w:numPr>
              <w:autoSpaceDE w:val="0"/>
              <w:autoSpaceDN w:val="0"/>
              <w:adjustRightInd w:val="0"/>
              <w:spacing w:before="0" w:after="0" w:line="240" w:lineRule="auto"/>
              <w:ind w:left="136" w:hanging="142"/>
              <w:rPr>
                <w:rFonts w:cs="Calibri"/>
                <w:kern w:val="24"/>
                <w:sz w:val="18"/>
                <w:szCs w:val="18"/>
              </w:rPr>
            </w:pPr>
            <w:r w:rsidRPr="00ED4D49">
              <w:rPr>
                <w:rFonts w:cs="Calibri"/>
                <w:kern w:val="24"/>
                <w:sz w:val="18"/>
                <w:szCs w:val="18"/>
              </w:rPr>
              <w:t>Designate an alternate route for pedestrian and/or vehicles in coordination with the Municipal Authorities or provide safe passageway through the construction site</w:t>
            </w:r>
          </w:p>
        </w:tc>
        <w:tc>
          <w:tcPr>
            <w:tcW w:w="3685" w:type="dxa"/>
          </w:tcPr>
          <w:p w14:paraId="05AF7D00" w14:textId="77777777" w:rsidR="00B62B42" w:rsidRPr="00ED4D49" w:rsidRDefault="00B62B42" w:rsidP="00530056">
            <w:pPr>
              <w:pStyle w:val="ListParagraph"/>
              <w:numPr>
                <w:ilvl w:val="0"/>
                <w:numId w:val="27"/>
              </w:numPr>
              <w:autoSpaceDE w:val="0"/>
              <w:autoSpaceDN w:val="0"/>
              <w:adjustRightInd w:val="0"/>
              <w:spacing w:before="0" w:after="0" w:line="240" w:lineRule="auto"/>
              <w:ind w:left="193" w:hanging="233"/>
              <w:rPr>
                <w:rFonts w:cs="Calibri"/>
                <w:kern w:val="24"/>
                <w:sz w:val="18"/>
                <w:szCs w:val="18"/>
              </w:rPr>
            </w:pPr>
            <w:r w:rsidRPr="00ED4D49">
              <w:rPr>
                <w:rFonts w:cs="Calibri"/>
                <w:kern w:val="24"/>
                <w:sz w:val="18"/>
                <w:szCs w:val="18"/>
              </w:rPr>
              <w:t>Presence of traffic signs</w:t>
            </w:r>
          </w:p>
          <w:p w14:paraId="385B0F97" w14:textId="77777777" w:rsidR="00B62B42" w:rsidRPr="00ED4D49" w:rsidRDefault="00B62B42" w:rsidP="00530056">
            <w:pPr>
              <w:pStyle w:val="ListParagraph"/>
              <w:numPr>
                <w:ilvl w:val="0"/>
                <w:numId w:val="27"/>
              </w:numPr>
              <w:autoSpaceDE w:val="0"/>
              <w:autoSpaceDN w:val="0"/>
              <w:adjustRightInd w:val="0"/>
              <w:spacing w:before="0" w:after="0" w:line="240" w:lineRule="auto"/>
              <w:ind w:left="193" w:hanging="233"/>
              <w:rPr>
                <w:rFonts w:cs="Calibri"/>
                <w:kern w:val="24"/>
                <w:sz w:val="18"/>
                <w:szCs w:val="18"/>
              </w:rPr>
            </w:pPr>
            <w:r w:rsidRPr="00ED4D49">
              <w:rPr>
                <w:rFonts w:cs="Calibri"/>
                <w:kern w:val="24"/>
                <w:sz w:val="18"/>
                <w:szCs w:val="18"/>
              </w:rPr>
              <w:t>Public complaints received</w:t>
            </w:r>
          </w:p>
          <w:p w14:paraId="1871DC3D" w14:textId="77777777" w:rsidR="00B62B42" w:rsidRPr="00ED4D49" w:rsidRDefault="00B62B42" w:rsidP="00530056">
            <w:pPr>
              <w:pStyle w:val="ListParagraph"/>
              <w:numPr>
                <w:ilvl w:val="0"/>
                <w:numId w:val="27"/>
              </w:numPr>
              <w:autoSpaceDE w:val="0"/>
              <w:autoSpaceDN w:val="0"/>
              <w:adjustRightInd w:val="0"/>
              <w:spacing w:before="0" w:after="0" w:line="240" w:lineRule="auto"/>
              <w:ind w:left="193" w:hanging="233"/>
              <w:rPr>
                <w:rFonts w:cs="Calibri"/>
                <w:kern w:val="24"/>
                <w:sz w:val="18"/>
                <w:szCs w:val="18"/>
              </w:rPr>
            </w:pPr>
            <w:r w:rsidRPr="00ED4D49">
              <w:rPr>
                <w:rFonts w:cs="Calibri"/>
                <w:kern w:val="24"/>
                <w:sz w:val="18"/>
                <w:szCs w:val="18"/>
              </w:rPr>
              <w:t>Occurrence of traffic jams</w:t>
            </w:r>
          </w:p>
          <w:p w14:paraId="631AD578" w14:textId="77777777" w:rsidR="00B62B42" w:rsidRPr="00ED4D49" w:rsidRDefault="00B62B42" w:rsidP="00530056">
            <w:pPr>
              <w:pStyle w:val="ListParagraph"/>
              <w:numPr>
                <w:ilvl w:val="0"/>
                <w:numId w:val="27"/>
              </w:numPr>
              <w:autoSpaceDE w:val="0"/>
              <w:autoSpaceDN w:val="0"/>
              <w:adjustRightInd w:val="0"/>
              <w:spacing w:before="0" w:after="0" w:line="240" w:lineRule="auto"/>
              <w:ind w:left="193" w:hanging="233"/>
              <w:rPr>
                <w:rFonts w:cs="Calibri"/>
                <w:kern w:val="24"/>
                <w:sz w:val="18"/>
                <w:szCs w:val="18"/>
              </w:rPr>
            </w:pPr>
            <w:r w:rsidRPr="00ED4D49">
              <w:rPr>
                <w:rFonts w:cs="Calibri"/>
                <w:kern w:val="24"/>
                <w:sz w:val="18"/>
                <w:szCs w:val="18"/>
              </w:rPr>
              <w:t>Public complaints received</w:t>
            </w:r>
          </w:p>
        </w:tc>
        <w:tc>
          <w:tcPr>
            <w:tcW w:w="3686" w:type="dxa"/>
          </w:tcPr>
          <w:p w14:paraId="177C371C" w14:textId="77777777" w:rsidR="00B62B42" w:rsidRPr="00ED4D49" w:rsidRDefault="00B62B42" w:rsidP="00530056">
            <w:pPr>
              <w:pStyle w:val="ListParagraph"/>
              <w:numPr>
                <w:ilvl w:val="0"/>
                <w:numId w:val="27"/>
              </w:numPr>
              <w:autoSpaceDE w:val="0"/>
              <w:autoSpaceDN w:val="0"/>
              <w:adjustRightInd w:val="0"/>
              <w:spacing w:before="0" w:after="180" w:line="264" w:lineRule="auto"/>
              <w:ind w:left="124" w:hanging="186"/>
              <w:rPr>
                <w:rFonts w:cs="Calibri"/>
                <w:kern w:val="24"/>
                <w:sz w:val="18"/>
                <w:szCs w:val="18"/>
              </w:rPr>
            </w:pPr>
            <w:r w:rsidRPr="00ED4D49">
              <w:rPr>
                <w:rFonts w:cs="Calibri"/>
                <w:kern w:val="24"/>
                <w:sz w:val="18"/>
                <w:szCs w:val="18"/>
              </w:rPr>
              <w:t>Contractor</w:t>
            </w:r>
          </w:p>
          <w:p w14:paraId="135AF0D6" w14:textId="77777777" w:rsidR="00B62B42" w:rsidRPr="00ED4D49" w:rsidRDefault="00B62B42" w:rsidP="00633607">
            <w:pPr>
              <w:pStyle w:val="Default"/>
              <w:ind w:left="124" w:hanging="186"/>
              <w:rPr>
                <w:rFonts w:ascii="Calibri" w:hAnsi="Calibri" w:cs="Calibri"/>
                <w:sz w:val="18"/>
                <w:szCs w:val="18"/>
              </w:rPr>
            </w:pPr>
          </w:p>
          <w:p w14:paraId="22D5F60B" w14:textId="77777777" w:rsidR="00B62B42" w:rsidRPr="00ED4D49" w:rsidRDefault="00B62B42" w:rsidP="00633607">
            <w:pPr>
              <w:pStyle w:val="Default"/>
              <w:ind w:left="124" w:hanging="186"/>
              <w:rPr>
                <w:rFonts w:ascii="Calibri" w:hAnsi="Calibri" w:cs="Calibri"/>
                <w:sz w:val="18"/>
                <w:szCs w:val="18"/>
              </w:rPr>
            </w:pPr>
          </w:p>
          <w:p w14:paraId="054CD599" w14:textId="77777777" w:rsidR="00B62B42" w:rsidRPr="00ED4D49" w:rsidRDefault="00B62B42" w:rsidP="00633607">
            <w:pPr>
              <w:pStyle w:val="Default"/>
              <w:ind w:left="124"/>
              <w:rPr>
                <w:rFonts w:ascii="Calibri" w:hAnsi="Calibri" w:cs="Calibri"/>
                <w:sz w:val="18"/>
                <w:szCs w:val="18"/>
              </w:rPr>
            </w:pPr>
          </w:p>
        </w:tc>
      </w:tr>
      <w:tr w:rsidR="00B62B42" w:rsidRPr="00ED4D49" w14:paraId="3DFCD9B1" w14:textId="77777777" w:rsidTr="00B62B42">
        <w:tc>
          <w:tcPr>
            <w:tcW w:w="1982" w:type="dxa"/>
            <w:vMerge/>
          </w:tcPr>
          <w:p w14:paraId="0D5E37EE" w14:textId="77777777" w:rsidR="00B62B42" w:rsidRPr="00ED4D49" w:rsidRDefault="00B62B42" w:rsidP="00633607">
            <w:pPr>
              <w:pStyle w:val="Default"/>
              <w:rPr>
                <w:rFonts w:ascii="Calibri" w:hAnsi="Calibri" w:cs="Calibri"/>
                <w:sz w:val="18"/>
                <w:szCs w:val="18"/>
              </w:rPr>
            </w:pPr>
          </w:p>
        </w:tc>
        <w:tc>
          <w:tcPr>
            <w:tcW w:w="12472" w:type="dxa"/>
            <w:gridSpan w:val="4"/>
          </w:tcPr>
          <w:p w14:paraId="72944A8C" w14:textId="77777777" w:rsidR="00B62B42" w:rsidRPr="00ED4D49" w:rsidRDefault="00B62B42" w:rsidP="00633607">
            <w:pPr>
              <w:pStyle w:val="Default"/>
              <w:rPr>
                <w:rFonts w:ascii="Calibri" w:hAnsi="Calibri" w:cs="Calibri"/>
                <w:sz w:val="18"/>
                <w:szCs w:val="18"/>
              </w:rPr>
            </w:pPr>
            <w:r w:rsidRPr="00ED4D49">
              <w:rPr>
                <w:rFonts w:ascii="Calibri" w:hAnsi="Calibri" w:cs="Calibri"/>
                <w:b/>
                <w:bCs/>
                <w:sz w:val="18"/>
                <w:szCs w:val="18"/>
              </w:rPr>
              <w:t>Air Quality – dust and noise suppression</w:t>
            </w:r>
          </w:p>
        </w:tc>
      </w:tr>
      <w:tr w:rsidR="00B62B42" w:rsidRPr="00ED4D49" w14:paraId="57EAEFE4" w14:textId="77777777" w:rsidTr="00B62B42">
        <w:tc>
          <w:tcPr>
            <w:tcW w:w="1982" w:type="dxa"/>
            <w:vMerge/>
          </w:tcPr>
          <w:p w14:paraId="28382675" w14:textId="77777777" w:rsidR="00B62B42" w:rsidRPr="00ED4D49" w:rsidRDefault="00B62B42" w:rsidP="00633607">
            <w:pPr>
              <w:pStyle w:val="Default"/>
              <w:rPr>
                <w:rFonts w:ascii="Calibri" w:hAnsi="Calibri" w:cs="Calibri"/>
                <w:sz w:val="18"/>
                <w:szCs w:val="18"/>
              </w:rPr>
            </w:pPr>
          </w:p>
        </w:tc>
        <w:tc>
          <w:tcPr>
            <w:tcW w:w="2115" w:type="dxa"/>
          </w:tcPr>
          <w:p w14:paraId="0D28111A" w14:textId="77777777" w:rsidR="00B62B42" w:rsidRPr="00ED4D49" w:rsidRDefault="00B62B42" w:rsidP="00530056">
            <w:pPr>
              <w:pStyle w:val="ListParagraph"/>
              <w:numPr>
                <w:ilvl w:val="0"/>
                <w:numId w:val="27"/>
              </w:numPr>
              <w:autoSpaceDE w:val="0"/>
              <w:autoSpaceDN w:val="0"/>
              <w:adjustRightInd w:val="0"/>
              <w:spacing w:before="0" w:after="0" w:line="240" w:lineRule="auto"/>
              <w:ind w:left="160" w:hanging="160"/>
              <w:rPr>
                <w:rFonts w:cs="Calibri"/>
                <w:kern w:val="24"/>
                <w:sz w:val="18"/>
                <w:szCs w:val="18"/>
              </w:rPr>
            </w:pPr>
            <w:r w:rsidRPr="00ED4D49">
              <w:rPr>
                <w:rFonts w:cs="Calibri"/>
                <w:b/>
                <w:bCs/>
                <w:kern w:val="24"/>
                <w:sz w:val="18"/>
                <w:szCs w:val="18"/>
              </w:rPr>
              <w:t xml:space="preserve">Gas &amp; particulate </w:t>
            </w:r>
            <w:r w:rsidRPr="00ED4D49">
              <w:rPr>
                <w:rFonts w:cs="Calibri"/>
                <w:bCs/>
                <w:kern w:val="24"/>
                <w:sz w:val="18"/>
                <w:szCs w:val="18"/>
              </w:rPr>
              <w:t>emissions</w:t>
            </w:r>
            <w:r w:rsidRPr="00ED4D49">
              <w:rPr>
                <w:rFonts w:cs="Calibri"/>
                <w:b/>
                <w:bCs/>
                <w:kern w:val="24"/>
                <w:sz w:val="18"/>
                <w:szCs w:val="18"/>
              </w:rPr>
              <w:t xml:space="preserve"> </w:t>
            </w:r>
            <w:r w:rsidRPr="00ED4D49">
              <w:rPr>
                <w:rFonts w:cs="Calibri"/>
                <w:kern w:val="24"/>
                <w:sz w:val="18"/>
                <w:szCs w:val="18"/>
              </w:rPr>
              <w:t>from vehicles, equipment &amp; generators</w:t>
            </w:r>
          </w:p>
        </w:tc>
        <w:tc>
          <w:tcPr>
            <w:tcW w:w="2986" w:type="dxa"/>
          </w:tcPr>
          <w:p w14:paraId="5524C792" w14:textId="77777777" w:rsidR="00B62B42" w:rsidRPr="00ED4D49" w:rsidRDefault="00B62B42" w:rsidP="00530056">
            <w:pPr>
              <w:pStyle w:val="ListParagraph"/>
              <w:numPr>
                <w:ilvl w:val="0"/>
                <w:numId w:val="27"/>
              </w:numPr>
              <w:autoSpaceDE w:val="0"/>
              <w:autoSpaceDN w:val="0"/>
              <w:adjustRightInd w:val="0"/>
              <w:spacing w:before="0" w:after="0" w:line="240" w:lineRule="auto"/>
              <w:ind w:left="136" w:hanging="136"/>
              <w:rPr>
                <w:rFonts w:cs="Calibri"/>
                <w:kern w:val="24"/>
                <w:sz w:val="18"/>
                <w:szCs w:val="18"/>
              </w:rPr>
            </w:pPr>
            <w:r w:rsidRPr="00ED4D49">
              <w:rPr>
                <w:rFonts w:cs="Calibri"/>
                <w:kern w:val="24"/>
                <w:sz w:val="18"/>
                <w:szCs w:val="18"/>
              </w:rPr>
              <w:t>Regular equipment maintenance</w:t>
            </w:r>
          </w:p>
          <w:p w14:paraId="7F08FD8F" w14:textId="77777777" w:rsidR="00B62B42" w:rsidRPr="00ED4D49" w:rsidRDefault="00B62B42" w:rsidP="00530056">
            <w:pPr>
              <w:pStyle w:val="ListParagraph"/>
              <w:numPr>
                <w:ilvl w:val="0"/>
                <w:numId w:val="27"/>
              </w:numPr>
              <w:autoSpaceDE w:val="0"/>
              <w:autoSpaceDN w:val="0"/>
              <w:adjustRightInd w:val="0"/>
              <w:spacing w:before="0" w:after="0" w:line="240" w:lineRule="auto"/>
              <w:ind w:left="136" w:hanging="136"/>
              <w:rPr>
                <w:rFonts w:cs="Calibri"/>
                <w:kern w:val="24"/>
                <w:sz w:val="18"/>
                <w:szCs w:val="18"/>
              </w:rPr>
            </w:pPr>
            <w:r w:rsidRPr="00ED4D49">
              <w:rPr>
                <w:rFonts w:cs="Calibri"/>
                <w:kern w:val="24"/>
                <w:sz w:val="18"/>
                <w:szCs w:val="18"/>
              </w:rPr>
              <w:t>Contractor to present proof of compliance with emission standards as part of the annual vehicle registration process</w:t>
            </w:r>
          </w:p>
        </w:tc>
        <w:tc>
          <w:tcPr>
            <w:tcW w:w="3685" w:type="dxa"/>
          </w:tcPr>
          <w:p w14:paraId="16F448C5" w14:textId="77777777" w:rsidR="00B62B42" w:rsidRPr="00ED4D49" w:rsidRDefault="00B62B42" w:rsidP="00530056">
            <w:pPr>
              <w:pStyle w:val="ListParagraph"/>
              <w:numPr>
                <w:ilvl w:val="0"/>
                <w:numId w:val="27"/>
              </w:numPr>
              <w:autoSpaceDE w:val="0"/>
              <w:autoSpaceDN w:val="0"/>
              <w:adjustRightInd w:val="0"/>
              <w:spacing w:before="0" w:after="0" w:line="240" w:lineRule="auto"/>
              <w:ind w:left="125" w:hanging="176"/>
              <w:rPr>
                <w:rFonts w:cs="Calibri"/>
                <w:kern w:val="24"/>
                <w:sz w:val="18"/>
                <w:szCs w:val="18"/>
              </w:rPr>
            </w:pPr>
            <w:r w:rsidRPr="00ED4D49">
              <w:rPr>
                <w:rFonts w:cs="Calibri"/>
                <w:kern w:val="24"/>
                <w:sz w:val="18"/>
                <w:szCs w:val="18"/>
              </w:rPr>
              <w:t>Presence of black smoke from construction vehicles</w:t>
            </w:r>
          </w:p>
          <w:p w14:paraId="34985DBF" w14:textId="77777777" w:rsidR="00B62B42" w:rsidRPr="00ED4D49" w:rsidRDefault="00B62B42" w:rsidP="00530056">
            <w:pPr>
              <w:pStyle w:val="ListParagraph"/>
              <w:numPr>
                <w:ilvl w:val="0"/>
                <w:numId w:val="27"/>
              </w:numPr>
              <w:autoSpaceDE w:val="0"/>
              <w:autoSpaceDN w:val="0"/>
              <w:adjustRightInd w:val="0"/>
              <w:spacing w:before="0" w:after="0" w:line="240" w:lineRule="auto"/>
              <w:ind w:left="125" w:hanging="176"/>
              <w:rPr>
                <w:rFonts w:cs="Calibri"/>
                <w:kern w:val="24"/>
                <w:sz w:val="18"/>
                <w:szCs w:val="18"/>
              </w:rPr>
            </w:pPr>
            <w:r w:rsidRPr="00ED4D49">
              <w:rPr>
                <w:rFonts w:cs="Calibri"/>
                <w:kern w:val="24"/>
                <w:sz w:val="18"/>
                <w:szCs w:val="18"/>
              </w:rPr>
              <w:t>Attestation documentation</w:t>
            </w:r>
          </w:p>
        </w:tc>
        <w:tc>
          <w:tcPr>
            <w:tcW w:w="3686" w:type="dxa"/>
          </w:tcPr>
          <w:p w14:paraId="54513A5B" w14:textId="77777777" w:rsidR="00B62B42" w:rsidRPr="00ED4D49" w:rsidRDefault="00B62B42" w:rsidP="00530056">
            <w:pPr>
              <w:pStyle w:val="ListParagraph"/>
              <w:numPr>
                <w:ilvl w:val="0"/>
                <w:numId w:val="27"/>
              </w:numPr>
              <w:autoSpaceDE w:val="0"/>
              <w:autoSpaceDN w:val="0"/>
              <w:adjustRightInd w:val="0"/>
              <w:spacing w:before="0" w:after="180" w:line="264" w:lineRule="auto"/>
              <w:ind w:left="124" w:hanging="186"/>
              <w:rPr>
                <w:rFonts w:cs="Calibri"/>
                <w:kern w:val="24"/>
                <w:sz w:val="18"/>
                <w:szCs w:val="18"/>
              </w:rPr>
            </w:pPr>
            <w:r w:rsidRPr="00ED4D49">
              <w:rPr>
                <w:rFonts w:cs="Calibri"/>
                <w:kern w:val="24"/>
                <w:sz w:val="18"/>
                <w:szCs w:val="18"/>
              </w:rPr>
              <w:t>Contractor</w:t>
            </w:r>
          </w:p>
          <w:p w14:paraId="4B38AA52" w14:textId="77777777" w:rsidR="00B62B42" w:rsidRPr="00ED4D49" w:rsidRDefault="00B62B42" w:rsidP="00530056">
            <w:pPr>
              <w:pStyle w:val="Default"/>
              <w:numPr>
                <w:ilvl w:val="0"/>
                <w:numId w:val="27"/>
              </w:numPr>
              <w:ind w:left="124" w:hanging="186"/>
              <w:rPr>
                <w:rFonts w:ascii="Calibri" w:hAnsi="Calibri" w:cs="Calibri"/>
                <w:sz w:val="18"/>
                <w:szCs w:val="18"/>
              </w:rPr>
            </w:pPr>
            <w:r w:rsidRPr="00ED4D49">
              <w:rPr>
                <w:rFonts w:ascii="Calibri" w:hAnsi="Calibri" w:cs="Calibri"/>
                <w:sz w:val="18"/>
                <w:szCs w:val="18"/>
              </w:rPr>
              <w:t>__________</w:t>
            </w:r>
          </w:p>
        </w:tc>
      </w:tr>
      <w:tr w:rsidR="00B62B42" w:rsidRPr="00ED4D49" w14:paraId="590186CB" w14:textId="77777777" w:rsidTr="00B62B42">
        <w:tc>
          <w:tcPr>
            <w:tcW w:w="1982" w:type="dxa"/>
            <w:vMerge/>
          </w:tcPr>
          <w:p w14:paraId="6B01F171" w14:textId="77777777" w:rsidR="00B62B42" w:rsidRPr="00ED4D49" w:rsidRDefault="00B62B42" w:rsidP="00633607">
            <w:pPr>
              <w:pStyle w:val="Default"/>
              <w:rPr>
                <w:rFonts w:ascii="Calibri" w:hAnsi="Calibri" w:cs="Calibri"/>
                <w:sz w:val="18"/>
                <w:szCs w:val="18"/>
              </w:rPr>
            </w:pPr>
          </w:p>
        </w:tc>
        <w:tc>
          <w:tcPr>
            <w:tcW w:w="2115" w:type="dxa"/>
          </w:tcPr>
          <w:p w14:paraId="4498604E" w14:textId="77777777" w:rsidR="00B62B42" w:rsidRPr="00ED4D49" w:rsidRDefault="00B62B42" w:rsidP="00530056">
            <w:pPr>
              <w:pStyle w:val="ListParagraph"/>
              <w:numPr>
                <w:ilvl w:val="0"/>
                <w:numId w:val="27"/>
              </w:numPr>
              <w:autoSpaceDE w:val="0"/>
              <w:autoSpaceDN w:val="0"/>
              <w:adjustRightInd w:val="0"/>
              <w:spacing w:before="0" w:after="0" w:line="240" w:lineRule="auto"/>
              <w:ind w:left="204" w:hanging="204"/>
              <w:rPr>
                <w:rFonts w:cs="Calibri"/>
                <w:kern w:val="24"/>
                <w:sz w:val="18"/>
                <w:szCs w:val="18"/>
              </w:rPr>
            </w:pPr>
            <w:r w:rsidRPr="00ED4D49">
              <w:rPr>
                <w:rFonts w:cs="Calibri"/>
                <w:b/>
                <w:bCs/>
                <w:kern w:val="24"/>
                <w:sz w:val="18"/>
                <w:szCs w:val="18"/>
              </w:rPr>
              <w:t xml:space="preserve">Dust suspension </w:t>
            </w:r>
            <w:r w:rsidRPr="00ED4D49">
              <w:rPr>
                <w:rFonts w:cs="Calibri"/>
                <w:kern w:val="24"/>
                <w:sz w:val="18"/>
                <w:szCs w:val="18"/>
              </w:rPr>
              <w:t xml:space="preserve">vehicle movement in </w:t>
            </w:r>
            <w:r w:rsidRPr="00ED4D49">
              <w:rPr>
                <w:rFonts w:cs="Calibri"/>
                <w:kern w:val="24"/>
                <w:sz w:val="18"/>
                <w:szCs w:val="18"/>
              </w:rPr>
              <w:lastRenderedPageBreak/>
              <w:t>unpaved roads &amp; construction works</w:t>
            </w:r>
          </w:p>
        </w:tc>
        <w:tc>
          <w:tcPr>
            <w:tcW w:w="2986" w:type="dxa"/>
          </w:tcPr>
          <w:p w14:paraId="24B36BAD" w14:textId="77777777" w:rsidR="00B62B42" w:rsidRPr="00ED4D49" w:rsidRDefault="00B62B42" w:rsidP="00530056">
            <w:pPr>
              <w:pStyle w:val="ListParagraph"/>
              <w:numPr>
                <w:ilvl w:val="0"/>
                <w:numId w:val="27"/>
              </w:numPr>
              <w:autoSpaceDE w:val="0"/>
              <w:autoSpaceDN w:val="0"/>
              <w:adjustRightInd w:val="0"/>
              <w:spacing w:before="0" w:after="0" w:line="240" w:lineRule="auto"/>
              <w:ind w:left="136" w:hanging="142"/>
              <w:rPr>
                <w:rFonts w:cs="Calibri"/>
                <w:kern w:val="24"/>
                <w:sz w:val="18"/>
                <w:szCs w:val="18"/>
              </w:rPr>
            </w:pPr>
            <w:r w:rsidRPr="00ED4D49">
              <w:rPr>
                <w:rFonts w:cs="Calibri"/>
                <w:kern w:val="24"/>
                <w:sz w:val="18"/>
                <w:szCs w:val="18"/>
              </w:rPr>
              <w:lastRenderedPageBreak/>
              <w:t>Wet areas of dust sources to minimize discomfort to nearby residents</w:t>
            </w:r>
          </w:p>
          <w:p w14:paraId="12368F70" w14:textId="77777777" w:rsidR="00B62B42" w:rsidRPr="00ED4D49" w:rsidRDefault="00B62B42" w:rsidP="00530056">
            <w:pPr>
              <w:pStyle w:val="ListParagraph"/>
              <w:numPr>
                <w:ilvl w:val="0"/>
                <w:numId w:val="27"/>
              </w:numPr>
              <w:autoSpaceDE w:val="0"/>
              <w:autoSpaceDN w:val="0"/>
              <w:adjustRightInd w:val="0"/>
              <w:spacing w:before="0" w:after="0" w:line="240" w:lineRule="auto"/>
              <w:ind w:left="136" w:hanging="142"/>
              <w:rPr>
                <w:rFonts w:cs="Calibri"/>
                <w:kern w:val="24"/>
                <w:sz w:val="18"/>
                <w:szCs w:val="18"/>
              </w:rPr>
            </w:pPr>
            <w:r w:rsidRPr="00ED4D49">
              <w:rPr>
                <w:rFonts w:cs="Calibri"/>
                <w:kern w:val="24"/>
                <w:sz w:val="18"/>
                <w:szCs w:val="18"/>
              </w:rPr>
              <w:lastRenderedPageBreak/>
              <w:t>Control of vehicle speed to lessen suspension of road dust</w:t>
            </w:r>
          </w:p>
        </w:tc>
        <w:tc>
          <w:tcPr>
            <w:tcW w:w="3685" w:type="dxa"/>
          </w:tcPr>
          <w:p w14:paraId="52296905" w14:textId="77777777" w:rsidR="00B62B42" w:rsidRPr="00ED4D49" w:rsidRDefault="00B62B42" w:rsidP="00530056">
            <w:pPr>
              <w:pStyle w:val="ListParagraph"/>
              <w:numPr>
                <w:ilvl w:val="0"/>
                <w:numId w:val="27"/>
              </w:numPr>
              <w:autoSpaceDE w:val="0"/>
              <w:autoSpaceDN w:val="0"/>
              <w:adjustRightInd w:val="0"/>
              <w:spacing w:before="0" w:after="0" w:line="240" w:lineRule="auto"/>
              <w:ind w:left="190" w:hanging="190"/>
              <w:rPr>
                <w:rFonts w:cs="Calibri"/>
                <w:kern w:val="24"/>
                <w:sz w:val="18"/>
                <w:szCs w:val="18"/>
              </w:rPr>
            </w:pPr>
            <w:r w:rsidRPr="00ED4D49">
              <w:rPr>
                <w:rFonts w:cs="Calibri"/>
                <w:kern w:val="24"/>
                <w:sz w:val="18"/>
                <w:szCs w:val="18"/>
              </w:rPr>
              <w:lastRenderedPageBreak/>
              <w:t>Public complaints received</w:t>
            </w:r>
          </w:p>
          <w:p w14:paraId="19AEBA89" w14:textId="77777777" w:rsidR="00B62B42" w:rsidRPr="00ED4D49" w:rsidRDefault="00B62B42" w:rsidP="00530056">
            <w:pPr>
              <w:pStyle w:val="ListParagraph"/>
              <w:numPr>
                <w:ilvl w:val="0"/>
                <w:numId w:val="27"/>
              </w:numPr>
              <w:autoSpaceDE w:val="0"/>
              <w:autoSpaceDN w:val="0"/>
              <w:adjustRightInd w:val="0"/>
              <w:spacing w:before="0" w:after="0" w:line="240" w:lineRule="auto"/>
              <w:ind w:left="190" w:hanging="190"/>
              <w:rPr>
                <w:rFonts w:cs="Calibri"/>
                <w:kern w:val="24"/>
                <w:sz w:val="18"/>
                <w:szCs w:val="18"/>
              </w:rPr>
            </w:pPr>
            <w:r w:rsidRPr="00ED4D49">
              <w:rPr>
                <w:rFonts w:cs="Calibri"/>
                <w:kern w:val="24"/>
                <w:sz w:val="18"/>
                <w:szCs w:val="18"/>
              </w:rPr>
              <w:t>General observation</w:t>
            </w:r>
          </w:p>
        </w:tc>
        <w:tc>
          <w:tcPr>
            <w:tcW w:w="3686" w:type="dxa"/>
          </w:tcPr>
          <w:p w14:paraId="5F36EBD0" w14:textId="77777777" w:rsidR="00B62B42" w:rsidRPr="00ED4D49" w:rsidRDefault="00B62B42" w:rsidP="00530056">
            <w:pPr>
              <w:pStyle w:val="ListParagraph"/>
              <w:numPr>
                <w:ilvl w:val="0"/>
                <w:numId w:val="27"/>
              </w:numPr>
              <w:autoSpaceDE w:val="0"/>
              <w:autoSpaceDN w:val="0"/>
              <w:adjustRightInd w:val="0"/>
              <w:spacing w:before="0" w:after="180" w:line="264" w:lineRule="auto"/>
              <w:ind w:left="124" w:hanging="186"/>
              <w:rPr>
                <w:rFonts w:cs="Calibri"/>
                <w:sz w:val="18"/>
                <w:szCs w:val="18"/>
              </w:rPr>
            </w:pPr>
            <w:r w:rsidRPr="00ED4D49">
              <w:rPr>
                <w:rFonts w:cs="Calibri"/>
                <w:kern w:val="24"/>
                <w:sz w:val="18"/>
                <w:szCs w:val="18"/>
              </w:rPr>
              <w:t>Contractor</w:t>
            </w:r>
          </w:p>
        </w:tc>
      </w:tr>
      <w:tr w:rsidR="00B62B42" w:rsidRPr="00ED4D49" w14:paraId="6049560B" w14:textId="77777777" w:rsidTr="00B62B42">
        <w:tc>
          <w:tcPr>
            <w:tcW w:w="1982" w:type="dxa"/>
            <w:vMerge w:val="restart"/>
          </w:tcPr>
          <w:p w14:paraId="2A9CF9BB" w14:textId="77777777" w:rsidR="00B62B42" w:rsidRPr="00ED4D49" w:rsidRDefault="00B62B42" w:rsidP="00633607">
            <w:pPr>
              <w:spacing w:before="0" w:after="0"/>
              <w:ind w:left="144" w:right="144"/>
              <w:rPr>
                <w:rFonts w:cs="Calibri"/>
                <w:b/>
                <w:color w:val="0070C0"/>
                <w:sz w:val="18"/>
                <w:szCs w:val="18"/>
                <w:lang w:val="en-US"/>
              </w:rPr>
            </w:pPr>
            <w:r w:rsidRPr="00ED4D49">
              <w:rPr>
                <w:rFonts w:cs="Calibri"/>
                <w:b/>
                <w:bCs/>
                <w:color w:val="336699"/>
                <w:sz w:val="18"/>
                <w:szCs w:val="18"/>
                <w:lang w:val="en-US"/>
              </w:rPr>
              <w:t>Mobilization/ Temporary facilities/ Construction/De-mobilization</w:t>
            </w:r>
          </w:p>
        </w:tc>
        <w:tc>
          <w:tcPr>
            <w:tcW w:w="2115" w:type="dxa"/>
          </w:tcPr>
          <w:p w14:paraId="6325488F" w14:textId="77777777" w:rsidR="00B62B42" w:rsidRPr="00ED4D49" w:rsidRDefault="00B62B42" w:rsidP="00530056">
            <w:pPr>
              <w:pStyle w:val="ListParagraph"/>
              <w:numPr>
                <w:ilvl w:val="0"/>
                <w:numId w:val="27"/>
              </w:numPr>
              <w:autoSpaceDE w:val="0"/>
              <w:autoSpaceDN w:val="0"/>
              <w:adjustRightInd w:val="0"/>
              <w:spacing w:before="0" w:after="0" w:line="240" w:lineRule="auto"/>
              <w:ind w:left="204" w:hanging="204"/>
              <w:rPr>
                <w:rFonts w:cs="Calibri"/>
                <w:kern w:val="24"/>
                <w:sz w:val="18"/>
                <w:szCs w:val="18"/>
              </w:rPr>
            </w:pPr>
            <w:r w:rsidRPr="00ED4D49">
              <w:rPr>
                <w:rFonts w:cs="Calibri"/>
                <w:b/>
                <w:bCs/>
                <w:kern w:val="24"/>
                <w:sz w:val="18"/>
                <w:szCs w:val="18"/>
              </w:rPr>
              <w:t xml:space="preserve">Noise generation </w:t>
            </w:r>
            <w:r w:rsidRPr="00ED4D49">
              <w:rPr>
                <w:rFonts w:cs="Calibri"/>
                <w:kern w:val="24"/>
                <w:sz w:val="18"/>
                <w:szCs w:val="18"/>
              </w:rPr>
              <w:t>from equipment &amp; operations</w:t>
            </w:r>
          </w:p>
        </w:tc>
        <w:tc>
          <w:tcPr>
            <w:tcW w:w="2986" w:type="dxa"/>
          </w:tcPr>
          <w:p w14:paraId="285D76AF" w14:textId="77777777" w:rsidR="00B62B42" w:rsidRPr="00ED4D49" w:rsidRDefault="00B62B42" w:rsidP="00530056">
            <w:pPr>
              <w:pStyle w:val="ListParagraph"/>
              <w:numPr>
                <w:ilvl w:val="0"/>
                <w:numId w:val="27"/>
              </w:numPr>
              <w:autoSpaceDE w:val="0"/>
              <w:autoSpaceDN w:val="0"/>
              <w:adjustRightInd w:val="0"/>
              <w:spacing w:before="0" w:after="0" w:line="240" w:lineRule="auto"/>
              <w:ind w:left="136" w:hanging="136"/>
              <w:rPr>
                <w:rFonts w:cs="Calibri"/>
                <w:kern w:val="24"/>
                <w:sz w:val="18"/>
                <w:szCs w:val="18"/>
              </w:rPr>
            </w:pPr>
            <w:r w:rsidRPr="00ED4D49">
              <w:rPr>
                <w:rFonts w:cs="Calibri"/>
                <w:kern w:val="24"/>
                <w:sz w:val="18"/>
                <w:szCs w:val="18"/>
              </w:rPr>
              <w:t>Schedule equipment movement during non-peak hours of daytime vehicular traffic</w:t>
            </w:r>
          </w:p>
          <w:p w14:paraId="249EDE29" w14:textId="77777777" w:rsidR="00B62B42" w:rsidRPr="00ED4D49" w:rsidRDefault="00B62B42" w:rsidP="00530056">
            <w:pPr>
              <w:pStyle w:val="ListParagraph"/>
              <w:numPr>
                <w:ilvl w:val="0"/>
                <w:numId w:val="27"/>
              </w:numPr>
              <w:autoSpaceDE w:val="0"/>
              <w:autoSpaceDN w:val="0"/>
              <w:adjustRightInd w:val="0"/>
              <w:spacing w:before="0" w:after="0" w:line="240" w:lineRule="auto"/>
              <w:ind w:left="136" w:hanging="136"/>
              <w:rPr>
                <w:rFonts w:cs="Calibri"/>
                <w:kern w:val="24"/>
                <w:sz w:val="18"/>
                <w:szCs w:val="18"/>
              </w:rPr>
            </w:pPr>
            <w:r w:rsidRPr="00ED4D49">
              <w:rPr>
                <w:rFonts w:cs="Calibri"/>
                <w:kern w:val="24"/>
                <w:sz w:val="18"/>
                <w:szCs w:val="18"/>
              </w:rPr>
              <w:t>Avoid night-time construction activities and abide by local</w:t>
            </w:r>
          </w:p>
          <w:p w14:paraId="7DBD826A" w14:textId="77777777" w:rsidR="00B62B42" w:rsidRPr="00ED4D49" w:rsidRDefault="00B62B42" w:rsidP="00530056">
            <w:pPr>
              <w:pStyle w:val="ListParagraph"/>
              <w:numPr>
                <w:ilvl w:val="0"/>
                <w:numId w:val="27"/>
              </w:numPr>
              <w:autoSpaceDE w:val="0"/>
              <w:autoSpaceDN w:val="0"/>
              <w:adjustRightInd w:val="0"/>
              <w:spacing w:before="0" w:after="0" w:line="240" w:lineRule="auto"/>
              <w:ind w:left="136" w:hanging="136"/>
              <w:rPr>
                <w:rFonts w:cs="Calibri"/>
                <w:kern w:val="24"/>
                <w:sz w:val="18"/>
                <w:szCs w:val="18"/>
              </w:rPr>
            </w:pPr>
            <w:r w:rsidRPr="00ED4D49">
              <w:rPr>
                <w:rFonts w:cs="Calibri"/>
                <w:kern w:val="24"/>
                <w:sz w:val="18"/>
                <w:szCs w:val="18"/>
              </w:rPr>
              <w:t>laws on construction hours</w:t>
            </w:r>
          </w:p>
          <w:p w14:paraId="6A410D33" w14:textId="77777777" w:rsidR="00B62B42" w:rsidRPr="00ED4D49" w:rsidRDefault="00B62B42" w:rsidP="00530056">
            <w:pPr>
              <w:pStyle w:val="ListParagraph"/>
              <w:numPr>
                <w:ilvl w:val="0"/>
                <w:numId w:val="27"/>
              </w:numPr>
              <w:autoSpaceDE w:val="0"/>
              <w:autoSpaceDN w:val="0"/>
              <w:adjustRightInd w:val="0"/>
              <w:spacing w:before="0" w:after="0" w:line="240" w:lineRule="auto"/>
              <w:ind w:left="136" w:hanging="136"/>
              <w:rPr>
                <w:rFonts w:cs="Calibri"/>
                <w:kern w:val="24"/>
                <w:sz w:val="18"/>
                <w:szCs w:val="18"/>
              </w:rPr>
            </w:pPr>
            <w:r w:rsidRPr="00ED4D49">
              <w:rPr>
                <w:rFonts w:cs="Calibri"/>
                <w:kern w:val="24"/>
                <w:sz w:val="18"/>
                <w:szCs w:val="18"/>
              </w:rPr>
              <w:t>Provide silencers/mufflers for</w:t>
            </w:r>
          </w:p>
          <w:p w14:paraId="5CA43E8F" w14:textId="77777777" w:rsidR="00B62B42" w:rsidRPr="00ED4D49" w:rsidRDefault="00B62B42" w:rsidP="00530056">
            <w:pPr>
              <w:pStyle w:val="Default"/>
              <w:numPr>
                <w:ilvl w:val="0"/>
                <w:numId w:val="27"/>
              </w:numPr>
              <w:ind w:left="136" w:hanging="136"/>
              <w:rPr>
                <w:rFonts w:ascii="Calibri" w:hAnsi="Calibri" w:cs="Calibri"/>
                <w:sz w:val="18"/>
                <w:szCs w:val="18"/>
              </w:rPr>
            </w:pPr>
            <w:r w:rsidRPr="00ED4D49">
              <w:rPr>
                <w:rFonts w:ascii="Calibri" w:hAnsi="Calibri" w:cs="Calibri"/>
                <w:sz w:val="18"/>
                <w:szCs w:val="18"/>
              </w:rPr>
              <w:t>heavy equipment</w:t>
            </w:r>
          </w:p>
        </w:tc>
        <w:tc>
          <w:tcPr>
            <w:tcW w:w="3685" w:type="dxa"/>
          </w:tcPr>
          <w:p w14:paraId="2400D668" w14:textId="77777777" w:rsidR="00B62B42" w:rsidRPr="00ED4D49" w:rsidRDefault="00B62B42" w:rsidP="00530056">
            <w:pPr>
              <w:pStyle w:val="ListParagraph"/>
              <w:numPr>
                <w:ilvl w:val="0"/>
                <w:numId w:val="27"/>
              </w:numPr>
              <w:autoSpaceDE w:val="0"/>
              <w:autoSpaceDN w:val="0"/>
              <w:adjustRightInd w:val="0"/>
              <w:spacing w:before="0" w:after="0" w:line="240" w:lineRule="auto"/>
              <w:ind w:left="193" w:hanging="193"/>
              <w:rPr>
                <w:rFonts w:cs="Calibri"/>
                <w:kern w:val="24"/>
                <w:sz w:val="18"/>
                <w:szCs w:val="18"/>
              </w:rPr>
            </w:pPr>
            <w:r w:rsidRPr="00ED4D49">
              <w:rPr>
                <w:rFonts w:cs="Calibri"/>
                <w:kern w:val="24"/>
                <w:sz w:val="18"/>
                <w:szCs w:val="18"/>
              </w:rPr>
              <w:t>Public complaints received</w:t>
            </w:r>
          </w:p>
          <w:p w14:paraId="4F2E212E" w14:textId="77777777" w:rsidR="00B62B42" w:rsidRPr="00ED4D49" w:rsidRDefault="00B62B42" w:rsidP="00530056">
            <w:pPr>
              <w:pStyle w:val="ListParagraph"/>
              <w:numPr>
                <w:ilvl w:val="0"/>
                <w:numId w:val="27"/>
              </w:numPr>
              <w:autoSpaceDE w:val="0"/>
              <w:autoSpaceDN w:val="0"/>
              <w:adjustRightInd w:val="0"/>
              <w:spacing w:before="0" w:after="0" w:line="240" w:lineRule="auto"/>
              <w:ind w:left="193" w:hanging="193"/>
              <w:rPr>
                <w:rFonts w:cs="Calibri"/>
                <w:kern w:val="24"/>
                <w:sz w:val="18"/>
                <w:szCs w:val="18"/>
              </w:rPr>
            </w:pPr>
            <w:r w:rsidRPr="00ED4D49">
              <w:rPr>
                <w:rFonts w:cs="Calibri"/>
                <w:kern w:val="24"/>
                <w:sz w:val="18"/>
                <w:szCs w:val="18"/>
              </w:rPr>
              <w:t>Measure a noise level in case of complaints</w:t>
            </w:r>
          </w:p>
        </w:tc>
        <w:tc>
          <w:tcPr>
            <w:tcW w:w="3686" w:type="dxa"/>
          </w:tcPr>
          <w:p w14:paraId="37BBD3E7" w14:textId="77777777" w:rsidR="00B62B42" w:rsidRPr="00ED4D49" w:rsidRDefault="00B62B42" w:rsidP="00530056">
            <w:pPr>
              <w:pStyle w:val="ListParagraph"/>
              <w:numPr>
                <w:ilvl w:val="0"/>
                <w:numId w:val="27"/>
              </w:numPr>
              <w:autoSpaceDE w:val="0"/>
              <w:autoSpaceDN w:val="0"/>
              <w:adjustRightInd w:val="0"/>
              <w:spacing w:before="0" w:after="180" w:line="264" w:lineRule="auto"/>
              <w:ind w:left="124" w:hanging="186"/>
              <w:rPr>
                <w:rFonts w:cs="Calibri"/>
                <w:kern w:val="24"/>
                <w:sz w:val="18"/>
                <w:szCs w:val="18"/>
              </w:rPr>
            </w:pPr>
            <w:r w:rsidRPr="00ED4D49">
              <w:rPr>
                <w:rFonts w:cs="Calibri"/>
                <w:kern w:val="24"/>
                <w:sz w:val="18"/>
                <w:szCs w:val="18"/>
              </w:rPr>
              <w:t>Contractor:</w:t>
            </w:r>
          </w:p>
          <w:p w14:paraId="3BBD17DD" w14:textId="77777777" w:rsidR="00B62B42" w:rsidRPr="00ED4D49" w:rsidRDefault="00B62B42" w:rsidP="00530056">
            <w:pPr>
              <w:pStyle w:val="Default"/>
              <w:numPr>
                <w:ilvl w:val="0"/>
                <w:numId w:val="27"/>
              </w:numPr>
              <w:ind w:left="124" w:hanging="186"/>
              <w:rPr>
                <w:rFonts w:ascii="Calibri" w:hAnsi="Calibri" w:cs="Calibri"/>
                <w:sz w:val="18"/>
                <w:szCs w:val="18"/>
              </w:rPr>
            </w:pPr>
            <w:r w:rsidRPr="00ED4D49">
              <w:rPr>
                <w:rFonts w:ascii="Calibri" w:hAnsi="Calibri" w:cs="Calibri"/>
                <w:sz w:val="18"/>
                <w:szCs w:val="18"/>
              </w:rPr>
              <w:t>__________</w:t>
            </w:r>
          </w:p>
        </w:tc>
      </w:tr>
      <w:tr w:rsidR="00B62B42" w:rsidRPr="00ED4D49" w14:paraId="048D1323" w14:textId="77777777" w:rsidTr="00B62B42">
        <w:tc>
          <w:tcPr>
            <w:tcW w:w="1982" w:type="dxa"/>
            <w:vMerge/>
          </w:tcPr>
          <w:p w14:paraId="7876DF40" w14:textId="77777777" w:rsidR="00B62B42" w:rsidRPr="00ED4D49" w:rsidRDefault="00B62B42" w:rsidP="00633607">
            <w:pPr>
              <w:pStyle w:val="Default"/>
              <w:rPr>
                <w:rFonts w:ascii="Calibri" w:hAnsi="Calibri" w:cs="Calibri"/>
                <w:sz w:val="18"/>
                <w:szCs w:val="18"/>
              </w:rPr>
            </w:pPr>
          </w:p>
        </w:tc>
        <w:tc>
          <w:tcPr>
            <w:tcW w:w="12472" w:type="dxa"/>
            <w:gridSpan w:val="4"/>
          </w:tcPr>
          <w:p w14:paraId="035F92BD" w14:textId="77777777" w:rsidR="00B62B42" w:rsidRPr="00ED4D49" w:rsidRDefault="00B62B42" w:rsidP="00633607">
            <w:pPr>
              <w:pStyle w:val="Default"/>
              <w:rPr>
                <w:rFonts w:ascii="Calibri" w:hAnsi="Calibri" w:cs="Calibri"/>
                <w:sz w:val="18"/>
                <w:szCs w:val="18"/>
              </w:rPr>
            </w:pPr>
            <w:r w:rsidRPr="00ED4D49">
              <w:rPr>
                <w:rFonts w:ascii="Calibri" w:hAnsi="Calibri" w:cs="Calibri"/>
                <w:b/>
                <w:bCs/>
                <w:sz w:val="18"/>
                <w:szCs w:val="18"/>
              </w:rPr>
              <w:t>Waste and Inert Material Management</w:t>
            </w:r>
          </w:p>
        </w:tc>
      </w:tr>
      <w:tr w:rsidR="00B62B42" w:rsidRPr="00ED4D49" w14:paraId="2415ADC6" w14:textId="77777777" w:rsidTr="00B62B42">
        <w:tc>
          <w:tcPr>
            <w:tcW w:w="1982" w:type="dxa"/>
            <w:vMerge/>
          </w:tcPr>
          <w:p w14:paraId="3323DB37" w14:textId="77777777" w:rsidR="00B62B42" w:rsidRPr="00ED4D49" w:rsidRDefault="00B62B42" w:rsidP="00633607">
            <w:pPr>
              <w:pStyle w:val="Default"/>
              <w:rPr>
                <w:rFonts w:ascii="Calibri" w:hAnsi="Calibri" w:cs="Calibri"/>
                <w:sz w:val="18"/>
                <w:szCs w:val="18"/>
              </w:rPr>
            </w:pPr>
          </w:p>
        </w:tc>
        <w:tc>
          <w:tcPr>
            <w:tcW w:w="2115" w:type="dxa"/>
          </w:tcPr>
          <w:p w14:paraId="019D9AFC" w14:textId="77777777" w:rsidR="00B62B42" w:rsidRPr="00ED4D49" w:rsidRDefault="00B62B42" w:rsidP="00530056">
            <w:pPr>
              <w:pStyle w:val="ListParagraph"/>
              <w:numPr>
                <w:ilvl w:val="0"/>
                <w:numId w:val="27"/>
              </w:numPr>
              <w:autoSpaceDE w:val="0"/>
              <w:autoSpaceDN w:val="0"/>
              <w:adjustRightInd w:val="0"/>
              <w:spacing w:before="0" w:after="0" w:line="240" w:lineRule="auto"/>
              <w:ind w:left="204" w:hanging="160"/>
              <w:rPr>
                <w:rFonts w:cs="Calibri"/>
                <w:kern w:val="24"/>
                <w:sz w:val="18"/>
                <w:szCs w:val="18"/>
              </w:rPr>
            </w:pPr>
            <w:r w:rsidRPr="00ED4D49">
              <w:rPr>
                <w:rFonts w:cs="Calibri"/>
                <w:kern w:val="24"/>
                <w:sz w:val="18"/>
                <w:szCs w:val="18"/>
              </w:rPr>
              <w:t xml:space="preserve">Environmental pollution caused by improper </w:t>
            </w:r>
            <w:r w:rsidRPr="00ED4D49">
              <w:rPr>
                <w:rFonts w:cs="Calibri"/>
                <w:b/>
                <w:bCs/>
                <w:kern w:val="24"/>
                <w:sz w:val="18"/>
                <w:szCs w:val="18"/>
              </w:rPr>
              <w:t>waste management</w:t>
            </w:r>
          </w:p>
        </w:tc>
        <w:tc>
          <w:tcPr>
            <w:tcW w:w="2986" w:type="dxa"/>
          </w:tcPr>
          <w:p w14:paraId="164F6C66" w14:textId="77777777" w:rsidR="00B62B42" w:rsidRPr="00ED4D49" w:rsidRDefault="00B62B42" w:rsidP="00530056">
            <w:pPr>
              <w:pStyle w:val="ListParagraph"/>
              <w:numPr>
                <w:ilvl w:val="0"/>
                <w:numId w:val="27"/>
              </w:numPr>
              <w:autoSpaceDE w:val="0"/>
              <w:autoSpaceDN w:val="0"/>
              <w:adjustRightInd w:val="0"/>
              <w:spacing w:before="0" w:after="0" w:line="240" w:lineRule="auto"/>
              <w:ind w:left="136" w:hanging="142"/>
              <w:rPr>
                <w:rFonts w:cs="Calibri"/>
                <w:kern w:val="24"/>
                <w:sz w:val="18"/>
                <w:szCs w:val="18"/>
              </w:rPr>
            </w:pPr>
            <w:r w:rsidRPr="00ED4D49">
              <w:rPr>
                <w:rFonts w:cs="Calibri"/>
                <w:kern w:val="24"/>
                <w:sz w:val="18"/>
                <w:szCs w:val="18"/>
              </w:rPr>
              <w:t>Waste collection and disposal pathways and sites will be identified for all major waste types expected from construction activities.</w:t>
            </w:r>
          </w:p>
          <w:p w14:paraId="7FFE3708" w14:textId="77777777" w:rsidR="00B62B42" w:rsidRPr="00ED4D49" w:rsidRDefault="00B62B42" w:rsidP="00530056">
            <w:pPr>
              <w:pStyle w:val="ListParagraph"/>
              <w:numPr>
                <w:ilvl w:val="0"/>
                <w:numId w:val="27"/>
              </w:numPr>
              <w:autoSpaceDE w:val="0"/>
              <w:autoSpaceDN w:val="0"/>
              <w:adjustRightInd w:val="0"/>
              <w:spacing w:before="0" w:after="0" w:line="240" w:lineRule="auto"/>
              <w:ind w:left="136" w:hanging="142"/>
              <w:rPr>
                <w:rFonts w:cs="Calibri"/>
                <w:kern w:val="24"/>
                <w:sz w:val="18"/>
                <w:szCs w:val="18"/>
              </w:rPr>
            </w:pPr>
            <w:r w:rsidRPr="00ED4D49">
              <w:rPr>
                <w:rFonts w:cs="Calibri"/>
                <w:kern w:val="24"/>
                <w:sz w:val="18"/>
                <w:szCs w:val="18"/>
              </w:rPr>
              <w:t>Mineral construction will be separated from general refuse, organic, liquid and chemical wastes by on-site sorting and stored in appropriate containers.</w:t>
            </w:r>
          </w:p>
          <w:p w14:paraId="5692192A" w14:textId="77777777" w:rsidR="00B62B42" w:rsidRPr="00ED4D49" w:rsidRDefault="00B62B42" w:rsidP="00530056">
            <w:pPr>
              <w:pStyle w:val="ListParagraph"/>
              <w:numPr>
                <w:ilvl w:val="0"/>
                <w:numId w:val="27"/>
              </w:numPr>
              <w:autoSpaceDE w:val="0"/>
              <w:autoSpaceDN w:val="0"/>
              <w:adjustRightInd w:val="0"/>
              <w:spacing w:before="0" w:after="0" w:line="240" w:lineRule="auto"/>
              <w:ind w:left="136" w:hanging="142"/>
              <w:rPr>
                <w:rFonts w:cs="Calibri"/>
                <w:kern w:val="24"/>
                <w:sz w:val="18"/>
                <w:szCs w:val="18"/>
              </w:rPr>
            </w:pPr>
            <w:r w:rsidRPr="00ED4D49">
              <w:rPr>
                <w:rFonts w:cs="Calibri"/>
                <w:kern w:val="24"/>
                <w:sz w:val="18"/>
                <w:szCs w:val="18"/>
              </w:rPr>
              <w:t>Construction waste will be collected and disposed properly by licensed collectors</w:t>
            </w:r>
          </w:p>
          <w:p w14:paraId="3DDC4E07" w14:textId="77777777" w:rsidR="00B62B42" w:rsidRPr="00ED4D49" w:rsidRDefault="00B62B42" w:rsidP="00530056">
            <w:pPr>
              <w:pStyle w:val="ListParagraph"/>
              <w:numPr>
                <w:ilvl w:val="0"/>
                <w:numId w:val="27"/>
              </w:numPr>
              <w:autoSpaceDE w:val="0"/>
              <w:autoSpaceDN w:val="0"/>
              <w:adjustRightInd w:val="0"/>
              <w:spacing w:before="0" w:after="0" w:line="240" w:lineRule="auto"/>
              <w:ind w:left="136" w:hanging="142"/>
              <w:rPr>
                <w:rFonts w:cs="Calibri"/>
                <w:kern w:val="24"/>
                <w:sz w:val="18"/>
                <w:szCs w:val="18"/>
              </w:rPr>
            </w:pPr>
            <w:r w:rsidRPr="00ED4D49">
              <w:rPr>
                <w:rFonts w:cs="Calibri"/>
                <w:kern w:val="24"/>
                <w:sz w:val="18"/>
                <w:szCs w:val="18"/>
              </w:rPr>
              <w:t>No open burning of wastes on or off site</w:t>
            </w:r>
          </w:p>
        </w:tc>
        <w:tc>
          <w:tcPr>
            <w:tcW w:w="3685" w:type="dxa"/>
          </w:tcPr>
          <w:p w14:paraId="47AA405A" w14:textId="77777777" w:rsidR="00B62B42" w:rsidRPr="00ED4D49" w:rsidRDefault="00B62B42" w:rsidP="00530056">
            <w:pPr>
              <w:pStyle w:val="ListParagraph"/>
              <w:numPr>
                <w:ilvl w:val="0"/>
                <w:numId w:val="27"/>
              </w:numPr>
              <w:autoSpaceDE w:val="0"/>
              <w:autoSpaceDN w:val="0"/>
              <w:adjustRightInd w:val="0"/>
              <w:spacing w:before="0" w:after="0" w:line="240" w:lineRule="auto"/>
              <w:ind w:left="193" w:hanging="193"/>
              <w:rPr>
                <w:rFonts w:cs="Calibri"/>
                <w:kern w:val="24"/>
                <w:sz w:val="18"/>
                <w:szCs w:val="18"/>
              </w:rPr>
            </w:pPr>
            <w:r w:rsidRPr="00ED4D49">
              <w:rPr>
                <w:rFonts w:cs="Calibri"/>
                <w:kern w:val="24"/>
                <w:sz w:val="18"/>
                <w:szCs w:val="18"/>
              </w:rPr>
              <w:t>Visual inspection of separate waste management piles</w:t>
            </w:r>
          </w:p>
          <w:p w14:paraId="6973A66B" w14:textId="77777777" w:rsidR="00B62B42" w:rsidRPr="00ED4D49" w:rsidRDefault="00B62B42" w:rsidP="00530056">
            <w:pPr>
              <w:pStyle w:val="ListParagraph"/>
              <w:numPr>
                <w:ilvl w:val="0"/>
                <w:numId w:val="27"/>
              </w:numPr>
              <w:autoSpaceDE w:val="0"/>
              <w:autoSpaceDN w:val="0"/>
              <w:adjustRightInd w:val="0"/>
              <w:spacing w:before="0" w:after="0" w:line="240" w:lineRule="auto"/>
              <w:ind w:left="193" w:hanging="193"/>
              <w:rPr>
                <w:rFonts w:cs="Calibri"/>
                <w:kern w:val="24"/>
                <w:sz w:val="18"/>
                <w:szCs w:val="18"/>
              </w:rPr>
            </w:pPr>
            <w:r w:rsidRPr="00ED4D49">
              <w:rPr>
                <w:rFonts w:cs="Calibri"/>
                <w:kern w:val="24"/>
                <w:sz w:val="18"/>
                <w:szCs w:val="18"/>
              </w:rPr>
              <w:t>Written receipts of all separate waste streams handled by the designated authorities</w:t>
            </w:r>
          </w:p>
          <w:p w14:paraId="14C43C07" w14:textId="77777777" w:rsidR="00B62B42" w:rsidRPr="00ED4D49" w:rsidRDefault="00B62B42" w:rsidP="00530056">
            <w:pPr>
              <w:pStyle w:val="ListParagraph"/>
              <w:numPr>
                <w:ilvl w:val="0"/>
                <w:numId w:val="27"/>
              </w:numPr>
              <w:autoSpaceDE w:val="0"/>
              <w:autoSpaceDN w:val="0"/>
              <w:adjustRightInd w:val="0"/>
              <w:spacing w:before="0" w:after="0" w:line="240" w:lineRule="auto"/>
              <w:ind w:left="193" w:hanging="193"/>
              <w:rPr>
                <w:rFonts w:cs="Calibri"/>
                <w:kern w:val="24"/>
                <w:sz w:val="18"/>
                <w:szCs w:val="18"/>
              </w:rPr>
            </w:pPr>
            <w:r w:rsidRPr="00ED4D49">
              <w:rPr>
                <w:rFonts w:cs="Calibri"/>
                <w:kern w:val="24"/>
                <w:sz w:val="18"/>
                <w:szCs w:val="18"/>
              </w:rPr>
              <w:t>Visual inspection of burn marks on site</w:t>
            </w:r>
          </w:p>
        </w:tc>
        <w:tc>
          <w:tcPr>
            <w:tcW w:w="3686" w:type="dxa"/>
          </w:tcPr>
          <w:p w14:paraId="473F9443" w14:textId="77777777" w:rsidR="00B62B42" w:rsidRPr="00ED4D49" w:rsidRDefault="00B62B42" w:rsidP="00530056">
            <w:pPr>
              <w:pStyle w:val="ListParagraph"/>
              <w:numPr>
                <w:ilvl w:val="0"/>
                <w:numId w:val="27"/>
              </w:numPr>
              <w:autoSpaceDE w:val="0"/>
              <w:autoSpaceDN w:val="0"/>
              <w:adjustRightInd w:val="0"/>
              <w:spacing w:before="0" w:after="180" w:line="264" w:lineRule="auto"/>
              <w:ind w:left="124" w:hanging="142"/>
              <w:rPr>
                <w:rFonts w:cs="Calibri"/>
                <w:kern w:val="24"/>
                <w:sz w:val="18"/>
                <w:szCs w:val="18"/>
              </w:rPr>
            </w:pPr>
            <w:r w:rsidRPr="00ED4D49">
              <w:rPr>
                <w:rFonts w:cs="Calibri"/>
                <w:kern w:val="24"/>
                <w:sz w:val="18"/>
                <w:szCs w:val="18"/>
              </w:rPr>
              <w:t>Contractor for execution of civil works</w:t>
            </w:r>
          </w:p>
          <w:p w14:paraId="6D279F43" w14:textId="77777777" w:rsidR="00B62B42" w:rsidRPr="00ED4D49" w:rsidRDefault="00B62B42" w:rsidP="00530056">
            <w:pPr>
              <w:pStyle w:val="Default"/>
              <w:numPr>
                <w:ilvl w:val="0"/>
                <w:numId w:val="27"/>
              </w:numPr>
              <w:ind w:left="124" w:hanging="142"/>
              <w:rPr>
                <w:rFonts w:ascii="Calibri" w:hAnsi="Calibri" w:cs="Calibri"/>
                <w:sz w:val="18"/>
                <w:szCs w:val="18"/>
              </w:rPr>
            </w:pPr>
            <w:r w:rsidRPr="00ED4D49">
              <w:rPr>
                <w:rFonts w:ascii="Calibri" w:hAnsi="Calibri" w:cs="Calibri"/>
                <w:sz w:val="18"/>
                <w:szCs w:val="18"/>
              </w:rPr>
              <w:t>__________</w:t>
            </w:r>
          </w:p>
        </w:tc>
      </w:tr>
      <w:tr w:rsidR="009F15CE" w:rsidRPr="00ED4D49" w14:paraId="7EB80348" w14:textId="77777777" w:rsidTr="009E6567">
        <w:tc>
          <w:tcPr>
            <w:tcW w:w="1982" w:type="dxa"/>
            <w:vMerge w:val="restart"/>
          </w:tcPr>
          <w:p w14:paraId="67D3171D" w14:textId="26DA7588" w:rsidR="009F15CE" w:rsidRPr="00ED4D49" w:rsidRDefault="009F15CE" w:rsidP="00633607">
            <w:pPr>
              <w:spacing w:before="0" w:after="0"/>
              <w:ind w:left="144" w:right="144"/>
              <w:rPr>
                <w:rFonts w:cs="Calibri"/>
                <w:b/>
                <w:bCs/>
                <w:color w:val="336699"/>
                <w:sz w:val="18"/>
                <w:szCs w:val="18"/>
                <w:lang w:val="en-US"/>
              </w:rPr>
            </w:pPr>
            <w:r w:rsidRPr="00ED4D49">
              <w:rPr>
                <w:rFonts w:cs="Calibri"/>
                <w:b/>
                <w:bCs/>
                <w:color w:val="336699"/>
                <w:sz w:val="18"/>
                <w:szCs w:val="18"/>
                <w:lang w:val="en-US"/>
              </w:rPr>
              <w:t>Mobilization/ Temporary facilities/ Construction/De-mobilization</w:t>
            </w:r>
          </w:p>
        </w:tc>
        <w:tc>
          <w:tcPr>
            <w:tcW w:w="12472" w:type="dxa"/>
            <w:gridSpan w:val="4"/>
          </w:tcPr>
          <w:p w14:paraId="01BB04E9" w14:textId="2AB5046D" w:rsidR="009F15CE" w:rsidRPr="00ED4D49" w:rsidRDefault="009F15CE" w:rsidP="00550D90">
            <w:pPr>
              <w:pStyle w:val="Default"/>
              <w:rPr>
                <w:rFonts w:cs="Calibri"/>
                <w:kern w:val="24"/>
                <w:sz w:val="18"/>
                <w:szCs w:val="18"/>
              </w:rPr>
            </w:pPr>
            <w:r w:rsidRPr="00ED4D49">
              <w:rPr>
                <w:rFonts w:ascii="Calibri" w:hAnsi="Calibri" w:cs="Calibri"/>
                <w:b/>
                <w:bCs/>
                <w:sz w:val="18"/>
                <w:szCs w:val="18"/>
              </w:rPr>
              <w:t>Soil quality – erosion and vegetation cover</w:t>
            </w:r>
          </w:p>
        </w:tc>
      </w:tr>
      <w:tr w:rsidR="009F15CE" w:rsidRPr="00ED4D49" w14:paraId="0F3A3546" w14:textId="77777777" w:rsidTr="00B62B42">
        <w:tc>
          <w:tcPr>
            <w:tcW w:w="1982" w:type="dxa"/>
            <w:vMerge/>
          </w:tcPr>
          <w:p w14:paraId="6EB85613" w14:textId="6B6F45ED" w:rsidR="009F15CE" w:rsidRPr="00ED4D49" w:rsidRDefault="009F15CE" w:rsidP="00633607">
            <w:pPr>
              <w:spacing w:before="0" w:after="0"/>
              <w:ind w:left="144" w:right="144"/>
              <w:rPr>
                <w:rFonts w:cs="Calibri"/>
                <w:b/>
                <w:color w:val="0070C0"/>
                <w:sz w:val="18"/>
                <w:szCs w:val="18"/>
                <w:lang w:val="en-US"/>
              </w:rPr>
            </w:pPr>
          </w:p>
        </w:tc>
        <w:tc>
          <w:tcPr>
            <w:tcW w:w="2115" w:type="dxa"/>
          </w:tcPr>
          <w:p w14:paraId="30CB0C3E" w14:textId="77777777" w:rsidR="009F15CE" w:rsidRPr="00ED4D49" w:rsidRDefault="009F15CE" w:rsidP="00530056">
            <w:pPr>
              <w:pStyle w:val="ListParagraph"/>
              <w:numPr>
                <w:ilvl w:val="0"/>
                <w:numId w:val="27"/>
              </w:numPr>
              <w:autoSpaceDE w:val="0"/>
              <w:autoSpaceDN w:val="0"/>
              <w:adjustRightInd w:val="0"/>
              <w:spacing w:before="0" w:after="0" w:line="240" w:lineRule="auto"/>
              <w:ind w:left="204" w:hanging="204"/>
              <w:rPr>
                <w:rFonts w:cs="Calibri"/>
                <w:kern w:val="24"/>
                <w:sz w:val="18"/>
                <w:szCs w:val="18"/>
              </w:rPr>
            </w:pPr>
            <w:r w:rsidRPr="00ED4D49">
              <w:rPr>
                <w:rFonts w:cs="Calibri"/>
                <w:b/>
                <w:bCs/>
                <w:kern w:val="24"/>
                <w:sz w:val="18"/>
                <w:szCs w:val="18"/>
              </w:rPr>
              <w:t xml:space="preserve">Soil erosion and landslides </w:t>
            </w:r>
            <w:r w:rsidRPr="00ED4D49">
              <w:rPr>
                <w:rFonts w:cs="Calibri"/>
                <w:kern w:val="24"/>
                <w:sz w:val="18"/>
                <w:szCs w:val="18"/>
              </w:rPr>
              <w:t>due to clearing and/or excavation</w:t>
            </w:r>
          </w:p>
        </w:tc>
        <w:tc>
          <w:tcPr>
            <w:tcW w:w="2986" w:type="dxa"/>
          </w:tcPr>
          <w:p w14:paraId="78A16B61" w14:textId="77777777" w:rsidR="009F15CE" w:rsidRPr="00ED4D49" w:rsidRDefault="009F15CE" w:rsidP="00530056">
            <w:pPr>
              <w:pStyle w:val="ListParagraph"/>
              <w:numPr>
                <w:ilvl w:val="0"/>
                <w:numId w:val="27"/>
              </w:numPr>
              <w:autoSpaceDE w:val="0"/>
              <w:autoSpaceDN w:val="0"/>
              <w:adjustRightInd w:val="0"/>
              <w:spacing w:before="0" w:after="180" w:line="264" w:lineRule="auto"/>
              <w:ind w:left="134" w:hanging="134"/>
              <w:rPr>
                <w:rFonts w:cs="Calibri"/>
                <w:kern w:val="24"/>
                <w:sz w:val="18"/>
                <w:szCs w:val="18"/>
              </w:rPr>
            </w:pPr>
            <w:r w:rsidRPr="00ED4D49">
              <w:rPr>
                <w:rFonts w:cs="Calibri"/>
                <w:kern w:val="24"/>
                <w:sz w:val="18"/>
                <w:szCs w:val="18"/>
              </w:rPr>
              <w:t>Provide slope protection through bank compaction, riprapping on critical sections, or vegetative stabilization</w:t>
            </w:r>
          </w:p>
          <w:p w14:paraId="63A165AB" w14:textId="2C0ED24E" w:rsidR="009F15CE" w:rsidRPr="00ED4D49" w:rsidRDefault="009F15CE" w:rsidP="00530056">
            <w:pPr>
              <w:pStyle w:val="ListParagraph"/>
              <w:numPr>
                <w:ilvl w:val="0"/>
                <w:numId w:val="27"/>
              </w:numPr>
              <w:autoSpaceDE w:val="0"/>
              <w:autoSpaceDN w:val="0"/>
              <w:adjustRightInd w:val="0"/>
              <w:spacing w:before="0" w:after="0" w:line="240" w:lineRule="auto"/>
              <w:ind w:left="136" w:hanging="136"/>
              <w:rPr>
                <w:rFonts w:cs="Calibri"/>
                <w:kern w:val="24"/>
                <w:sz w:val="18"/>
                <w:szCs w:val="18"/>
              </w:rPr>
            </w:pPr>
            <w:r w:rsidRPr="00ED4D49">
              <w:rPr>
                <w:rFonts w:cs="Calibri"/>
                <w:kern w:val="24"/>
                <w:sz w:val="18"/>
                <w:szCs w:val="18"/>
              </w:rPr>
              <w:t>Designate a Spoils Storage Area, with topsoil set aside for later use and allow maximum re-use of spoils</w:t>
            </w:r>
          </w:p>
          <w:p w14:paraId="41C62DA8" w14:textId="77777777" w:rsidR="009F15CE" w:rsidRPr="00ED4D49" w:rsidRDefault="009F15CE" w:rsidP="00530056">
            <w:pPr>
              <w:pStyle w:val="ListParagraph"/>
              <w:numPr>
                <w:ilvl w:val="0"/>
                <w:numId w:val="27"/>
              </w:numPr>
              <w:autoSpaceDE w:val="0"/>
              <w:autoSpaceDN w:val="0"/>
              <w:adjustRightInd w:val="0"/>
              <w:spacing w:before="0" w:after="0" w:line="240" w:lineRule="auto"/>
              <w:ind w:left="136" w:hanging="136"/>
              <w:rPr>
                <w:rFonts w:cs="Calibri"/>
                <w:kern w:val="24"/>
                <w:sz w:val="18"/>
                <w:szCs w:val="18"/>
              </w:rPr>
            </w:pPr>
            <w:r w:rsidRPr="00ED4D49">
              <w:rPr>
                <w:rFonts w:cs="Calibri"/>
                <w:kern w:val="24"/>
                <w:sz w:val="18"/>
                <w:szCs w:val="18"/>
              </w:rPr>
              <w:lastRenderedPageBreak/>
              <w:t xml:space="preserve"> Use material for restoration of degraded areas</w:t>
            </w:r>
          </w:p>
        </w:tc>
        <w:tc>
          <w:tcPr>
            <w:tcW w:w="3685" w:type="dxa"/>
          </w:tcPr>
          <w:p w14:paraId="6AD26C62" w14:textId="77777777" w:rsidR="009F15CE" w:rsidRPr="00ED4D49" w:rsidRDefault="009F15CE" w:rsidP="00530056">
            <w:pPr>
              <w:pStyle w:val="ListParagraph"/>
              <w:numPr>
                <w:ilvl w:val="0"/>
                <w:numId w:val="27"/>
              </w:numPr>
              <w:autoSpaceDE w:val="0"/>
              <w:autoSpaceDN w:val="0"/>
              <w:adjustRightInd w:val="0"/>
              <w:spacing w:before="0" w:after="180" w:line="264" w:lineRule="auto"/>
              <w:ind w:left="81" w:hanging="142"/>
              <w:rPr>
                <w:rFonts w:cs="Calibri"/>
                <w:kern w:val="24"/>
                <w:sz w:val="18"/>
                <w:szCs w:val="18"/>
              </w:rPr>
            </w:pPr>
            <w:r w:rsidRPr="00ED4D49">
              <w:rPr>
                <w:rFonts w:cs="Calibri"/>
                <w:kern w:val="24"/>
                <w:sz w:val="18"/>
                <w:szCs w:val="18"/>
              </w:rPr>
              <w:lastRenderedPageBreak/>
              <w:t>Presence of eroded areas near the site</w:t>
            </w:r>
          </w:p>
          <w:p w14:paraId="2594CA17" w14:textId="77777777" w:rsidR="009F15CE" w:rsidRPr="00ED4D49" w:rsidRDefault="009F15CE" w:rsidP="00530056">
            <w:pPr>
              <w:pStyle w:val="ListParagraph"/>
              <w:numPr>
                <w:ilvl w:val="0"/>
                <w:numId w:val="27"/>
              </w:numPr>
              <w:autoSpaceDE w:val="0"/>
              <w:autoSpaceDN w:val="0"/>
              <w:adjustRightInd w:val="0"/>
              <w:spacing w:before="0" w:after="180" w:line="264" w:lineRule="auto"/>
              <w:ind w:left="81" w:hanging="142"/>
              <w:rPr>
                <w:rFonts w:cs="Calibri"/>
                <w:kern w:val="24"/>
                <w:sz w:val="18"/>
                <w:szCs w:val="18"/>
              </w:rPr>
            </w:pPr>
            <w:r w:rsidRPr="00ED4D49">
              <w:rPr>
                <w:rFonts w:cs="Calibri"/>
                <w:kern w:val="24"/>
                <w:sz w:val="18"/>
                <w:szCs w:val="18"/>
              </w:rPr>
              <w:t>Signs of a potential/imminent landslide (unstable soil, signs of slippage, etc.)</w:t>
            </w:r>
          </w:p>
        </w:tc>
        <w:tc>
          <w:tcPr>
            <w:tcW w:w="3686" w:type="dxa"/>
          </w:tcPr>
          <w:p w14:paraId="581989C7" w14:textId="77777777" w:rsidR="009F15CE" w:rsidRPr="00ED4D49" w:rsidRDefault="009F15CE" w:rsidP="00530056">
            <w:pPr>
              <w:pStyle w:val="ListParagraph"/>
              <w:numPr>
                <w:ilvl w:val="0"/>
                <w:numId w:val="27"/>
              </w:numPr>
              <w:autoSpaceDE w:val="0"/>
              <w:autoSpaceDN w:val="0"/>
              <w:adjustRightInd w:val="0"/>
              <w:spacing w:before="0" w:after="180" w:line="264" w:lineRule="auto"/>
              <w:ind w:left="124" w:hanging="186"/>
              <w:rPr>
                <w:rFonts w:cs="Calibri"/>
                <w:kern w:val="24"/>
                <w:sz w:val="18"/>
                <w:szCs w:val="18"/>
              </w:rPr>
            </w:pPr>
            <w:r w:rsidRPr="00ED4D49">
              <w:rPr>
                <w:rFonts w:cs="Calibri"/>
                <w:kern w:val="24"/>
                <w:sz w:val="18"/>
                <w:szCs w:val="18"/>
              </w:rPr>
              <w:t>Contractor for execution of civil works</w:t>
            </w:r>
          </w:p>
          <w:p w14:paraId="66C784B0" w14:textId="77777777" w:rsidR="009F15CE" w:rsidRPr="00ED4D49" w:rsidRDefault="009F15CE" w:rsidP="00530056">
            <w:pPr>
              <w:pStyle w:val="Default"/>
              <w:numPr>
                <w:ilvl w:val="0"/>
                <w:numId w:val="27"/>
              </w:numPr>
              <w:ind w:left="124" w:hanging="186"/>
              <w:rPr>
                <w:rFonts w:ascii="Calibri" w:hAnsi="Calibri" w:cs="Calibri"/>
                <w:sz w:val="18"/>
                <w:szCs w:val="18"/>
              </w:rPr>
            </w:pPr>
            <w:r w:rsidRPr="00ED4D49">
              <w:rPr>
                <w:rFonts w:ascii="Calibri" w:hAnsi="Calibri" w:cs="Calibri"/>
                <w:sz w:val="18"/>
                <w:szCs w:val="18"/>
              </w:rPr>
              <w:t>__________</w:t>
            </w:r>
          </w:p>
        </w:tc>
      </w:tr>
      <w:tr w:rsidR="009F15CE" w:rsidRPr="00ED4D49" w14:paraId="4CFE8DC1" w14:textId="77777777" w:rsidTr="00B62B42">
        <w:tc>
          <w:tcPr>
            <w:tcW w:w="1982" w:type="dxa"/>
            <w:vMerge/>
          </w:tcPr>
          <w:p w14:paraId="471A7008" w14:textId="77777777" w:rsidR="009F15CE" w:rsidRPr="00ED4D49" w:rsidRDefault="009F15CE" w:rsidP="00633607">
            <w:pPr>
              <w:pStyle w:val="Default"/>
              <w:rPr>
                <w:rFonts w:ascii="Calibri" w:hAnsi="Calibri" w:cs="Calibri"/>
                <w:sz w:val="18"/>
                <w:szCs w:val="18"/>
              </w:rPr>
            </w:pPr>
          </w:p>
        </w:tc>
        <w:tc>
          <w:tcPr>
            <w:tcW w:w="2115" w:type="dxa"/>
          </w:tcPr>
          <w:p w14:paraId="5C48C62F" w14:textId="77777777" w:rsidR="009F15CE" w:rsidRPr="00ED4D49" w:rsidRDefault="009F15CE" w:rsidP="00530056">
            <w:pPr>
              <w:pStyle w:val="ListParagraph"/>
              <w:numPr>
                <w:ilvl w:val="0"/>
                <w:numId w:val="27"/>
              </w:numPr>
              <w:autoSpaceDE w:val="0"/>
              <w:autoSpaceDN w:val="0"/>
              <w:adjustRightInd w:val="0"/>
              <w:spacing w:before="0" w:after="0" w:line="240" w:lineRule="auto"/>
              <w:ind w:left="204" w:hanging="204"/>
              <w:rPr>
                <w:rFonts w:cs="Calibri"/>
                <w:kern w:val="24"/>
                <w:sz w:val="18"/>
                <w:szCs w:val="18"/>
              </w:rPr>
            </w:pPr>
            <w:r w:rsidRPr="00ED4D49">
              <w:rPr>
                <w:rFonts w:cs="Calibri"/>
                <w:b/>
                <w:bCs/>
                <w:kern w:val="24"/>
                <w:sz w:val="18"/>
                <w:szCs w:val="18"/>
              </w:rPr>
              <w:t>Removal of vegetation</w:t>
            </w:r>
          </w:p>
        </w:tc>
        <w:tc>
          <w:tcPr>
            <w:tcW w:w="2986" w:type="dxa"/>
          </w:tcPr>
          <w:p w14:paraId="6EE7ECC3" w14:textId="77777777" w:rsidR="009F15CE" w:rsidRPr="00ED4D49" w:rsidRDefault="009F15CE" w:rsidP="00530056">
            <w:pPr>
              <w:pStyle w:val="ListParagraph"/>
              <w:numPr>
                <w:ilvl w:val="0"/>
                <w:numId w:val="27"/>
              </w:numPr>
              <w:autoSpaceDE w:val="0"/>
              <w:autoSpaceDN w:val="0"/>
              <w:adjustRightInd w:val="0"/>
              <w:spacing w:before="0" w:after="0" w:line="240" w:lineRule="auto"/>
              <w:ind w:left="136" w:hanging="136"/>
              <w:rPr>
                <w:rFonts w:cs="Calibri"/>
                <w:kern w:val="24"/>
                <w:sz w:val="18"/>
                <w:szCs w:val="18"/>
              </w:rPr>
            </w:pPr>
            <w:r w:rsidRPr="00ED4D49">
              <w:rPr>
                <w:rFonts w:cs="Calibri"/>
                <w:kern w:val="24"/>
                <w:sz w:val="18"/>
                <w:szCs w:val="18"/>
              </w:rPr>
              <w:t>Do replacement planting that would restore removed vegetation</w:t>
            </w:r>
          </w:p>
          <w:p w14:paraId="5272E010" w14:textId="77777777" w:rsidR="009F15CE" w:rsidRPr="00ED4D49" w:rsidRDefault="009F15CE" w:rsidP="00530056">
            <w:pPr>
              <w:pStyle w:val="ListParagraph"/>
              <w:numPr>
                <w:ilvl w:val="0"/>
                <w:numId w:val="27"/>
              </w:numPr>
              <w:autoSpaceDE w:val="0"/>
              <w:autoSpaceDN w:val="0"/>
              <w:adjustRightInd w:val="0"/>
              <w:spacing w:before="0" w:after="0" w:line="240" w:lineRule="auto"/>
              <w:ind w:left="136" w:hanging="136"/>
              <w:rPr>
                <w:rFonts w:cs="Calibri"/>
                <w:kern w:val="24"/>
                <w:sz w:val="18"/>
                <w:szCs w:val="18"/>
              </w:rPr>
            </w:pPr>
            <w:r w:rsidRPr="00ED4D49">
              <w:rPr>
                <w:rFonts w:cs="Calibri"/>
                <w:kern w:val="24"/>
                <w:sz w:val="18"/>
                <w:szCs w:val="18"/>
              </w:rPr>
              <w:t>Secure: (i) environmental permit, (ii) Urban consent and (iii)Tree cutting consent</w:t>
            </w:r>
          </w:p>
        </w:tc>
        <w:tc>
          <w:tcPr>
            <w:tcW w:w="3685" w:type="dxa"/>
          </w:tcPr>
          <w:p w14:paraId="1C0A9CF5" w14:textId="77777777" w:rsidR="009F15CE" w:rsidRPr="00ED4D49" w:rsidRDefault="009F15CE" w:rsidP="00530056">
            <w:pPr>
              <w:pStyle w:val="ListParagraph"/>
              <w:numPr>
                <w:ilvl w:val="0"/>
                <w:numId w:val="27"/>
              </w:numPr>
              <w:autoSpaceDE w:val="0"/>
              <w:autoSpaceDN w:val="0"/>
              <w:adjustRightInd w:val="0"/>
              <w:spacing w:before="0" w:after="180" w:line="264" w:lineRule="auto"/>
              <w:ind w:left="190" w:hanging="190"/>
              <w:rPr>
                <w:rFonts w:cs="Calibri"/>
                <w:kern w:val="24"/>
                <w:sz w:val="18"/>
                <w:szCs w:val="18"/>
              </w:rPr>
            </w:pPr>
            <w:r w:rsidRPr="00ED4D49">
              <w:rPr>
                <w:rFonts w:cs="Calibri"/>
                <w:kern w:val="24"/>
                <w:sz w:val="18"/>
                <w:szCs w:val="18"/>
              </w:rPr>
              <w:t>Area replanted</w:t>
            </w:r>
          </w:p>
          <w:p w14:paraId="5E341FFE" w14:textId="77777777" w:rsidR="009F15CE" w:rsidRPr="00ED4D49" w:rsidRDefault="009F15CE" w:rsidP="00530056">
            <w:pPr>
              <w:pStyle w:val="ListParagraph"/>
              <w:numPr>
                <w:ilvl w:val="0"/>
                <w:numId w:val="27"/>
              </w:numPr>
              <w:autoSpaceDE w:val="0"/>
              <w:autoSpaceDN w:val="0"/>
              <w:adjustRightInd w:val="0"/>
              <w:spacing w:before="0" w:after="180" w:line="264" w:lineRule="auto"/>
              <w:ind w:left="190" w:hanging="190"/>
              <w:rPr>
                <w:rFonts w:cs="Calibri"/>
                <w:kern w:val="24"/>
                <w:sz w:val="18"/>
                <w:szCs w:val="18"/>
              </w:rPr>
            </w:pPr>
            <w:r w:rsidRPr="00ED4D49">
              <w:rPr>
                <w:rFonts w:cs="Calibri"/>
                <w:kern w:val="24"/>
                <w:sz w:val="18"/>
                <w:szCs w:val="18"/>
              </w:rPr>
              <w:t>Number and type of plants replanted</w:t>
            </w:r>
          </w:p>
        </w:tc>
        <w:tc>
          <w:tcPr>
            <w:tcW w:w="3686" w:type="dxa"/>
          </w:tcPr>
          <w:p w14:paraId="10BC4DEF" w14:textId="77777777" w:rsidR="009F15CE" w:rsidRPr="00ED4D49" w:rsidRDefault="009F15CE" w:rsidP="00530056">
            <w:pPr>
              <w:pStyle w:val="ListParagraph"/>
              <w:numPr>
                <w:ilvl w:val="0"/>
                <w:numId w:val="27"/>
              </w:numPr>
              <w:autoSpaceDE w:val="0"/>
              <w:autoSpaceDN w:val="0"/>
              <w:adjustRightInd w:val="0"/>
              <w:spacing w:before="0" w:after="180" w:line="264" w:lineRule="auto"/>
              <w:ind w:left="124" w:hanging="124"/>
              <w:rPr>
                <w:rFonts w:cs="Calibri"/>
                <w:kern w:val="24"/>
                <w:sz w:val="18"/>
                <w:szCs w:val="18"/>
              </w:rPr>
            </w:pPr>
            <w:r w:rsidRPr="00ED4D49">
              <w:rPr>
                <w:rFonts w:cs="Calibri"/>
                <w:kern w:val="24"/>
                <w:sz w:val="18"/>
                <w:szCs w:val="18"/>
              </w:rPr>
              <w:t>Contractor</w:t>
            </w:r>
          </w:p>
          <w:p w14:paraId="23068A90" w14:textId="77777777" w:rsidR="009F15CE" w:rsidRPr="00ED4D49" w:rsidRDefault="009F15CE" w:rsidP="00530056">
            <w:pPr>
              <w:pStyle w:val="Default"/>
              <w:numPr>
                <w:ilvl w:val="0"/>
                <w:numId w:val="27"/>
              </w:numPr>
              <w:ind w:left="124" w:hanging="124"/>
              <w:rPr>
                <w:rFonts w:ascii="Calibri" w:hAnsi="Calibri" w:cs="Calibri"/>
                <w:sz w:val="18"/>
                <w:szCs w:val="18"/>
              </w:rPr>
            </w:pPr>
            <w:r w:rsidRPr="00ED4D49">
              <w:rPr>
                <w:rFonts w:ascii="Calibri" w:hAnsi="Calibri" w:cs="Calibri"/>
                <w:sz w:val="18"/>
                <w:szCs w:val="18"/>
              </w:rPr>
              <w:t>__________</w:t>
            </w:r>
          </w:p>
        </w:tc>
      </w:tr>
      <w:tr w:rsidR="009F15CE" w:rsidRPr="00ED4D49" w14:paraId="725F7DDF" w14:textId="77777777" w:rsidTr="00B62B42">
        <w:tc>
          <w:tcPr>
            <w:tcW w:w="1982" w:type="dxa"/>
            <w:vMerge/>
          </w:tcPr>
          <w:p w14:paraId="5C90FDFA" w14:textId="77777777" w:rsidR="009F15CE" w:rsidRPr="00ED4D49" w:rsidRDefault="009F15CE" w:rsidP="00633607">
            <w:pPr>
              <w:pStyle w:val="Default"/>
              <w:rPr>
                <w:rFonts w:ascii="Calibri" w:hAnsi="Calibri" w:cs="Calibri"/>
                <w:sz w:val="18"/>
                <w:szCs w:val="18"/>
              </w:rPr>
            </w:pPr>
          </w:p>
        </w:tc>
        <w:tc>
          <w:tcPr>
            <w:tcW w:w="12472" w:type="dxa"/>
            <w:gridSpan w:val="4"/>
          </w:tcPr>
          <w:p w14:paraId="416C49FE" w14:textId="77777777" w:rsidR="009F15CE" w:rsidRPr="00ED4D49" w:rsidRDefault="009F15CE" w:rsidP="00633607">
            <w:pPr>
              <w:pStyle w:val="Default"/>
              <w:rPr>
                <w:rFonts w:ascii="Calibri" w:hAnsi="Calibri" w:cs="Calibri"/>
                <w:sz w:val="18"/>
                <w:szCs w:val="18"/>
              </w:rPr>
            </w:pPr>
            <w:r w:rsidRPr="00ED4D49">
              <w:rPr>
                <w:rFonts w:ascii="Calibri" w:hAnsi="Calibri" w:cs="Calibri"/>
                <w:b/>
                <w:bCs/>
                <w:sz w:val="18"/>
                <w:szCs w:val="18"/>
              </w:rPr>
              <w:t>Water Quality and Quantity</w:t>
            </w:r>
          </w:p>
        </w:tc>
      </w:tr>
      <w:tr w:rsidR="009F15CE" w:rsidRPr="00ED4D49" w14:paraId="36B8F528" w14:textId="77777777" w:rsidTr="00B62B42">
        <w:tc>
          <w:tcPr>
            <w:tcW w:w="1982" w:type="dxa"/>
            <w:vMerge/>
          </w:tcPr>
          <w:p w14:paraId="546CC3BB" w14:textId="77777777" w:rsidR="009F15CE" w:rsidRPr="00ED4D49" w:rsidRDefault="009F15CE" w:rsidP="00633607">
            <w:pPr>
              <w:pStyle w:val="Default"/>
              <w:rPr>
                <w:rFonts w:ascii="Calibri" w:hAnsi="Calibri" w:cs="Calibri"/>
                <w:sz w:val="18"/>
                <w:szCs w:val="18"/>
              </w:rPr>
            </w:pPr>
          </w:p>
        </w:tc>
        <w:tc>
          <w:tcPr>
            <w:tcW w:w="2115" w:type="dxa"/>
          </w:tcPr>
          <w:p w14:paraId="6B9DB02D" w14:textId="77777777" w:rsidR="009F15CE" w:rsidRPr="00ED4D49" w:rsidRDefault="009F15CE" w:rsidP="00530056">
            <w:pPr>
              <w:pStyle w:val="ListParagraph"/>
              <w:numPr>
                <w:ilvl w:val="0"/>
                <w:numId w:val="27"/>
              </w:numPr>
              <w:autoSpaceDE w:val="0"/>
              <w:autoSpaceDN w:val="0"/>
              <w:adjustRightInd w:val="0"/>
              <w:spacing w:before="0" w:after="0" w:line="240" w:lineRule="auto"/>
              <w:ind w:left="204" w:hanging="151"/>
              <w:rPr>
                <w:rFonts w:cs="Calibri"/>
                <w:kern w:val="24"/>
                <w:sz w:val="18"/>
                <w:szCs w:val="18"/>
              </w:rPr>
            </w:pPr>
            <w:r w:rsidRPr="00ED4D49">
              <w:rPr>
                <w:rFonts w:cs="Calibri"/>
                <w:b/>
                <w:bCs/>
                <w:kern w:val="24"/>
                <w:sz w:val="18"/>
                <w:szCs w:val="18"/>
              </w:rPr>
              <w:t>Increased surface and groundwater turbidity &amp; siltation</w:t>
            </w:r>
            <w:r w:rsidRPr="00ED4D49">
              <w:rPr>
                <w:rFonts w:cs="Calibri"/>
                <w:kern w:val="24"/>
                <w:sz w:val="18"/>
                <w:szCs w:val="18"/>
              </w:rPr>
              <w:t>, causing inconvenience in community use of the affected surface or ground waters along the path of the irrigation canals</w:t>
            </w:r>
          </w:p>
        </w:tc>
        <w:tc>
          <w:tcPr>
            <w:tcW w:w="2986" w:type="dxa"/>
          </w:tcPr>
          <w:p w14:paraId="1B7CA6FC" w14:textId="77777777" w:rsidR="009F15CE" w:rsidRPr="00ED4D49" w:rsidRDefault="009F15CE" w:rsidP="00530056">
            <w:pPr>
              <w:pStyle w:val="ListParagraph"/>
              <w:numPr>
                <w:ilvl w:val="0"/>
                <w:numId w:val="27"/>
              </w:numPr>
              <w:autoSpaceDE w:val="0"/>
              <w:autoSpaceDN w:val="0"/>
              <w:adjustRightInd w:val="0"/>
              <w:spacing w:before="0" w:after="180" w:line="264" w:lineRule="auto"/>
              <w:ind w:left="134" w:hanging="134"/>
              <w:rPr>
                <w:rFonts w:cs="Calibri"/>
                <w:kern w:val="24"/>
                <w:sz w:val="18"/>
                <w:szCs w:val="18"/>
              </w:rPr>
            </w:pPr>
            <w:r w:rsidRPr="00ED4D49">
              <w:rPr>
                <w:rFonts w:cs="Calibri"/>
                <w:kern w:val="24"/>
                <w:sz w:val="18"/>
                <w:szCs w:val="18"/>
              </w:rPr>
              <w:t>Set up sediment traps along rivers and/or gabions along banks to filter out eroded sediments</w:t>
            </w:r>
          </w:p>
          <w:p w14:paraId="181ED61C" w14:textId="77777777" w:rsidR="009F15CE" w:rsidRPr="00ED4D49" w:rsidRDefault="009F15CE" w:rsidP="00530056">
            <w:pPr>
              <w:pStyle w:val="ListParagraph"/>
              <w:numPr>
                <w:ilvl w:val="0"/>
                <w:numId w:val="27"/>
              </w:numPr>
              <w:autoSpaceDE w:val="0"/>
              <w:autoSpaceDN w:val="0"/>
              <w:adjustRightInd w:val="0"/>
              <w:spacing w:before="0" w:after="180" w:line="264" w:lineRule="auto"/>
              <w:ind w:left="134" w:hanging="134"/>
              <w:rPr>
                <w:rFonts w:cs="Calibri"/>
                <w:kern w:val="24"/>
                <w:sz w:val="18"/>
                <w:szCs w:val="18"/>
              </w:rPr>
            </w:pPr>
            <w:r w:rsidRPr="00ED4D49">
              <w:rPr>
                <w:rFonts w:cs="Calibri"/>
                <w:kern w:val="24"/>
                <w:sz w:val="18"/>
                <w:szCs w:val="18"/>
              </w:rPr>
              <w:t>Same measures above for erosion control and slope stabilization</w:t>
            </w:r>
          </w:p>
        </w:tc>
        <w:tc>
          <w:tcPr>
            <w:tcW w:w="3685" w:type="dxa"/>
          </w:tcPr>
          <w:p w14:paraId="7208AB5D" w14:textId="77777777" w:rsidR="009F15CE" w:rsidRPr="00ED4D49" w:rsidRDefault="009F15CE" w:rsidP="00530056">
            <w:pPr>
              <w:pStyle w:val="ListParagraph"/>
              <w:numPr>
                <w:ilvl w:val="0"/>
                <w:numId w:val="27"/>
              </w:numPr>
              <w:autoSpaceDE w:val="0"/>
              <w:autoSpaceDN w:val="0"/>
              <w:adjustRightInd w:val="0"/>
              <w:spacing w:before="0" w:after="0" w:line="240" w:lineRule="auto"/>
              <w:ind w:left="193" w:hanging="193"/>
              <w:rPr>
                <w:rFonts w:cs="Calibri"/>
                <w:kern w:val="24"/>
                <w:sz w:val="18"/>
                <w:szCs w:val="18"/>
              </w:rPr>
            </w:pPr>
            <w:r w:rsidRPr="00ED4D49">
              <w:rPr>
                <w:rFonts w:cs="Calibri"/>
                <w:kern w:val="24"/>
                <w:sz w:val="18"/>
                <w:szCs w:val="18"/>
              </w:rPr>
              <w:t>Complaints received</w:t>
            </w:r>
          </w:p>
          <w:p w14:paraId="51A2FBA8" w14:textId="77777777" w:rsidR="009F15CE" w:rsidRPr="00ED4D49" w:rsidRDefault="009F15CE" w:rsidP="00530056">
            <w:pPr>
              <w:pStyle w:val="ListParagraph"/>
              <w:numPr>
                <w:ilvl w:val="0"/>
                <w:numId w:val="27"/>
              </w:numPr>
              <w:autoSpaceDE w:val="0"/>
              <w:autoSpaceDN w:val="0"/>
              <w:adjustRightInd w:val="0"/>
              <w:spacing w:before="0" w:after="0" w:line="240" w:lineRule="auto"/>
              <w:ind w:left="193" w:hanging="193"/>
              <w:rPr>
                <w:rFonts w:cs="Calibri"/>
                <w:kern w:val="24"/>
                <w:sz w:val="18"/>
                <w:szCs w:val="18"/>
              </w:rPr>
            </w:pPr>
            <w:r w:rsidRPr="00ED4D49">
              <w:rPr>
                <w:rFonts w:cs="Calibri"/>
                <w:kern w:val="24"/>
                <w:sz w:val="18"/>
                <w:szCs w:val="18"/>
              </w:rPr>
              <w:t>Visually for presence of turbidity in surface water</w:t>
            </w:r>
          </w:p>
          <w:p w14:paraId="749D3305" w14:textId="49D6C5AE" w:rsidR="009F15CE" w:rsidRPr="00ED4D49" w:rsidRDefault="009F15CE" w:rsidP="00530056">
            <w:pPr>
              <w:pStyle w:val="ListParagraph"/>
              <w:numPr>
                <w:ilvl w:val="0"/>
                <w:numId w:val="27"/>
              </w:numPr>
              <w:autoSpaceDE w:val="0"/>
              <w:autoSpaceDN w:val="0"/>
              <w:adjustRightInd w:val="0"/>
              <w:spacing w:before="0" w:after="0" w:line="240" w:lineRule="auto"/>
              <w:ind w:left="193" w:hanging="193"/>
              <w:rPr>
                <w:rFonts w:cs="Calibri"/>
                <w:kern w:val="24"/>
                <w:sz w:val="18"/>
                <w:szCs w:val="18"/>
              </w:rPr>
            </w:pPr>
            <w:r w:rsidRPr="00ED4D49">
              <w:rPr>
                <w:rFonts w:cs="Calibri"/>
                <w:kern w:val="24"/>
                <w:sz w:val="18"/>
                <w:szCs w:val="18"/>
              </w:rPr>
              <w:t>Analyze surface water quality in case of complaints (for pH, turbidity, conductivity and suspended solids)</w:t>
            </w:r>
          </w:p>
          <w:p w14:paraId="4DBB4299" w14:textId="276AF73E" w:rsidR="009F15CE" w:rsidRPr="00ED4D49" w:rsidRDefault="009F15CE" w:rsidP="00530056">
            <w:pPr>
              <w:pStyle w:val="ListParagraph"/>
              <w:numPr>
                <w:ilvl w:val="0"/>
                <w:numId w:val="27"/>
              </w:numPr>
              <w:autoSpaceDE w:val="0"/>
              <w:autoSpaceDN w:val="0"/>
              <w:adjustRightInd w:val="0"/>
              <w:spacing w:before="0" w:after="0" w:line="240" w:lineRule="auto"/>
              <w:ind w:left="193" w:hanging="193"/>
              <w:rPr>
                <w:rFonts w:cs="Calibri"/>
                <w:kern w:val="24"/>
                <w:sz w:val="18"/>
                <w:szCs w:val="18"/>
              </w:rPr>
            </w:pPr>
            <w:r w:rsidRPr="00ED4D49">
              <w:rPr>
                <w:rFonts w:cs="Calibri"/>
                <w:kern w:val="24"/>
                <w:sz w:val="18"/>
                <w:szCs w:val="18"/>
              </w:rPr>
              <w:t>If groundwater is used for drinking water supply, analyze tap water for drinking water</w:t>
            </w:r>
          </w:p>
          <w:p w14:paraId="23F6C41F" w14:textId="77777777" w:rsidR="009F15CE" w:rsidRPr="00ED4D49" w:rsidRDefault="009F15CE" w:rsidP="00530056">
            <w:pPr>
              <w:pStyle w:val="ListParagraph"/>
              <w:numPr>
                <w:ilvl w:val="0"/>
                <w:numId w:val="27"/>
              </w:numPr>
              <w:autoSpaceDE w:val="0"/>
              <w:autoSpaceDN w:val="0"/>
              <w:adjustRightInd w:val="0"/>
              <w:spacing w:before="0" w:after="0" w:line="240" w:lineRule="auto"/>
              <w:ind w:left="193" w:hanging="193"/>
              <w:rPr>
                <w:rFonts w:cs="Calibri"/>
                <w:kern w:val="24"/>
                <w:sz w:val="18"/>
                <w:szCs w:val="18"/>
              </w:rPr>
            </w:pPr>
            <w:r w:rsidRPr="00ED4D49">
              <w:rPr>
                <w:rFonts w:cs="Calibri"/>
                <w:kern w:val="24"/>
                <w:sz w:val="18"/>
                <w:szCs w:val="18"/>
              </w:rPr>
              <w:t>quality parameters as prescribed in</w:t>
            </w:r>
          </w:p>
          <w:p w14:paraId="5E19AC81" w14:textId="77777777" w:rsidR="009F15CE" w:rsidRPr="00ED4D49" w:rsidRDefault="009F15CE" w:rsidP="00530056">
            <w:pPr>
              <w:pStyle w:val="ListParagraph"/>
              <w:numPr>
                <w:ilvl w:val="0"/>
                <w:numId w:val="27"/>
              </w:numPr>
              <w:autoSpaceDE w:val="0"/>
              <w:autoSpaceDN w:val="0"/>
              <w:adjustRightInd w:val="0"/>
              <w:spacing w:before="0" w:after="0" w:line="240" w:lineRule="auto"/>
              <w:ind w:left="193" w:hanging="193"/>
              <w:rPr>
                <w:rFonts w:cs="Calibri"/>
                <w:kern w:val="24"/>
                <w:sz w:val="18"/>
                <w:szCs w:val="18"/>
              </w:rPr>
            </w:pPr>
            <w:r w:rsidRPr="00ED4D49">
              <w:rPr>
                <w:rFonts w:cs="Calibri"/>
                <w:kern w:val="24"/>
                <w:sz w:val="18"/>
                <w:szCs w:val="18"/>
              </w:rPr>
              <w:t>national legislation</w:t>
            </w:r>
          </w:p>
          <w:p w14:paraId="4CCE9940" w14:textId="0EEE1148" w:rsidR="00885072" w:rsidRPr="00ED4D49" w:rsidRDefault="00885072" w:rsidP="00885072">
            <w:pPr>
              <w:autoSpaceDE w:val="0"/>
              <w:autoSpaceDN w:val="0"/>
              <w:adjustRightInd w:val="0"/>
              <w:spacing w:before="0" w:after="0" w:line="240" w:lineRule="auto"/>
              <w:rPr>
                <w:rFonts w:cs="Calibri"/>
                <w:kern w:val="24"/>
                <w:sz w:val="18"/>
                <w:szCs w:val="18"/>
                <w:lang w:val="en-US"/>
              </w:rPr>
            </w:pPr>
          </w:p>
        </w:tc>
        <w:tc>
          <w:tcPr>
            <w:tcW w:w="3686" w:type="dxa"/>
          </w:tcPr>
          <w:p w14:paraId="2CDA0ABC" w14:textId="77777777" w:rsidR="009F15CE" w:rsidRPr="00ED4D49" w:rsidRDefault="009F15CE" w:rsidP="00530056">
            <w:pPr>
              <w:pStyle w:val="ListParagraph"/>
              <w:numPr>
                <w:ilvl w:val="0"/>
                <w:numId w:val="27"/>
              </w:numPr>
              <w:autoSpaceDE w:val="0"/>
              <w:autoSpaceDN w:val="0"/>
              <w:adjustRightInd w:val="0"/>
              <w:spacing w:before="0" w:after="180" w:line="264" w:lineRule="auto"/>
              <w:ind w:left="124" w:hanging="124"/>
              <w:rPr>
                <w:rFonts w:cs="Calibri"/>
                <w:kern w:val="24"/>
                <w:sz w:val="18"/>
                <w:szCs w:val="18"/>
              </w:rPr>
            </w:pPr>
            <w:r w:rsidRPr="00ED4D49">
              <w:rPr>
                <w:rFonts w:cs="Calibri"/>
                <w:kern w:val="24"/>
                <w:sz w:val="18"/>
                <w:szCs w:val="18"/>
              </w:rPr>
              <w:t>Contractor:</w:t>
            </w:r>
          </w:p>
          <w:p w14:paraId="43DAAA02" w14:textId="77777777" w:rsidR="009F15CE" w:rsidRPr="00ED4D49" w:rsidRDefault="009F15CE" w:rsidP="00530056">
            <w:pPr>
              <w:pStyle w:val="Default"/>
              <w:numPr>
                <w:ilvl w:val="0"/>
                <w:numId w:val="27"/>
              </w:numPr>
              <w:ind w:left="124" w:hanging="142"/>
              <w:rPr>
                <w:rFonts w:ascii="Calibri" w:hAnsi="Calibri" w:cs="Calibri"/>
                <w:sz w:val="18"/>
                <w:szCs w:val="18"/>
              </w:rPr>
            </w:pPr>
            <w:r w:rsidRPr="00ED4D49">
              <w:rPr>
                <w:rFonts w:ascii="Calibri" w:hAnsi="Calibri" w:cs="Calibri"/>
                <w:sz w:val="18"/>
                <w:szCs w:val="18"/>
              </w:rPr>
              <w:t>__________</w:t>
            </w:r>
          </w:p>
        </w:tc>
      </w:tr>
      <w:tr w:rsidR="009F15CE" w:rsidRPr="00ED4D49" w14:paraId="4A596A4A" w14:textId="77777777" w:rsidTr="00B62B42">
        <w:tc>
          <w:tcPr>
            <w:tcW w:w="1982" w:type="dxa"/>
            <w:vMerge/>
          </w:tcPr>
          <w:p w14:paraId="70A1BE9E" w14:textId="77777777" w:rsidR="009F15CE" w:rsidRPr="00ED4D49" w:rsidRDefault="009F15CE" w:rsidP="00633607">
            <w:pPr>
              <w:pStyle w:val="Default"/>
              <w:rPr>
                <w:rFonts w:ascii="Calibri" w:hAnsi="Calibri" w:cs="Calibri"/>
                <w:sz w:val="18"/>
                <w:szCs w:val="18"/>
              </w:rPr>
            </w:pPr>
          </w:p>
        </w:tc>
        <w:tc>
          <w:tcPr>
            <w:tcW w:w="2115" w:type="dxa"/>
          </w:tcPr>
          <w:p w14:paraId="7F0CB9EF" w14:textId="6907DE27" w:rsidR="009F15CE" w:rsidRPr="00ED4D49" w:rsidRDefault="009F15CE" w:rsidP="00530056">
            <w:pPr>
              <w:pStyle w:val="ListParagraph"/>
              <w:numPr>
                <w:ilvl w:val="0"/>
                <w:numId w:val="27"/>
              </w:numPr>
              <w:autoSpaceDE w:val="0"/>
              <w:autoSpaceDN w:val="0"/>
              <w:adjustRightInd w:val="0"/>
              <w:spacing w:before="0" w:after="0" w:line="240" w:lineRule="auto"/>
              <w:ind w:left="68" w:hanging="142"/>
              <w:rPr>
                <w:rFonts w:cs="Calibri"/>
                <w:sz w:val="18"/>
                <w:szCs w:val="18"/>
              </w:rPr>
            </w:pPr>
            <w:r w:rsidRPr="00ED4D49">
              <w:rPr>
                <w:rFonts w:cs="Calibri"/>
                <w:b/>
                <w:bCs/>
                <w:kern w:val="24"/>
                <w:sz w:val="18"/>
                <w:szCs w:val="18"/>
              </w:rPr>
              <w:t xml:space="preserve">Oil &amp; grease </w:t>
            </w:r>
            <w:r w:rsidRPr="00ED4D49">
              <w:rPr>
                <w:rFonts w:cs="Calibri"/>
                <w:b/>
                <w:bCs/>
                <w:sz w:val="18"/>
                <w:szCs w:val="18"/>
              </w:rPr>
              <w:t xml:space="preserve">contamination of water bodies </w:t>
            </w:r>
            <w:r w:rsidRPr="00ED4D49">
              <w:rPr>
                <w:rFonts w:cs="Calibri"/>
                <w:sz w:val="18"/>
                <w:szCs w:val="18"/>
              </w:rPr>
              <w:t>due o for poor equipment M&amp;R &amp; refueling</w:t>
            </w:r>
          </w:p>
        </w:tc>
        <w:tc>
          <w:tcPr>
            <w:tcW w:w="2986" w:type="dxa"/>
          </w:tcPr>
          <w:p w14:paraId="2646116B" w14:textId="77777777" w:rsidR="009F15CE" w:rsidRPr="00ED4D49" w:rsidRDefault="009F15CE" w:rsidP="00530056">
            <w:pPr>
              <w:pStyle w:val="ListParagraph"/>
              <w:numPr>
                <w:ilvl w:val="0"/>
                <w:numId w:val="27"/>
              </w:numPr>
              <w:autoSpaceDE w:val="0"/>
              <w:autoSpaceDN w:val="0"/>
              <w:adjustRightInd w:val="0"/>
              <w:spacing w:before="0" w:after="180" w:line="264" w:lineRule="auto"/>
              <w:ind w:left="134" w:hanging="142"/>
              <w:rPr>
                <w:rFonts w:cs="Calibri"/>
                <w:kern w:val="24"/>
                <w:sz w:val="18"/>
                <w:szCs w:val="18"/>
              </w:rPr>
            </w:pPr>
            <w:r w:rsidRPr="00ED4D49">
              <w:rPr>
                <w:rFonts w:cs="Calibri"/>
                <w:kern w:val="24"/>
                <w:sz w:val="18"/>
                <w:szCs w:val="18"/>
              </w:rPr>
              <w:t>Provide oil &amp; grease traps in stilling ponds</w:t>
            </w:r>
          </w:p>
          <w:p w14:paraId="69170F8F" w14:textId="6A76C246" w:rsidR="009F15CE" w:rsidRPr="00ED4D49" w:rsidRDefault="009F15CE" w:rsidP="00530056">
            <w:pPr>
              <w:pStyle w:val="ListParagraph"/>
              <w:numPr>
                <w:ilvl w:val="0"/>
                <w:numId w:val="27"/>
              </w:numPr>
              <w:autoSpaceDE w:val="0"/>
              <w:autoSpaceDN w:val="0"/>
              <w:adjustRightInd w:val="0"/>
              <w:spacing w:before="0" w:after="180" w:line="264" w:lineRule="auto"/>
              <w:ind w:left="134" w:hanging="142"/>
              <w:rPr>
                <w:rFonts w:cs="Calibri"/>
                <w:kern w:val="24"/>
                <w:sz w:val="18"/>
                <w:szCs w:val="18"/>
              </w:rPr>
            </w:pPr>
            <w:r w:rsidRPr="00ED4D49">
              <w:rPr>
                <w:rFonts w:cs="Calibri"/>
                <w:kern w:val="24"/>
                <w:sz w:val="18"/>
                <w:szCs w:val="18"/>
              </w:rPr>
              <w:t>Provide ring canals around fueling tanks/motor pool/maintenance areas</w:t>
            </w:r>
          </w:p>
          <w:p w14:paraId="1EA16F9F" w14:textId="77777777" w:rsidR="009F15CE" w:rsidRPr="00ED4D49" w:rsidRDefault="009F15CE" w:rsidP="00530056">
            <w:pPr>
              <w:pStyle w:val="ListParagraph"/>
              <w:numPr>
                <w:ilvl w:val="0"/>
                <w:numId w:val="27"/>
              </w:numPr>
              <w:autoSpaceDE w:val="0"/>
              <w:autoSpaceDN w:val="0"/>
              <w:adjustRightInd w:val="0"/>
              <w:spacing w:before="0" w:after="180" w:line="264" w:lineRule="auto"/>
              <w:ind w:left="134" w:hanging="142"/>
              <w:rPr>
                <w:rFonts w:cs="Calibri"/>
                <w:kern w:val="24"/>
                <w:sz w:val="18"/>
                <w:szCs w:val="18"/>
              </w:rPr>
            </w:pPr>
            <w:r w:rsidRPr="00ED4D49">
              <w:rPr>
                <w:rFonts w:cs="Calibri"/>
                <w:kern w:val="24"/>
                <w:sz w:val="18"/>
                <w:szCs w:val="18"/>
              </w:rPr>
              <w:t xml:space="preserve"> Collect used oils in containers and hand over to authorized agency for handling</w:t>
            </w:r>
          </w:p>
          <w:p w14:paraId="34BCCB0C" w14:textId="3980D613" w:rsidR="00885072" w:rsidRPr="00ED4D49" w:rsidRDefault="00885072" w:rsidP="00885072">
            <w:pPr>
              <w:pStyle w:val="ListParagraph"/>
              <w:autoSpaceDE w:val="0"/>
              <w:autoSpaceDN w:val="0"/>
              <w:adjustRightInd w:val="0"/>
              <w:spacing w:before="0" w:after="180" w:line="264" w:lineRule="auto"/>
              <w:ind w:left="134"/>
              <w:rPr>
                <w:rFonts w:cs="Calibri"/>
                <w:kern w:val="24"/>
                <w:sz w:val="18"/>
                <w:szCs w:val="18"/>
              </w:rPr>
            </w:pPr>
          </w:p>
        </w:tc>
        <w:tc>
          <w:tcPr>
            <w:tcW w:w="3685" w:type="dxa"/>
          </w:tcPr>
          <w:p w14:paraId="49C66CFE" w14:textId="77777777" w:rsidR="009F15CE" w:rsidRPr="00ED4D49" w:rsidRDefault="009F15CE" w:rsidP="00530056">
            <w:pPr>
              <w:pStyle w:val="ListParagraph"/>
              <w:numPr>
                <w:ilvl w:val="0"/>
                <w:numId w:val="27"/>
              </w:numPr>
              <w:autoSpaceDE w:val="0"/>
              <w:autoSpaceDN w:val="0"/>
              <w:adjustRightInd w:val="0"/>
              <w:spacing w:before="0" w:after="0" w:line="240" w:lineRule="auto"/>
              <w:ind w:left="190" w:hanging="190"/>
              <w:rPr>
                <w:rFonts w:cs="Calibri"/>
                <w:kern w:val="24"/>
                <w:sz w:val="18"/>
                <w:szCs w:val="18"/>
              </w:rPr>
            </w:pPr>
            <w:r w:rsidRPr="00ED4D49">
              <w:rPr>
                <w:rFonts w:cs="Calibri"/>
                <w:kern w:val="24"/>
                <w:sz w:val="18"/>
                <w:szCs w:val="18"/>
              </w:rPr>
              <w:t>Complaints received</w:t>
            </w:r>
          </w:p>
          <w:p w14:paraId="5C5019BF" w14:textId="4D9BBB8C" w:rsidR="009F15CE" w:rsidRPr="00ED4D49" w:rsidRDefault="009F15CE" w:rsidP="00530056">
            <w:pPr>
              <w:pStyle w:val="ListParagraph"/>
              <w:numPr>
                <w:ilvl w:val="0"/>
                <w:numId w:val="28"/>
              </w:numPr>
              <w:autoSpaceDE w:val="0"/>
              <w:autoSpaceDN w:val="0"/>
              <w:adjustRightInd w:val="0"/>
              <w:spacing w:before="0" w:after="0" w:line="240" w:lineRule="auto"/>
              <w:ind w:left="193" w:hanging="193"/>
              <w:rPr>
                <w:rFonts w:cs="Calibri"/>
                <w:kern w:val="24"/>
                <w:sz w:val="18"/>
                <w:szCs w:val="18"/>
              </w:rPr>
            </w:pPr>
            <w:r w:rsidRPr="00ED4D49">
              <w:rPr>
                <w:rFonts w:cs="Calibri"/>
                <w:kern w:val="24"/>
                <w:sz w:val="18"/>
                <w:szCs w:val="18"/>
              </w:rPr>
              <w:t>Analyze surface water quality in case of complaints (for COD and total mineral oils)</w:t>
            </w:r>
          </w:p>
          <w:p w14:paraId="07F8AD8D" w14:textId="2541F23F" w:rsidR="009F15CE" w:rsidRPr="00ED4D49" w:rsidRDefault="009F15CE" w:rsidP="00530056">
            <w:pPr>
              <w:pStyle w:val="ListParagraph"/>
              <w:numPr>
                <w:ilvl w:val="0"/>
                <w:numId w:val="28"/>
              </w:numPr>
              <w:autoSpaceDE w:val="0"/>
              <w:autoSpaceDN w:val="0"/>
              <w:adjustRightInd w:val="0"/>
              <w:spacing w:before="0" w:after="0" w:line="240" w:lineRule="auto"/>
              <w:ind w:left="193" w:hanging="193"/>
              <w:rPr>
                <w:rFonts w:cs="Calibri"/>
                <w:kern w:val="24"/>
                <w:sz w:val="18"/>
                <w:szCs w:val="18"/>
              </w:rPr>
            </w:pPr>
            <w:r w:rsidRPr="00ED4D49">
              <w:rPr>
                <w:rFonts w:cs="Calibri"/>
                <w:kern w:val="24"/>
                <w:sz w:val="18"/>
                <w:szCs w:val="18"/>
              </w:rPr>
              <w:t>If groundwater is used for drinking water supply, analyze tap water for drinking water quality parameters as prescribed in national legislation</w:t>
            </w:r>
          </w:p>
          <w:p w14:paraId="6A26A2AF" w14:textId="77777777" w:rsidR="009F15CE" w:rsidRPr="00ED4D49" w:rsidRDefault="009F15CE" w:rsidP="00530056">
            <w:pPr>
              <w:pStyle w:val="ListParagraph"/>
              <w:numPr>
                <w:ilvl w:val="0"/>
                <w:numId w:val="28"/>
              </w:numPr>
              <w:autoSpaceDE w:val="0"/>
              <w:autoSpaceDN w:val="0"/>
              <w:adjustRightInd w:val="0"/>
              <w:spacing w:before="0" w:after="0" w:line="240" w:lineRule="auto"/>
              <w:ind w:left="193" w:hanging="193"/>
              <w:rPr>
                <w:rFonts w:cs="Calibri"/>
                <w:kern w:val="24"/>
                <w:sz w:val="18"/>
                <w:szCs w:val="18"/>
              </w:rPr>
            </w:pPr>
            <w:r w:rsidRPr="00ED4D49">
              <w:rPr>
                <w:rFonts w:cs="Calibri"/>
                <w:kern w:val="24"/>
                <w:sz w:val="18"/>
                <w:szCs w:val="18"/>
              </w:rPr>
              <w:t>Presence</w:t>
            </w:r>
            <w:r w:rsidRPr="00ED4D49">
              <w:rPr>
                <w:rFonts w:cs="Calibri"/>
                <w:b/>
                <w:bCs/>
                <w:kern w:val="24"/>
                <w:sz w:val="18"/>
                <w:szCs w:val="18"/>
              </w:rPr>
              <w:t xml:space="preserve"> </w:t>
            </w:r>
            <w:r w:rsidRPr="00ED4D49">
              <w:rPr>
                <w:rFonts w:cs="Calibri"/>
                <w:kern w:val="24"/>
                <w:sz w:val="18"/>
                <w:szCs w:val="18"/>
              </w:rPr>
              <w:t>of oil film on water surface</w:t>
            </w:r>
          </w:p>
        </w:tc>
        <w:tc>
          <w:tcPr>
            <w:tcW w:w="3686" w:type="dxa"/>
          </w:tcPr>
          <w:p w14:paraId="673BF0B5" w14:textId="77777777" w:rsidR="009F15CE" w:rsidRPr="00ED4D49" w:rsidRDefault="009F15CE" w:rsidP="00530056">
            <w:pPr>
              <w:pStyle w:val="ListParagraph"/>
              <w:numPr>
                <w:ilvl w:val="0"/>
                <w:numId w:val="28"/>
              </w:numPr>
              <w:autoSpaceDE w:val="0"/>
              <w:autoSpaceDN w:val="0"/>
              <w:adjustRightInd w:val="0"/>
              <w:spacing w:before="0" w:after="180" w:line="264" w:lineRule="auto"/>
              <w:ind w:left="124" w:hanging="124"/>
              <w:rPr>
                <w:rFonts w:cs="Calibri"/>
                <w:kern w:val="24"/>
                <w:sz w:val="18"/>
                <w:szCs w:val="18"/>
              </w:rPr>
            </w:pPr>
            <w:r w:rsidRPr="00ED4D49">
              <w:rPr>
                <w:rFonts w:cs="Calibri"/>
                <w:kern w:val="24"/>
                <w:sz w:val="18"/>
                <w:szCs w:val="18"/>
              </w:rPr>
              <w:t>Contractor:</w:t>
            </w:r>
          </w:p>
          <w:p w14:paraId="018E477E" w14:textId="77777777" w:rsidR="009F15CE" w:rsidRPr="00ED4D49" w:rsidRDefault="009F15CE" w:rsidP="00530056">
            <w:pPr>
              <w:pStyle w:val="Default"/>
              <w:numPr>
                <w:ilvl w:val="0"/>
                <w:numId w:val="28"/>
              </w:numPr>
              <w:ind w:left="124" w:hanging="124"/>
              <w:rPr>
                <w:rFonts w:ascii="Calibri" w:hAnsi="Calibri" w:cs="Calibri"/>
                <w:sz w:val="18"/>
                <w:szCs w:val="18"/>
              </w:rPr>
            </w:pPr>
            <w:r w:rsidRPr="00ED4D49">
              <w:rPr>
                <w:rFonts w:ascii="Calibri" w:hAnsi="Calibri" w:cs="Calibri"/>
                <w:sz w:val="18"/>
                <w:szCs w:val="18"/>
              </w:rPr>
              <w:t>__________</w:t>
            </w:r>
          </w:p>
        </w:tc>
      </w:tr>
      <w:tr w:rsidR="00B62B42" w:rsidRPr="00ED4D49" w14:paraId="2D87E43C" w14:textId="77777777" w:rsidTr="00B62B42">
        <w:tc>
          <w:tcPr>
            <w:tcW w:w="1982" w:type="dxa"/>
            <w:vMerge w:val="restart"/>
          </w:tcPr>
          <w:p w14:paraId="634F7797" w14:textId="77777777" w:rsidR="00B62B42" w:rsidRPr="00ED4D49" w:rsidRDefault="00B62B42" w:rsidP="00633607">
            <w:pPr>
              <w:spacing w:before="0" w:after="0"/>
              <w:ind w:left="144" w:right="144"/>
              <w:rPr>
                <w:rFonts w:cs="Calibri"/>
                <w:b/>
                <w:color w:val="0070C0"/>
                <w:sz w:val="18"/>
                <w:szCs w:val="18"/>
                <w:lang w:val="en-US"/>
              </w:rPr>
            </w:pPr>
            <w:r w:rsidRPr="00ED4D49">
              <w:rPr>
                <w:rFonts w:cs="Calibri"/>
                <w:b/>
                <w:bCs/>
                <w:color w:val="336699"/>
                <w:sz w:val="18"/>
                <w:szCs w:val="18"/>
                <w:lang w:val="en-US"/>
              </w:rPr>
              <w:t>Mobilization/ Temporary facilities/ Construction/De-mobilization</w:t>
            </w:r>
          </w:p>
        </w:tc>
        <w:tc>
          <w:tcPr>
            <w:tcW w:w="12472" w:type="dxa"/>
            <w:gridSpan w:val="4"/>
          </w:tcPr>
          <w:p w14:paraId="7AABD7EF" w14:textId="77777777" w:rsidR="00B62B42" w:rsidRPr="00ED4D49" w:rsidRDefault="00B62B42" w:rsidP="00633607">
            <w:pPr>
              <w:pStyle w:val="Default"/>
              <w:ind w:left="69" w:hanging="142"/>
              <w:rPr>
                <w:rFonts w:ascii="Calibri" w:hAnsi="Calibri" w:cs="Calibri"/>
                <w:sz w:val="18"/>
                <w:szCs w:val="18"/>
              </w:rPr>
            </w:pPr>
            <w:r w:rsidRPr="00ED4D49">
              <w:rPr>
                <w:rFonts w:ascii="Calibri" w:hAnsi="Calibri" w:cs="Calibri"/>
                <w:b/>
                <w:bCs/>
                <w:sz w:val="18"/>
                <w:szCs w:val="18"/>
              </w:rPr>
              <w:t>Cultural Property and Chance Findings</w:t>
            </w:r>
          </w:p>
        </w:tc>
      </w:tr>
      <w:tr w:rsidR="00B62B42" w:rsidRPr="00ED4D49" w14:paraId="27261301" w14:textId="77777777" w:rsidTr="00B62B42">
        <w:tc>
          <w:tcPr>
            <w:tcW w:w="1982" w:type="dxa"/>
            <w:vMerge/>
          </w:tcPr>
          <w:p w14:paraId="514BA7BD" w14:textId="77777777" w:rsidR="00B62B42" w:rsidRPr="00ED4D49" w:rsidRDefault="00B62B42" w:rsidP="00633607">
            <w:pPr>
              <w:pStyle w:val="Default"/>
              <w:rPr>
                <w:rFonts w:ascii="Calibri" w:hAnsi="Calibri" w:cs="Calibri"/>
                <w:sz w:val="18"/>
                <w:szCs w:val="18"/>
              </w:rPr>
            </w:pPr>
          </w:p>
        </w:tc>
        <w:tc>
          <w:tcPr>
            <w:tcW w:w="2115" w:type="dxa"/>
          </w:tcPr>
          <w:p w14:paraId="5E6EE49C" w14:textId="6DC8A041" w:rsidR="00B62B42" w:rsidRPr="00ED4D49" w:rsidRDefault="00B62B42" w:rsidP="00530056">
            <w:pPr>
              <w:pStyle w:val="ListParagraph"/>
              <w:numPr>
                <w:ilvl w:val="0"/>
                <w:numId w:val="27"/>
              </w:numPr>
              <w:autoSpaceDE w:val="0"/>
              <w:autoSpaceDN w:val="0"/>
              <w:adjustRightInd w:val="0"/>
              <w:spacing w:before="0" w:after="0" w:line="240" w:lineRule="auto"/>
              <w:ind w:left="69" w:hanging="142"/>
              <w:rPr>
                <w:rFonts w:cs="Calibri"/>
                <w:kern w:val="24"/>
                <w:sz w:val="18"/>
                <w:szCs w:val="18"/>
              </w:rPr>
            </w:pPr>
            <w:r w:rsidRPr="00ED4D49">
              <w:rPr>
                <w:rFonts w:cs="Calibri"/>
                <w:b/>
                <w:bCs/>
                <w:kern w:val="24"/>
                <w:sz w:val="18"/>
                <w:szCs w:val="18"/>
              </w:rPr>
              <w:t xml:space="preserve">Damage to cultural property </w:t>
            </w:r>
            <w:r w:rsidRPr="00ED4D49">
              <w:rPr>
                <w:rFonts w:cs="Calibri"/>
                <w:kern w:val="24"/>
                <w:sz w:val="18"/>
                <w:szCs w:val="18"/>
              </w:rPr>
              <w:t>or chance findings which may be</w:t>
            </w:r>
            <w:r w:rsidR="00C6478C" w:rsidRPr="00ED4D49">
              <w:rPr>
                <w:rFonts w:cs="Calibri"/>
                <w:kern w:val="24"/>
                <w:sz w:val="18"/>
                <w:szCs w:val="18"/>
              </w:rPr>
              <w:t xml:space="preserve"> </w:t>
            </w:r>
            <w:r w:rsidRPr="00ED4D49">
              <w:rPr>
                <w:rFonts w:cs="Calibri"/>
                <w:kern w:val="24"/>
                <w:sz w:val="18"/>
                <w:szCs w:val="18"/>
              </w:rPr>
              <w:t>traversed reencountered during construction</w:t>
            </w:r>
          </w:p>
        </w:tc>
        <w:tc>
          <w:tcPr>
            <w:tcW w:w="2986" w:type="dxa"/>
          </w:tcPr>
          <w:p w14:paraId="5ADC8FE4" w14:textId="77777777" w:rsidR="00B62B42" w:rsidRPr="00ED4D49" w:rsidRDefault="00B62B42" w:rsidP="00530056">
            <w:pPr>
              <w:pStyle w:val="ListParagraph"/>
              <w:numPr>
                <w:ilvl w:val="0"/>
                <w:numId w:val="27"/>
              </w:numPr>
              <w:autoSpaceDE w:val="0"/>
              <w:autoSpaceDN w:val="0"/>
              <w:adjustRightInd w:val="0"/>
              <w:spacing w:before="0" w:after="180" w:line="264" w:lineRule="auto"/>
              <w:ind w:left="134" w:hanging="142"/>
              <w:rPr>
                <w:rFonts w:cs="Calibri"/>
                <w:kern w:val="24"/>
                <w:sz w:val="18"/>
                <w:szCs w:val="18"/>
              </w:rPr>
            </w:pPr>
            <w:r w:rsidRPr="00ED4D49">
              <w:rPr>
                <w:rFonts w:cs="Calibri"/>
                <w:kern w:val="24"/>
                <w:sz w:val="18"/>
                <w:szCs w:val="18"/>
              </w:rPr>
              <w:t xml:space="preserve">Stop the works and observe reporting and conservation protocols based on prior coordination with the responsible </w:t>
            </w:r>
            <w:r w:rsidRPr="00ED4D49">
              <w:rPr>
                <w:rFonts w:cs="Calibri"/>
                <w:kern w:val="24"/>
                <w:sz w:val="18"/>
                <w:szCs w:val="18"/>
              </w:rPr>
              <w:lastRenderedPageBreak/>
              <w:t>agency: Institute for Protection of Cultural &amp; National Heritage</w:t>
            </w:r>
          </w:p>
          <w:p w14:paraId="5F45248A" w14:textId="6BD16354" w:rsidR="00885072" w:rsidRPr="00ED4D49" w:rsidRDefault="00885072" w:rsidP="00885072">
            <w:pPr>
              <w:pStyle w:val="ListParagraph"/>
              <w:autoSpaceDE w:val="0"/>
              <w:autoSpaceDN w:val="0"/>
              <w:adjustRightInd w:val="0"/>
              <w:spacing w:before="0" w:after="180" w:line="264" w:lineRule="auto"/>
              <w:ind w:left="134"/>
              <w:rPr>
                <w:rFonts w:cs="Calibri"/>
                <w:kern w:val="24"/>
                <w:sz w:val="18"/>
                <w:szCs w:val="18"/>
              </w:rPr>
            </w:pPr>
          </w:p>
        </w:tc>
        <w:tc>
          <w:tcPr>
            <w:tcW w:w="3685" w:type="dxa"/>
          </w:tcPr>
          <w:p w14:paraId="7A97A33D" w14:textId="4999649A" w:rsidR="00B62B42" w:rsidRPr="00ED4D49" w:rsidRDefault="00B62B42" w:rsidP="00530056">
            <w:pPr>
              <w:pStyle w:val="ListParagraph"/>
              <w:numPr>
                <w:ilvl w:val="0"/>
                <w:numId w:val="27"/>
              </w:numPr>
              <w:autoSpaceDE w:val="0"/>
              <w:autoSpaceDN w:val="0"/>
              <w:adjustRightInd w:val="0"/>
              <w:spacing w:before="0" w:after="0" w:line="240" w:lineRule="auto"/>
              <w:ind w:left="190" w:hanging="232"/>
              <w:rPr>
                <w:rFonts w:cs="Calibri"/>
                <w:kern w:val="24"/>
                <w:sz w:val="18"/>
                <w:szCs w:val="18"/>
              </w:rPr>
            </w:pPr>
            <w:r w:rsidRPr="00ED4D49">
              <w:rPr>
                <w:rFonts w:cs="Calibri"/>
                <w:kern w:val="24"/>
                <w:sz w:val="18"/>
                <w:szCs w:val="18"/>
              </w:rPr>
              <w:lastRenderedPageBreak/>
              <w:t>Approval to continue or other</w:t>
            </w:r>
            <w:r w:rsidR="00C6478C" w:rsidRPr="00ED4D49">
              <w:rPr>
                <w:rFonts w:cs="Calibri"/>
                <w:kern w:val="24"/>
                <w:sz w:val="18"/>
                <w:szCs w:val="18"/>
              </w:rPr>
              <w:t xml:space="preserve"> </w:t>
            </w:r>
            <w:r w:rsidRPr="00ED4D49">
              <w:rPr>
                <w:rFonts w:cs="Calibri"/>
                <w:kern w:val="24"/>
                <w:sz w:val="18"/>
                <w:szCs w:val="18"/>
              </w:rPr>
              <w:t>relevant</w:t>
            </w:r>
            <w:r w:rsidR="00C6478C" w:rsidRPr="00ED4D49">
              <w:rPr>
                <w:rFonts w:cs="Calibri"/>
                <w:kern w:val="24"/>
                <w:sz w:val="18"/>
                <w:szCs w:val="18"/>
              </w:rPr>
              <w:t xml:space="preserve"> </w:t>
            </w:r>
            <w:r w:rsidRPr="00ED4D49">
              <w:rPr>
                <w:rFonts w:cs="Calibri"/>
                <w:kern w:val="24"/>
                <w:sz w:val="18"/>
                <w:szCs w:val="18"/>
              </w:rPr>
              <w:t>documentation from the nationally competent institution</w:t>
            </w:r>
          </w:p>
        </w:tc>
        <w:tc>
          <w:tcPr>
            <w:tcW w:w="3686" w:type="dxa"/>
          </w:tcPr>
          <w:p w14:paraId="265E4496" w14:textId="77777777" w:rsidR="00B62B42" w:rsidRPr="00ED4D49" w:rsidRDefault="00B62B42" w:rsidP="00530056">
            <w:pPr>
              <w:pStyle w:val="ListParagraph"/>
              <w:numPr>
                <w:ilvl w:val="0"/>
                <w:numId w:val="28"/>
              </w:numPr>
              <w:autoSpaceDE w:val="0"/>
              <w:autoSpaceDN w:val="0"/>
              <w:adjustRightInd w:val="0"/>
              <w:spacing w:before="0" w:after="180" w:line="264" w:lineRule="auto"/>
              <w:ind w:left="124" w:hanging="124"/>
              <w:rPr>
                <w:rFonts w:cs="Calibri"/>
                <w:kern w:val="24"/>
                <w:sz w:val="18"/>
                <w:szCs w:val="18"/>
              </w:rPr>
            </w:pPr>
            <w:r w:rsidRPr="00ED4D49">
              <w:rPr>
                <w:rFonts w:cs="Calibri"/>
                <w:kern w:val="24"/>
                <w:sz w:val="18"/>
                <w:szCs w:val="18"/>
              </w:rPr>
              <w:t>Contractor:</w:t>
            </w:r>
          </w:p>
          <w:p w14:paraId="0979F7DA" w14:textId="77777777" w:rsidR="00B62B42" w:rsidRPr="00ED4D49" w:rsidRDefault="00B62B42" w:rsidP="00530056">
            <w:pPr>
              <w:pStyle w:val="Default"/>
              <w:numPr>
                <w:ilvl w:val="0"/>
                <w:numId w:val="28"/>
              </w:numPr>
              <w:ind w:left="124" w:hanging="124"/>
              <w:rPr>
                <w:rFonts w:ascii="Calibri" w:hAnsi="Calibri" w:cs="Calibri"/>
                <w:sz w:val="18"/>
                <w:szCs w:val="18"/>
              </w:rPr>
            </w:pPr>
            <w:r w:rsidRPr="00ED4D49">
              <w:rPr>
                <w:rFonts w:ascii="Calibri" w:hAnsi="Calibri" w:cs="Calibri"/>
                <w:sz w:val="18"/>
                <w:szCs w:val="18"/>
              </w:rPr>
              <w:t>__________</w:t>
            </w:r>
          </w:p>
        </w:tc>
      </w:tr>
      <w:tr w:rsidR="00B62B42" w:rsidRPr="00ED4D49" w14:paraId="608BE0A6" w14:textId="77777777" w:rsidTr="00B62B42">
        <w:tc>
          <w:tcPr>
            <w:tcW w:w="14454" w:type="dxa"/>
            <w:gridSpan w:val="5"/>
          </w:tcPr>
          <w:p w14:paraId="7AB3D8AA" w14:textId="54F8FA90" w:rsidR="00885072" w:rsidRPr="00ED4D49" w:rsidRDefault="00B62B42" w:rsidP="00885072">
            <w:pPr>
              <w:pStyle w:val="Default"/>
              <w:ind w:left="69" w:hanging="142"/>
              <w:rPr>
                <w:rFonts w:ascii="Calibri" w:hAnsi="Calibri" w:cs="Calibri"/>
                <w:b/>
                <w:bCs/>
                <w:sz w:val="18"/>
                <w:szCs w:val="18"/>
              </w:rPr>
            </w:pPr>
            <w:r w:rsidRPr="00ED4D49">
              <w:rPr>
                <w:rFonts w:ascii="Calibri" w:hAnsi="Calibri" w:cs="Calibri"/>
                <w:b/>
                <w:bCs/>
                <w:sz w:val="18"/>
                <w:szCs w:val="18"/>
              </w:rPr>
              <w:t>Operation and Maintenance</w:t>
            </w:r>
          </w:p>
        </w:tc>
      </w:tr>
      <w:tr w:rsidR="00885072" w:rsidRPr="00ED4D49" w14:paraId="1F1368EF" w14:textId="77777777" w:rsidTr="009E6567">
        <w:tc>
          <w:tcPr>
            <w:tcW w:w="1982" w:type="dxa"/>
            <w:vMerge w:val="restart"/>
          </w:tcPr>
          <w:p w14:paraId="0B039E46" w14:textId="7FCFE781" w:rsidR="00885072" w:rsidRPr="00ED4D49" w:rsidRDefault="00885072" w:rsidP="007F2484">
            <w:pPr>
              <w:spacing w:before="0" w:after="0"/>
              <w:ind w:left="144" w:right="144"/>
              <w:rPr>
                <w:rFonts w:cs="Calibri"/>
                <w:b/>
                <w:bCs/>
                <w:color w:val="336699"/>
                <w:sz w:val="18"/>
                <w:szCs w:val="18"/>
                <w:lang w:val="en-US"/>
              </w:rPr>
            </w:pPr>
            <w:r w:rsidRPr="00ED4D49">
              <w:rPr>
                <w:rFonts w:cs="Calibri"/>
                <w:b/>
                <w:bCs/>
                <w:color w:val="336699"/>
                <w:sz w:val="18"/>
                <w:szCs w:val="18"/>
                <w:lang w:val="en-US"/>
              </w:rPr>
              <w:t xml:space="preserve">Maintenance </w:t>
            </w:r>
          </w:p>
        </w:tc>
        <w:tc>
          <w:tcPr>
            <w:tcW w:w="12472" w:type="dxa"/>
            <w:gridSpan w:val="4"/>
          </w:tcPr>
          <w:p w14:paraId="597CAD5B" w14:textId="49A57A7B" w:rsidR="00885072" w:rsidRPr="00ED4D49" w:rsidRDefault="00885072" w:rsidP="00885072">
            <w:pPr>
              <w:pStyle w:val="Default"/>
              <w:ind w:left="69" w:hanging="142"/>
              <w:rPr>
                <w:rFonts w:cs="Calibri"/>
                <w:kern w:val="24"/>
                <w:sz w:val="18"/>
                <w:szCs w:val="18"/>
              </w:rPr>
            </w:pPr>
            <w:r w:rsidRPr="00ED4D49">
              <w:rPr>
                <w:rFonts w:ascii="Calibri" w:hAnsi="Calibri" w:cs="Calibri"/>
                <w:b/>
                <w:bCs/>
                <w:sz w:val="18"/>
                <w:szCs w:val="18"/>
              </w:rPr>
              <w:t>Traffic and Pedestrian Safety</w:t>
            </w:r>
          </w:p>
        </w:tc>
      </w:tr>
      <w:tr w:rsidR="00885072" w:rsidRPr="00ED4D49" w14:paraId="2279747B" w14:textId="77777777" w:rsidTr="00B62B42">
        <w:tc>
          <w:tcPr>
            <w:tcW w:w="1982" w:type="dxa"/>
            <w:vMerge/>
          </w:tcPr>
          <w:p w14:paraId="5EDDDC98" w14:textId="18BF5942" w:rsidR="00885072" w:rsidRPr="00ED4D49" w:rsidRDefault="00885072" w:rsidP="007F2484">
            <w:pPr>
              <w:spacing w:before="0" w:after="0"/>
              <w:ind w:left="144" w:right="144"/>
              <w:rPr>
                <w:rFonts w:cs="Calibri"/>
                <w:b/>
                <w:bCs/>
                <w:color w:val="336699"/>
                <w:sz w:val="18"/>
                <w:szCs w:val="18"/>
                <w:lang w:val="en-US"/>
              </w:rPr>
            </w:pPr>
          </w:p>
        </w:tc>
        <w:tc>
          <w:tcPr>
            <w:tcW w:w="2115" w:type="dxa"/>
          </w:tcPr>
          <w:p w14:paraId="00648D83" w14:textId="3F65A665" w:rsidR="00885072" w:rsidRPr="00ED4D49" w:rsidRDefault="00885072" w:rsidP="00530056">
            <w:pPr>
              <w:pStyle w:val="ListParagraph"/>
              <w:numPr>
                <w:ilvl w:val="0"/>
                <w:numId w:val="27"/>
              </w:numPr>
              <w:autoSpaceDE w:val="0"/>
              <w:autoSpaceDN w:val="0"/>
              <w:adjustRightInd w:val="0"/>
              <w:spacing w:before="0" w:after="0" w:line="240" w:lineRule="auto"/>
              <w:ind w:left="136" w:hanging="142"/>
              <w:rPr>
                <w:rFonts w:cs="Calibri"/>
                <w:kern w:val="24"/>
                <w:sz w:val="18"/>
                <w:szCs w:val="18"/>
              </w:rPr>
            </w:pPr>
            <w:r w:rsidRPr="00ED4D49">
              <w:rPr>
                <w:rFonts w:cs="Calibri"/>
                <w:b/>
                <w:bCs/>
                <w:kern w:val="24"/>
                <w:sz w:val="18"/>
                <w:szCs w:val="18"/>
              </w:rPr>
              <w:t xml:space="preserve">Access </w:t>
            </w:r>
            <w:r w:rsidR="008E616F" w:rsidRPr="00ED4D49">
              <w:rPr>
                <w:rFonts w:cs="Calibri"/>
                <w:b/>
                <w:bCs/>
                <w:kern w:val="24"/>
                <w:sz w:val="18"/>
                <w:szCs w:val="18"/>
              </w:rPr>
              <w:t>restrictions</w:t>
            </w:r>
            <w:r w:rsidR="008E616F" w:rsidRPr="00ED4D49">
              <w:rPr>
                <w:rFonts w:cs="Calibri"/>
                <w:kern w:val="24"/>
                <w:sz w:val="18"/>
                <w:szCs w:val="18"/>
              </w:rPr>
              <w:t xml:space="preserve"> during</w:t>
            </w:r>
            <w:r w:rsidRPr="00ED4D49">
              <w:rPr>
                <w:rFonts w:cs="Calibri"/>
                <w:kern w:val="24"/>
                <w:sz w:val="18"/>
                <w:szCs w:val="18"/>
              </w:rPr>
              <w:t xml:space="preserve"> maintenance </w:t>
            </w:r>
          </w:p>
        </w:tc>
        <w:tc>
          <w:tcPr>
            <w:tcW w:w="2986" w:type="dxa"/>
          </w:tcPr>
          <w:p w14:paraId="65A6FB64" w14:textId="58495B72" w:rsidR="00885072" w:rsidRPr="00ED4D49" w:rsidRDefault="00885072" w:rsidP="00530056">
            <w:pPr>
              <w:pStyle w:val="ListParagraph"/>
              <w:numPr>
                <w:ilvl w:val="0"/>
                <w:numId w:val="27"/>
              </w:numPr>
              <w:autoSpaceDE w:val="0"/>
              <w:autoSpaceDN w:val="0"/>
              <w:adjustRightInd w:val="0"/>
              <w:spacing w:before="0" w:after="0" w:line="240" w:lineRule="auto"/>
              <w:ind w:left="136" w:hanging="142"/>
              <w:rPr>
                <w:rFonts w:cs="Calibri"/>
                <w:kern w:val="24"/>
                <w:sz w:val="18"/>
                <w:szCs w:val="18"/>
              </w:rPr>
            </w:pPr>
            <w:r w:rsidRPr="00ED4D49">
              <w:rPr>
                <w:rFonts w:cs="Calibri"/>
                <w:kern w:val="24"/>
                <w:sz w:val="18"/>
                <w:szCs w:val="18"/>
              </w:rPr>
              <w:t>Introduce appropriate traffic signalization and appropriate warning signs</w:t>
            </w:r>
          </w:p>
          <w:p w14:paraId="2C958959" w14:textId="520721F0" w:rsidR="00885072" w:rsidRPr="00ED4D49" w:rsidRDefault="00885072" w:rsidP="00530056">
            <w:pPr>
              <w:pStyle w:val="ListParagraph"/>
              <w:numPr>
                <w:ilvl w:val="0"/>
                <w:numId w:val="27"/>
              </w:numPr>
              <w:autoSpaceDE w:val="0"/>
              <w:autoSpaceDN w:val="0"/>
              <w:adjustRightInd w:val="0"/>
              <w:spacing w:before="0" w:after="0" w:line="240" w:lineRule="auto"/>
              <w:ind w:left="136" w:hanging="142"/>
              <w:rPr>
                <w:rFonts w:cs="Calibri"/>
                <w:kern w:val="24"/>
                <w:sz w:val="18"/>
                <w:szCs w:val="18"/>
              </w:rPr>
            </w:pPr>
            <w:r w:rsidRPr="00ED4D49">
              <w:rPr>
                <w:rFonts w:cs="Calibri"/>
                <w:kern w:val="24"/>
                <w:sz w:val="18"/>
                <w:szCs w:val="18"/>
              </w:rPr>
              <w:t>Implementation of SEP, in particular the provisions on providing timely information to citizens through the media about upcoming maintenance, expected duration of the works, alternative routes, etc.</w:t>
            </w:r>
          </w:p>
        </w:tc>
        <w:tc>
          <w:tcPr>
            <w:tcW w:w="3685" w:type="dxa"/>
          </w:tcPr>
          <w:p w14:paraId="53FD2183" w14:textId="77777777" w:rsidR="00885072" w:rsidRPr="00ED4D49" w:rsidRDefault="00885072" w:rsidP="00530056">
            <w:pPr>
              <w:pStyle w:val="ListParagraph"/>
              <w:numPr>
                <w:ilvl w:val="0"/>
                <w:numId w:val="27"/>
              </w:numPr>
              <w:autoSpaceDE w:val="0"/>
              <w:autoSpaceDN w:val="0"/>
              <w:adjustRightInd w:val="0"/>
              <w:spacing w:before="0" w:after="0" w:line="240" w:lineRule="auto"/>
              <w:ind w:left="136" w:hanging="193"/>
              <w:rPr>
                <w:rFonts w:cs="Calibri"/>
                <w:kern w:val="24"/>
                <w:sz w:val="18"/>
                <w:szCs w:val="18"/>
              </w:rPr>
            </w:pPr>
            <w:r w:rsidRPr="00ED4D49">
              <w:rPr>
                <w:rFonts w:cs="Calibri"/>
                <w:kern w:val="24"/>
                <w:sz w:val="18"/>
                <w:szCs w:val="18"/>
              </w:rPr>
              <w:t>Visual inspection of warning signs</w:t>
            </w:r>
          </w:p>
          <w:p w14:paraId="7FC2DBFE" w14:textId="5936D599" w:rsidR="00885072" w:rsidRPr="00ED4D49" w:rsidRDefault="00885072" w:rsidP="00530056">
            <w:pPr>
              <w:pStyle w:val="ListParagraph"/>
              <w:numPr>
                <w:ilvl w:val="0"/>
                <w:numId w:val="27"/>
              </w:numPr>
              <w:autoSpaceDE w:val="0"/>
              <w:autoSpaceDN w:val="0"/>
              <w:adjustRightInd w:val="0"/>
              <w:spacing w:before="0" w:after="0" w:line="240" w:lineRule="auto"/>
              <w:ind w:left="136" w:hanging="193"/>
              <w:rPr>
                <w:rFonts w:cs="Calibri"/>
                <w:kern w:val="24"/>
                <w:sz w:val="18"/>
                <w:szCs w:val="18"/>
              </w:rPr>
            </w:pPr>
            <w:r w:rsidRPr="00ED4D49">
              <w:rPr>
                <w:rFonts w:cs="Calibri"/>
                <w:kern w:val="24"/>
                <w:sz w:val="18"/>
                <w:szCs w:val="18"/>
              </w:rPr>
              <w:t>Insight in information published</w:t>
            </w:r>
          </w:p>
        </w:tc>
        <w:tc>
          <w:tcPr>
            <w:tcW w:w="3686" w:type="dxa"/>
          </w:tcPr>
          <w:p w14:paraId="2C937B2A" w14:textId="77777777" w:rsidR="00885072" w:rsidRPr="00ED4D49" w:rsidRDefault="00885072" w:rsidP="00530056">
            <w:pPr>
              <w:pStyle w:val="ListParagraph"/>
              <w:numPr>
                <w:ilvl w:val="0"/>
                <w:numId w:val="28"/>
              </w:numPr>
              <w:autoSpaceDE w:val="0"/>
              <w:autoSpaceDN w:val="0"/>
              <w:adjustRightInd w:val="0"/>
              <w:spacing w:before="0" w:after="180" w:line="264" w:lineRule="auto"/>
              <w:ind w:left="124" w:hanging="124"/>
              <w:rPr>
                <w:rFonts w:cs="Calibri"/>
                <w:kern w:val="24"/>
                <w:sz w:val="18"/>
                <w:szCs w:val="18"/>
              </w:rPr>
            </w:pPr>
            <w:r w:rsidRPr="00ED4D49">
              <w:rPr>
                <w:rFonts w:cs="Calibri"/>
                <w:kern w:val="24"/>
                <w:sz w:val="18"/>
                <w:szCs w:val="18"/>
              </w:rPr>
              <w:t>Contractor:</w:t>
            </w:r>
          </w:p>
          <w:p w14:paraId="4D46C63A" w14:textId="77777777" w:rsidR="00885072" w:rsidRPr="00ED4D49" w:rsidRDefault="00885072" w:rsidP="00530056">
            <w:pPr>
              <w:pStyle w:val="ListParagraph"/>
              <w:numPr>
                <w:ilvl w:val="0"/>
                <w:numId w:val="28"/>
              </w:numPr>
              <w:autoSpaceDE w:val="0"/>
              <w:autoSpaceDN w:val="0"/>
              <w:adjustRightInd w:val="0"/>
              <w:spacing w:before="0" w:after="180" w:line="264" w:lineRule="auto"/>
              <w:ind w:left="124" w:hanging="124"/>
              <w:rPr>
                <w:rFonts w:cs="Calibri"/>
                <w:kern w:val="24"/>
                <w:sz w:val="18"/>
                <w:szCs w:val="18"/>
              </w:rPr>
            </w:pPr>
            <w:r w:rsidRPr="00ED4D49">
              <w:rPr>
                <w:rFonts w:cs="Calibri"/>
                <w:kern w:val="24"/>
                <w:sz w:val="18"/>
                <w:szCs w:val="18"/>
              </w:rPr>
              <w:t>Owner or flood protection structures</w:t>
            </w:r>
          </w:p>
          <w:p w14:paraId="717EA47E" w14:textId="4BDF4D13" w:rsidR="00885072" w:rsidRPr="00ED4D49" w:rsidRDefault="00885072" w:rsidP="00530056">
            <w:pPr>
              <w:pStyle w:val="ListParagraph"/>
              <w:numPr>
                <w:ilvl w:val="0"/>
                <w:numId w:val="28"/>
              </w:numPr>
              <w:autoSpaceDE w:val="0"/>
              <w:autoSpaceDN w:val="0"/>
              <w:adjustRightInd w:val="0"/>
              <w:spacing w:before="0" w:after="180" w:line="264" w:lineRule="auto"/>
              <w:ind w:left="124" w:hanging="124"/>
              <w:rPr>
                <w:rFonts w:cs="Calibri"/>
                <w:kern w:val="24"/>
                <w:sz w:val="18"/>
                <w:szCs w:val="18"/>
              </w:rPr>
            </w:pPr>
            <w:r w:rsidRPr="00ED4D49">
              <w:rPr>
                <w:rFonts w:cs="Calibri"/>
                <w:sz w:val="18"/>
                <w:szCs w:val="18"/>
              </w:rPr>
              <w:t>__________</w:t>
            </w:r>
          </w:p>
        </w:tc>
      </w:tr>
      <w:tr w:rsidR="00885072" w:rsidRPr="00ED4D49" w14:paraId="3BCC8708" w14:textId="77777777" w:rsidTr="009E6567">
        <w:tc>
          <w:tcPr>
            <w:tcW w:w="1982" w:type="dxa"/>
            <w:vMerge w:val="restart"/>
          </w:tcPr>
          <w:p w14:paraId="1285E605" w14:textId="4FFCFBE1" w:rsidR="00885072" w:rsidRPr="00ED4D49" w:rsidRDefault="00885072" w:rsidP="007F2484">
            <w:pPr>
              <w:spacing w:before="0" w:after="0"/>
              <w:ind w:left="144" w:right="144"/>
              <w:rPr>
                <w:rFonts w:cs="Calibri"/>
                <w:b/>
                <w:bCs/>
                <w:color w:val="336699"/>
                <w:sz w:val="18"/>
                <w:szCs w:val="18"/>
                <w:lang w:val="en-US"/>
              </w:rPr>
            </w:pPr>
            <w:r w:rsidRPr="00ED4D49">
              <w:rPr>
                <w:rFonts w:cs="Calibri"/>
                <w:b/>
                <w:bCs/>
                <w:color w:val="336699"/>
                <w:sz w:val="18"/>
                <w:szCs w:val="18"/>
                <w:lang w:val="en-US"/>
              </w:rPr>
              <w:t>Maintenance</w:t>
            </w:r>
          </w:p>
        </w:tc>
        <w:tc>
          <w:tcPr>
            <w:tcW w:w="12472" w:type="dxa"/>
            <w:gridSpan w:val="4"/>
          </w:tcPr>
          <w:p w14:paraId="016FDF0C" w14:textId="7E986418" w:rsidR="00885072" w:rsidRPr="00ED4D49" w:rsidRDefault="00885072" w:rsidP="00885072">
            <w:pPr>
              <w:pStyle w:val="Default"/>
              <w:ind w:left="69" w:hanging="142"/>
              <w:rPr>
                <w:rFonts w:cs="Calibri"/>
                <w:kern w:val="24"/>
                <w:sz w:val="18"/>
                <w:szCs w:val="18"/>
              </w:rPr>
            </w:pPr>
            <w:r w:rsidRPr="00ED4D49">
              <w:rPr>
                <w:rFonts w:ascii="Calibri" w:hAnsi="Calibri" w:cs="Calibri"/>
                <w:b/>
                <w:bCs/>
                <w:sz w:val="18"/>
                <w:szCs w:val="18"/>
              </w:rPr>
              <w:t>Noise suppression</w:t>
            </w:r>
          </w:p>
        </w:tc>
      </w:tr>
      <w:tr w:rsidR="00885072" w:rsidRPr="00ED4D49" w14:paraId="33AD2E09" w14:textId="77777777" w:rsidTr="00B62B42">
        <w:tc>
          <w:tcPr>
            <w:tcW w:w="1982" w:type="dxa"/>
            <w:vMerge/>
          </w:tcPr>
          <w:p w14:paraId="63FD4F4F" w14:textId="0ABEACEF" w:rsidR="00885072" w:rsidRPr="00ED4D49" w:rsidRDefault="00885072" w:rsidP="007F2484">
            <w:pPr>
              <w:spacing w:before="0" w:after="0"/>
              <w:ind w:left="144" w:right="144"/>
              <w:rPr>
                <w:rFonts w:cs="Calibri"/>
                <w:b/>
                <w:bCs/>
                <w:color w:val="336699"/>
                <w:sz w:val="18"/>
                <w:szCs w:val="18"/>
                <w:lang w:val="en-US"/>
              </w:rPr>
            </w:pPr>
          </w:p>
        </w:tc>
        <w:tc>
          <w:tcPr>
            <w:tcW w:w="2115" w:type="dxa"/>
          </w:tcPr>
          <w:p w14:paraId="16EA5ED3" w14:textId="7DEB2F0F" w:rsidR="00885072" w:rsidRPr="00ED4D49" w:rsidRDefault="00885072" w:rsidP="00530056">
            <w:pPr>
              <w:numPr>
                <w:ilvl w:val="0"/>
                <w:numId w:val="27"/>
              </w:numPr>
              <w:autoSpaceDE w:val="0"/>
              <w:autoSpaceDN w:val="0"/>
              <w:adjustRightInd w:val="0"/>
              <w:spacing w:before="0" w:after="0" w:line="240" w:lineRule="auto"/>
              <w:ind w:left="193" w:hanging="193"/>
              <w:rPr>
                <w:rFonts w:cs="Calibri"/>
                <w:kern w:val="24"/>
                <w:sz w:val="18"/>
                <w:szCs w:val="18"/>
                <w:lang w:val="en-US"/>
              </w:rPr>
            </w:pPr>
            <w:r w:rsidRPr="00ED4D49">
              <w:rPr>
                <w:rFonts w:cs="Calibri"/>
                <w:b/>
                <w:bCs/>
                <w:kern w:val="24"/>
                <w:sz w:val="18"/>
                <w:szCs w:val="18"/>
                <w:lang w:val="en-US"/>
              </w:rPr>
              <w:t>Noise</w:t>
            </w:r>
            <w:r w:rsidRPr="00ED4D49">
              <w:rPr>
                <w:rFonts w:cs="Calibri"/>
                <w:kern w:val="24"/>
                <w:sz w:val="18"/>
                <w:szCs w:val="18"/>
                <w:lang w:val="en-US"/>
              </w:rPr>
              <w:t xml:space="preserve"> emission and noise disturbance; </w:t>
            </w:r>
          </w:p>
          <w:p w14:paraId="07D87D78" w14:textId="19EBEE2F" w:rsidR="00885072" w:rsidRPr="00ED4D49" w:rsidRDefault="00885072" w:rsidP="007F2484">
            <w:pPr>
              <w:pStyle w:val="ListParagraph"/>
              <w:autoSpaceDE w:val="0"/>
              <w:autoSpaceDN w:val="0"/>
              <w:adjustRightInd w:val="0"/>
              <w:spacing w:before="0" w:after="0" w:line="240" w:lineRule="auto"/>
              <w:ind w:left="193"/>
              <w:rPr>
                <w:rFonts w:cs="Calibri"/>
                <w:kern w:val="24"/>
                <w:sz w:val="18"/>
                <w:szCs w:val="18"/>
              </w:rPr>
            </w:pPr>
          </w:p>
        </w:tc>
        <w:tc>
          <w:tcPr>
            <w:tcW w:w="2986" w:type="dxa"/>
          </w:tcPr>
          <w:p w14:paraId="17520A10" w14:textId="45777392" w:rsidR="00885072" w:rsidRPr="00ED4D49" w:rsidRDefault="00885072" w:rsidP="00530056">
            <w:pPr>
              <w:pStyle w:val="ListParagraph"/>
              <w:numPr>
                <w:ilvl w:val="0"/>
                <w:numId w:val="27"/>
              </w:numPr>
              <w:autoSpaceDE w:val="0"/>
              <w:autoSpaceDN w:val="0"/>
              <w:adjustRightInd w:val="0"/>
              <w:spacing w:before="0" w:after="0" w:line="240" w:lineRule="auto"/>
              <w:ind w:left="193" w:hanging="193"/>
              <w:rPr>
                <w:rFonts w:cs="Calibri"/>
                <w:kern w:val="24"/>
                <w:sz w:val="18"/>
                <w:szCs w:val="18"/>
              </w:rPr>
            </w:pPr>
            <w:r w:rsidRPr="00ED4D49">
              <w:rPr>
                <w:rFonts w:cs="Calibri"/>
                <w:kern w:val="24"/>
                <w:sz w:val="18"/>
                <w:szCs w:val="18"/>
              </w:rPr>
              <w:t>In case of noise complaints by local residents, the reduction of permissible vehicle speed limit should be performed</w:t>
            </w:r>
          </w:p>
        </w:tc>
        <w:tc>
          <w:tcPr>
            <w:tcW w:w="3685" w:type="dxa"/>
          </w:tcPr>
          <w:p w14:paraId="4158B465" w14:textId="18FCBF31" w:rsidR="00885072" w:rsidRPr="00ED4D49" w:rsidRDefault="00885072" w:rsidP="00530056">
            <w:pPr>
              <w:pStyle w:val="ListParagraph"/>
              <w:numPr>
                <w:ilvl w:val="0"/>
                <w:numId w:val="27"/>
              </w:numPr>
              <w:autoSpaceDE w:val="0"/>
              <w:autoSpaceDN w:val="0"/>
              <w:adjustRightInd w:val="0"/>
              <w:spacing w:before="0" w:after="0" w:line="240" w:lineRule="auto"/>
              <w:ind w:left="136" w:hanging="193"/>
              <w:rPr>
                <w:rFonts w:cs="Calibri"/>
                <w:kern w:val="24"/>
                <w:sz w:val="18"/>
                <w:szCs w:val="18"/>
              </w:rPr>
            </w:pPr>
            <w:r w:rsidRPr="00ED4D49">
              <w:rPr>
                <w:rFonts w:cs="Calibri"/>
                <w:kern w:val="24"/>
                <w:sz w:val="18"/>
                <w:szCs w:val="18"/>
              </w:rPr>
              <w:t>Limit noisy activities (e.g. earthmoving, truck unloading, etc.) to the least noise-sensitive times of day and schedule activities to occur at the same time. Machinery should be shut down or throttled down to a minimum when not in use.</w:t>
            </w:r>
          </w:p>
        </w:tc>
        <w:tc>
          <w:tcPr>
            <w:tcW w:w="3686" w:type="dxa"/>
          </w:tcPr>
          <w:p w14:paraId="3E794EEB" w14:textId="77777777" w:rsidR="00885072" w:rsidRPr="00ED4D49" w:rsidRDefault="00885072" w:rsidP="00530056">
            <w:pPr>
              <w:pStyle w:val="ListParagraph"/>
              <w:numPr>
                <w:ilvl w:val="0"/>
                <w:numId w:val="28"/>
              </w:numPr>
              <w:autoSpaceDE w:val="0"/>
              <w:autoSpaceDN w:val="0"/>
              <w:adjustRightInd w:val="0"/>
              <w:spacing w:before="0" w:after="180" w:line="264" w:lineRule="auto"/>
              <w:ind w:left="124" w:hanging="124"/>
              <w:rPr>
                <w:rFonts w:cs="Calibri"/>
                <w:kern w:val="24"/>
                <w:sz w:val="18"/>
                <w:szCs w:val="18"/>
              </w:rPr>
            </w:pPr>
            <w:r w:rsidRPr="00ED4D49">
              <w:rPr>
                <w:rFonts w:cs="Calibri"/>
                <w:kern w:val="24"/>
                <w:sz w:val="18"/>
                <w:szCs w:val="18"/>
              </w:rPr>
              <w:t>Contractor</w:t>
            </w:r>
          </w:p>
          <w:p w14:paraId="030D6375" w14:textId="4ED56BB5" w:rsidR="00885072" w:rsidRPr="00ED4D49" w:rsidRDefault="00885072" w:rsidP="00530056">
            <w:pPr>
              <w:pStyle w:val="ListParagraph"/>
              <w:numPr>
                <w:ilvl w:val="0"/>
                <w:numId w:val="28"/>
              </w:numPr>
              <w:autoSpaceDE w:val="0"/>
              <w:autoSpaceDN w:val="0"/>
              <w:adjustRightInd w:val="0"/>
              <w:spacing w:before="0" w:after="180" w:line="264" w:lineRule="auto"/>
              <w:ind w:left="124" w:hanging="124"/>
              <w:rPr>
                <w:rFonts w:cs="Calibri"/>
                <w:kern w:val="24"/>
                <w:sz w:val="18"/>
                <w:szCs w:val="18"/>
              </w:rPr>
            </w:pPr>
            <w:r w:rsidRPr="00ED4D49">
              <w:rPr>
                <w:rFonts w:cs="Calibri"/>
                <w:sz w:val="18"/>
                <w:szCs w:val="18"/>
              </w:rPr>
              <w:t>__________</w:t>
            </w:r>
          </w:p>
        </w:tc>
      </w:tr>
      <w:tr w:rsidR="00885072" w:rsidRPr="00ED4D49" w14:paraId="1B8B17A5" w14:textId="77777777" w:rsidTr="009E6567">
        <w:tc>
          <w:tcPr>
            <w:tcW w:w="1982" w:type="dxa"/>
            <w:vMerge w:val="restart"/>
          </w:tcPr>
          <w:p w14:paraId="0237265C" w14:textId="76C97D0D" w:rsidR="00885072" w:rsidRPr="00ED4D49" w:rsidRDefault="00885072" w:rsidP="007F2484">
            <w:pPr>
              <w:spacing w:before="0" w:after="0"/>
              <w:ind w:left="144" w:right="144"/>
              <w:rPr>
                <w:rFonts w:cs="Calibri"/>
                <w:b/>
                <w:bCs/>
                <w:color w:val="336699"/>
                <w:sz w:val="18"/>
                <w:szCs w:val="18"/>
                <w:lang w:val="en-US"/>
              </w:rPr>
            </w:pPr>
            <w:r w:rsidRPr="00ED4D49">
              <w:rPr>
                <w:rFonts w:cs="Calibri"/>
                <w:b/>
                <w:bCs/>
                <w:color w:val="336699"/>
                <w:sz w:val="18"/>
                <w:szCs w:val="18"/>
                <w:lang w:val="en-US"/>
              </w:rPr>
              <w:t xml:space="preserve">Maintenance </w:t>
            </w:r>
          </w:p>
        </w:tc>
        <w:tc>
          <w:tcPr>
            <w:tcW w:w="12472" w:type="dxa"/>
            <w:gridSpan w:val="4"/>
          </w:tcPr>
          <w:p w14:paraId="444B65BF" w14:textId="073752E5" w:rsidR="00885072" w:rsidRPr="00ED4D49" w:rsidRDefault="00885072" w:rsidP="00885072">
            <w:pPr>
              <w:pStyle w:val="Default"/>
              <w:ind w:left="69" w:hanging="142"/>
              <w:rPr>
                <w:rFonts w:cs="Calibri"/>
                <w:kern w:val="24"/>
                <w:sz w:val="18"/>
                <w:szCs w:val="18"/>
              </w:rPr>
            </w:pPr>
            <w:r w:rsidRPr="00ED4D49">
              <w:rPr>
                <w:rFonts w:ascii="Calibri" w:hAnsi="Calibri" w:cs="Calibri"/>
                <w:b/>
                <w:bCs/>
                <w:sz w:val="18"/>
                <w:szCs w:val="18"/>
              </w:rPr>
              <w:t>Waste management</w:t>
            </w:r>
          </w:p>
        </w:tc>
      </w:tr>
      <w:tr w:rsidR="00885072" w:rsidRPr="00ED4D49" w14:paraId="278B3DF9" w14:textId="77777777" w:rsidTr="00B62B42">
        <w:tc>
          <w:tcPr>
            <w:tcW w:w="1982" w:type="dxa"/>
            <w:vMerge/>
          </w:tcPr>
          <w:p w14:paraId="5E50F796" w14:textId="54E881D4" w:rsidR="00885072" w:rsidRPr="00ED4D49" w:rsidRDefault="00885072" w:rsidP="007F2484">
            <w:pPr>
              <w:spacing w:before="0" w:after="0"/>
              <w:ind w:left="144" w:right="144"/>
              <w:rPr>
                <w:rFonts w:cs="Calibri"/>
                <w:b/>
                <w:bCs/>
                <w:color w:val="336699"/>
                <w:sz w:val="18"/>
                <w:szCs w:val="18"/>
                <w:lang w:val="en-US"/>
              </w:rPr>
            </w:pPr>
          </w:p>
        </w:tc>
        <w:tc>
          <w:tcPr>
            <w:tcW w:w="2115" w:type="dxa"/>
          </w:tcPr>
          <w:p w14:paraId="633727C2" w14:textId="25ACC64D" w:rsidR="00885072" w:rsidRPr="00ED4D49" w:rsidRDefault="00885072" w:rsidP="00530056">
            <w:pPr>
              <w:pStyle w:val="ListParagraph"/>
              <w:numPr>
                <w:ilvl w:val="0"/>
                <w:numId w:val="27"/>
              </w:numPr>
              <w:autoSpaceDE w:val="0"/>
              <w:autoSpaceDN w:val="0"/>
              <w:adjustRightInd w:val="0"/>
              <w:spacing w:before="0" w:after="0" w:line="240" w:lineRule="auto"/>
              <w:ind w:left="68" w:hanging="142"/>
              <w:rPr>
                <w:rFonts w:cs="Calibri"/>
                <w:b/>
                <w:kern w:val="24"/>
                <w:sz w:val="18"/>
                <w:szCs w:val="18"/>
              </w:rPr>
            </w:pPr>
            <w:r w:rsidRPr="00ED4D49">
              <w:rPr>
                <w:rFonts w:cs="Calibri"/>
                <w:kern w:val="24"/>
                <w:sz w:val="18"/>
                <w:szCs w:val="18"/>
              </w:rPr>
              <w:t xml:space="preserve">Improper </w:t>
            </w:r>
            <w:r w:rsidRPr="00ED4D49">
              <w:rPr>
                <w:rFonts w:cs="Calibri"/>
                <w:b/>
                <w:bCs/>
                <w:kern w:val="24"/>
                <w:sz w:val="18"/>
                <w:szCs w:val="18"/>
              </w:rPr>
              <w:t xml:space="preserve">management of waste </w:t>
            </w:r>
            <w:r w:rsidRPr="00ED4D49">
              <w:rPr>
                <w:rFonts w:cs="Calibri"/>
                <w:kern w:val="24"/>
                <w:sz w:val="18"/>
                <w:szCs w:val="18"/>
              </w:rPr>
              <w:t>from maintenance activities</w:t>
            </w:r>
          </w:p>
        </w:tc>
        <w:tc>
          <w:tcPr>
            <w:tcW w:w="2986" w:type="dxa"/>
          </w:tcPr>
          <w:p w14:paraId="4019231F" w14:textId="1EBE1C0E" w:rsidR="00885072" w:rsidRPr="00ED4D49" w:rsidRDefault="00885072" w:rsidP="00530056">
            <w:pPr>
              <w:pStyle w:val="ListParagraph"/>
              <w:numPr>
                <w:ilvl w:val="0"/>
                <w:numId w:val="27"/>
              </w:numPr>
              <w:autoSpaceDE w:val="0"/>
              <w:autoSpaceDN w:val="0"/>
              <w:adjustRightInd w:val="0"/>
              <w:spacing w:before="0" w:after="0" w:line="240" w:lineRule="auto"/>
              <w:ind w:left="136" w:hanging="142"/>
              <w:rPr>
                <w:rFonts w:cs="Calibri"/>
                <w:kern w:val="24"/>
                <w:sz w:val="18"/>
                <w:szCs w:val="18"/>
              </w:rPr>
            </w:pPr>
            <w:r w:rsidRPr="00ED4D49">
              <w:rPr>
                <w:rFonts w:cs="Calibri"/>
                <w:kern w:val="24"/>
                <w:sz w:val="18"/>
                <w:szCs w:val="18"/>
              </w:rPr>
              <w:t>Waste collection and disposal pathways and sites will be identified for all major waste types expected from maintenance activities.</w:t>
            </w:r>
          </w:p>
          <w:p w14:paraId="0797639B" w14:textId="6668981E" w:rsidR="00885072" w:rsidRPr="00ED4D49" w:rsidRDefault="00885072" w:rsidP="00530056">
            <w:pPr>
              <w:pStyle w:val="ListParagraph"/>
              <w:numPr>
                <w:ilvl w:val="0"/>
                <w:numId w:val="27"/>
              </w:numPr>
              <w:autoSpaceDE w:val="0"/>
              <w:autoSpaceDN w:val="0"/>
              <w:adjustRightInd w:val="0"/>
              <w:spacing w:before="0" w:after="0" w:line="240" w:lineRule="auto"/>
              <w:ind w:left="136" w:hanging="142"/>
              <w:rPr>
                <w:rFonts w:cs="Calibri"/>
                <w:kern w:val="24"/>
                <w:sz w:val="18"/>
                <w:szCs w:val="18"/>
              </w:rPr>
            </w:pPr>
            <w:r w:rsidRPr="00ED4D49">
              <w:rPr>
                <w:rFonts w:cs="Calibri"/>
                <w:kern w:val="24"/>
                <w:sz w:val="18"/>
                <w:szCs w:val="18"/>
              </w:rPr>
              <w:t>All waste will be collected and disposed properly by licensed collectors</w:t>
            </w:r>
          </w:p>
          <w:p w14:paraId="55FD2540" w14:textId="0D2668B0" w:rsidR="00885072" w:rsidRPr="00ED4D49" w:rsidRDefault="00885072" w:rsidP="00530056">
            <w:pPr>
              <w:pStyle w:val="ListParagraph"/>
              <w:numPr>
                <w:ilvl w:val="0"/>
                <w:numId w:val="27"/>
              </w:numPr>
              <w:autoSpaceDE w:val="0"/>
              <w:autoSpaceDN w:val="0"/>
              <w:adjustRightInd w:val="0"/>
              <w:spacing w:before="0" w:after="0" w:line="240" w:lineRule="auto"/>
              <w:ind w:left="136" w:hanging="142"/>
              <w:rPr>
                <w:rFonts w:cs="Calibri"/>
                <w:kern w:val="24"/>
                <w:sz w:val="18"/>
                <w:szCs w:val="18"/>
              </w:rPr>
            </w:pPr>
            <w:r w:rsidRPr="00ED4D49">
              <w:rPr>
                <w:rFonts w:cs="Calibri"/>
                <w:kern w:val="24"/>
                <w:sz w:val="18"/>
                <w:szCs w:val="18"/>
              </w:rPr>
              <w:t>No open burning of wastes/removed vegetation on or off site</w:t>
            </w:r>
          </w:p>
        </w:tc>
        <w:tc>
          <w:tcPr>
            <w:tcW w:w="3685" w:type="dxa"/>
          </w:tcPr>
          <w:p w14:paraId="63768365" w14:textId="77777777" w:rsidR="00885072" w:rsidRPr="00ED4D49" w:rsidRDefault="00885072" w:rsidP="00530056">
            <w:pPr>
              <w:pStyle w:val="ListParagraph"/>
              <w:numPr>
                <w:ilvl w:val="0"/>
                <w:numId w:val="27"/>
              </w:numPr>
              <w:autoSpaceDE w:val="0"/>
              <w:autoSpaceDN w:val="0"/>
              <w:adjustRightInd w:val="0"/>
              <w:spacing w:before="0" w:after="0" w:line="240" w:lineRule="auto"/>
              <w:ind w:left="193" w:hanging="193"/>
              <w:rPr>
                <w:rFonts w:cs="Calibri"/>
                <w:kern w:val="24"/>
                <w:sz w:val="18"/>
                <w:szCs w:val="18"/>
              </w:rPr>
            </w:pPr>
            <w:r w:rsidRPr="00ED4D49">
              <w:rPr>
                <w:rFonts w:cs="Calibri"/>
                <w:kern w:val="24"/>
                <w:sz w:val="18"/>
                <w:szCs w:val="18"/>
              </w:rPr>
              <w:t>Visual inspection of separate waste management piles</w:t>
            </w:r>
          </w:p>
          <w:p w14:paraId="549BB699" w14:textId="77777777" w:rsidR="00885072" w:rsidRPr="00ED4D49" w:rsidRDefault="00885072" w:rsidP="00530056">
            <w:pPr>
              <w:pStyle w:val="ListParagraph"/>
              <w:numPr>
                <w:ilvl w:val="0"/>
                <w:numId w:val="27"/>
              </w:numPr>
              <w:autoSpaceDE w:val="0"/>
              <w:autoSpaceDN w:val="0"/>
              <w:adjustRightInd w:val="0"/>
              <w:spacing w:before="0" w:after="0" w:line="240" w:lineRule="auto"/>
              <w:ind w:left="193" w:hanging="193"/>
              <w:rPr>
                <w:rFonts w:cs="Calibri"/>
                <w:kern w:val="24"/>
                <w:sz w:val="18"/>
                <w:szCs w:val="18"/>
              </w:rPr>
            </w:pPr>
            <w:r w:rsidRPr="00ED4D49">
              <w:rPr>
                <w:rFonts w:cs="Calibri"/>
                <w:kern w:val="24"/>
                <w:sz w:val="18"/>
                <w:szCs w:val="18"/>
              </w:rPr>
              <w:t>Written receipts of all separate waste streams handled by the designated authorities</w:t>
            </w:r>
          </w:p>
          <w:p w14:paraId="6B8AF80A" w14:textId="74B8DD8D" w:rsidR="00885072" w:rsidRPr="00ED4D49" w:rsidRDefault="00885072" w:rsidP="00530056">
            <w:pPr>
              <w:pStyle w:val="ListParagraph"/>
              <w:numPr>
                <w:ilvl w:val="0"/>
                <w:numId w:val="27"/>
              </w:numPr>
              <w:autoSpaceDE w:val="0"/>
              <w:autoSpaceDN w:val="0"/>
              <w:adjustRightInd w:val="0"/>
              <w:spacing w:before="0" w:after="0" w:line="240" w:lineRule="auto"/>
              <w:ind w:left="190" w:hanging="190"/>
              <w:rPr>
                <w:rFonts w:cs="Calibri"/>
                <w:kern w:val="24"/>
                <w:sz w:val="18"/>
                <w:szCs w:val="18"/>
              </w:rPr>
            </w:pPr>
            <w:r w:rsidRPr="00ED4D49">
              <w:rPr>
                <w:rFonts w:cs="Calibri"/>
                <w:kern w:val="24"/>
                <w:sz w:val="18"/>
                <w:szCs w:val="18"/>
              </w:rPr>
              <w:t>Visual inspection of burn marks on site</w:t>
            </w:r>
          </w:p>
        </w:tc>
        <w:tc>
          <w:tcPr>
            <w:tcW w:w="3686" w:type="dxa"/>
          </w:tcPr>
          <w:p w14:paraId="73185F7C" w14:textId="68E2EC4E" w:rsidR="00885072" w:rsidRPr="00ED4D49" w:rsidRDefault="00885072" w:rsidP="00530056">
            <w:pPr>
              <w:pStyle w:val="ListParagraph"/>
              <w:numPr>
                <w:ilvl w:val="0"/>
                <w:numId w:val="27"/>
              </w:numPr>
              <w:autoSpaceDE w:val="0"/>
              <w:autoSpaceDN w:val="0"/>
              <w:adjustRightInd w:val="0"/>
              <w:spacing w:before="0" w:after="180" w:line="264" w:lineRule="auto"/>
              <w:ind w:left="124" w:hanging="142"/>
              <w:rPr>
                <w:rFonts w:cs="Calibri"/>
                <w:kern w:val="24"/>
                <w:sz w:val="18"/>
                <w:szCs w:val="18"/>
              </w:rPr>
            </w:pPr>
            <w:r w:rsidRPr="00ED4D49">
              <w:rPr>
                <w:rFonts w:cs="Calibri"/>
                <w:kern w:val="24"/>
                <w:sz w:val="18"/>
                <w:szCs w:val="18"/>
              </w:rPr>
              <w:t xml:space="preserve">Contractor </w:t>
            </w:r>
          </w:p>
          <w:p w14:paraId="4D5A9822" w14:textId="0913FC3B" w:rsidR="00885072" w:rsidRPr="00ED4D49" w:rsidRDefault="00885072" w:rsidP="00530056">
            <w:pPr>
              <w:pStyle w:val="ListParagraph"/>
              <w:numPr>
                <w:ilvl w:val="0"/>
                <w:numId w:val="27"/>
              </w:numPr>
              <w:autoSpaceDE w:val="0"/>
              <w:autoSpaceDN w:val="0"/>
              <w:adjustRightInd w:val="0"/>
              <w:spacing w:before="0" w:after="0" w:line="240" w:lineRule="auto"/>
              <w:ind w:left="124" w:hanging="142"/>
              <w:rPr>
                <w:rFonts w:cs="Calibri"/>
                <w:kern w:val="24"/>
                <w:sz w:val="18"/>
                <w:szCs w:val="18"/>
              </w:rPr>
            </w:pPr>
            <w:r w:rsidRPr="00ED4D49">
              <w:rPr>
                <w:rFonts w:cs="Calibri"/>
                <w:sz w:val="18"/>
                <w:szCs w:val="18"/>
              </w:rPr>
              <w:t>__________</w:t>
            </w:r>
          </w:p>
        </w:tc>
      </w:tr>
    </w:tbl>
    <w:p w14:paraId="6FB1500E" w14:textId="005926E5" w:rsidR="00E32A35" w:rsidRPr="00ED4D49" w:rsidRDefault="00E32A35" w:rsidP="00E32A35">
      <w:pPr>
        <w:rPr>
          <w:lang w:val="en-US" w:eastAsia="x-none"/>
        </w:rPr>
      </w:pPr>
    </w:p>
    <w:bookmarkEnd w:id="288"/>
    <w:p w14:paraId="04E74BD6" w14:textId="77777777" w:rsidR="00E32A35" w:rsidRPr="00ED4D49" w:rsidRDefault="00E32A35" w:rsidP="00E32A35">
      <w:pPr>
        <w:rPr>
          <w:lang w:val="en-US" w:eastAsia="x-none"/>
        </w:rPr>
        <w:sectPr w:rsidR="00E32A35" w:rsidRPr="00ED4D49" w:rsidSect="00E32A35">
          <w:headerReference w:type="default" r:id="rId48"/>
          <w:headerReference w:type="first" r:id="rId49"/>
          <w:pgSz w:w="16840" w:h="11900" w:orient="landscape"/>
          <w:pgMar w:top="1440" w:right="1440" w:bottom="1440" w:left="1440" w:header="720" w:footer="720" w:gutter="0"/>
          <w:cols w:space="720"/>
          <w:titlePg/>
          <w:docGrid w:linePitch="360"/>
        </w:sectPr>
      </w:pPr>
    </w:p>
    <w:p w14:paraId="7735D1C4" w14:textId="26D8C0DD" w:rsidR="00E32A35" w:rsidRPr="00ED4D49" w:rsidRDefault="005A36C4" w:rsidP="00530056">
      <w:pPr>
        <w:pStyle w:val="Heading2"/>
        <w:numPr>
          <w:ilvl w:val="0"/>
          <w:numId w:val="30"/>
        </w:numPr>
        <w:ind w:left="426" w:hanging="426"/>
      </w:pPr>
      <w:bookmarkStart w:id="289" w:name="_Ref28445416"/>
      <w:bookmarkStart w:id="290" w:name="_Toc31811112"/>
      <w:bookmarkStart w:id="291" w:name="_Ref22311169"/>
      <w:r w:rsidRPr="00ED4D49">
        <w:lastRenderedPageBreak/>
        <w:t>Indicative outline of</w:t>
      </w:r>
      <w:r w:rsidR="00061D50" w:rsidRPr="00ED4D49">
        <w:t xml:space="preserve"> ESIA</w:t>
      </w:r>
      <w:bookmarkEnd w:id="289"/>
      <w:bookmarkEnd w:id="290"/>
      <w:r w:rsidR="00061D50" w:rsidRPr="00ED4D49">
        <w:t xml:space="preserve"> </w:t>
      </w:r>
      <w:bookmarkEnd w:id="291"/>
    </w:p>
    <w:p w14:paraId="699B4B03" w14:textId="3A1CCDF3" w:rsidR="005A36C4" w:rsidRPr="00ED4D49" w:rsidRDefault="005A36C4" w:rsidP="00530056">
      <w:pPr>
        <w:pStyle w:val="ListParagraph"/>
        <w:numPr>
          <w:ilvl w:val="0"/>
          <w:numId w:val="24"/>
        </w:numPr>
        <w:rPr>
          <w:sz w:val="20"/>
          <w:szCs w:val="20"/>
        </w:rPr>
      </w:pPr>
      <w:r w:rsidRPr="00ED4D49">
        <w:rPr>
          <w:sz w:val="20"/>
          <w:szCs w:val="20"/>
        </w:rPr>
        <w:t>Executive Summary</w:t>
      </w:r>
    </w:p>
    <w:p w14:paraId="70FE3F95" w14:textId="3C94A298" w:rsidR="005A36C4" w:rsidRPr="00ED4D49" w:rsidRDefault="005A36C4" w:rsidP="008D64BA">
      <w:pPr>
        <w:pStyle w:val="Bullets"/>
      </w:pPr>
      <w:r w:rsidRPr="00ED4D49">
        <w:t>Concisely discusses significant findings and recommended actions.</w:t>
      </w:r>
    </w:p>
    <w:p w14:paraId="64DA3B73" w14:textId="186C5C0B" w:rsidR="005A36C4" w:rsidRPr="00ED4D49" w:rsidRDefault="005A36C4" w:rsidP="00530056">
      <w:pPr>
        <w:pStyle w:val="ListParagraph"/>
        <w:numPr>
          <w:ilvl w:val="0"/>
          <w:numId w:val="24"/>
        </w:numPr>
        <w:rPr>
          <w:sz w:val="20"/>
          <w:szCs w:val="20"/>
        </w:rPr>
      </w:pPr>
      <w:r w:rsidRPr="00ED4D49">
        <w:rPr>
          <w:sz w:val="20"/>
          <w:szCs w:val="20"/>
        </w:rPr>
        <w:t>Legal and Institutional Framework</w:t>
      </w:r>
    </w:p>
    <w:p w14:paraId="72ABC731" w14:textId="662358DC" w:rsidR="005A36C4" w:rsidRPr="00ED4D49" w:rsidRDefault="005A36C4" w:rsidP="008D64BA">
      <w:pPr>
        <w:pStyle w:val="Bullets"/>
      </w:pPr>
      <w:r w:rsidRPr="00ED4D49">
        <w:t>Analyzes the legal and institutional framework for the project, within which the environmental and social assessment is carried out, including the issues set out in ESS1, paragraph 26</w:t>
      </w:r>
      <w:r w:rsidRPr="00ED4D49">
        <w:rPr>
          <w:rStyle w:val="FootnoteReference"/>
        </w:rPr>
        <w:footnoteReference w:id="77"/>
      </w:r>
      <w:r w:rsidRPr="00ED4D49">
        <w:t>.</w:t>
      </w:r>
    </w:p>
    <w:p w14:paraId="1C8A605E" w14:textId="77777777" w:rsidR="005A36C4" w:rsidRPr="00ED4D49" w:rsidRDefault="005A36C4" w:rsidP="008D64BA">
      <w:pPr>
        <w:pStyle w:val="Bullets"/>
      </w:pPr>
      <w:r w:rsidRPr="00ED4D49">
        <w:t xml:space="preserve">Compares the Borrower’s existing environmental and social framework and the ESSs and identifies the gaps between them. </w:t>
      </w:r>
    </w:p>
    <w:p w14:paraId="3E13C7C7" w14:textId="4D4C9974" w:rsidR="005A36C4" w:rsidRPr="00ED4D49" w:rsidRDefault="005A36C4" w:rsidP="008D64BA">
      <w:pPr>
        <w:pStyle w:val="Bullets"/>
      </w:pPr>
      <w:r w:rsidRPr="00ED4D49">
        <w:t>Identifies and assesses the environmental and social requirements of any co-financiers.</w:t>
      </w:r>
    </w:p>
    <w:p w14:paraId="17E3E7C6" w14:textId="769255A3" w:rsidR="005A36C4" w:rsidRPr="00ED4D49" w:rsidRDefault="005A36C4" w:rsidP="00530056">
      <w:pPr>
        <w:pStyle w:val="ListParagraph"/>
        <w:numPr>
          <w:ilvl w:val="0"/>
          <w:numId w:val="24"/>
        </w:numPr>
        <w:rPr>
          <w:sz w:val="20"/>
          <w:szCs w:val="20"/>
        </w:rPr>
      </w:pPr>
      <w:r w:rsidRPr="00ED4D49">
        <w:rPr>
          <w:sz w:val="20"/>
          <w:szCs w:val="20"/>
        </w:rPr>
        <w:t>Project Description</w:t>
      </w:r>
    </w:p>
    <w:p w14:paraId="6AABEBE6" w14:textId="77777777" w:rsidR="005A36C4" w:rsidRPr="00ED4D49" w:rsidRDefault="005A36C4" w:rsidP="008D64BA">
      <w:pPr>
        <w:pStyle w:val="Bullets"/>
      </w:pPr>
      <w:r w:rsidRPr="00ED4D49">
        <w:t>Concisely describes the proposed project and its geographic, environmental, social, and temporal context, including any offsite investments that may be required (e.g., dedicated pipelines, access roads, power supply, water supply, housing, and raw material and product storage facilities), as well as the project’s primary suppliers.</w:t>
      </w:r>
    </w:p>
    <w:p w14:paraId="44B061C2" w14:textId="77777777" w:rsidR="005A36C4" w:rsidRPr="00ED4D49" w:rsidRDefault="005A36C4" w:rsidP="008D64BA">
      <w:pPr>
        <w:pStyle w:val="Bullets"/>
      </w:pPr>
      <w:r w:rsidRPr="00ED4D49">
        <w:t>Through consideration of the details of the project, indicates the need for any plan to meet the requirements of ESS1 through 10.</w:t>
      </w:r>
    </w:p>
    <w:p w14:paraId="3761D23E" w14:textId="58B485BA" w:rsidR="005A36C4" w:rsidRPr="00ED4D49" w:rsidRDefault="005A36C4" w:rsidP="008D64BA">
      <w:pPr>
        <w:pStyle w:val="Bullets"/>
      </w:pPr>
      <w:r w:rsidRPr="00ED4D49">
        <w:t>Includes a map of sufficient detail, showing the project site and the area that may be affected by the project’s direct, indirect, and cumulative impacts.</w:t>
      </w:r>
    </w:p>
    <w:p w14:paraId="3ECB5C28" w14:textId="647BB3AD" w:rsidR="005A36C4" w:rsidRPr="00ED4D49" w:rsidRDefault="005A36C4" w:rsidP="00530056">
      <w:pPr>
        <w:pStyle w:val="ListParagraph"/>
        <w:numPr>
          <w:ilvl w:val="0"/>
          <w:numId w:val="24"/>
        </w:numPr>
        <w:rPr>
          <w:sz w:val="20"/>
          <w:szCs w:val="20"/>
        </w:rPr>
      </w:pPr>
      <w:r w:rsidRPr="00ED4D49">
        <w:rPr>
          <w:sz w:val="20"/>
          <w:szCs w:val="20"/>
        </w:rPr>
        <w:t>Baseline Data</w:t>
      </w:r>
    </w:p>
    <w:p w14:paraId="1B4DC9B9" w14:textId="2C42CAFA" w:rsidR="005A36C4" w:rsidRPr="00ED4D49" w:rsidRDefault="005A36C4" w:rsidP="008D64BA">
      <w:pPr>
        <w:pStyle w:val="Bullets"/>
      </w:pPr>
      <w:r w:rsidRPr="00ED4D49">
        <w:t xml:space="preserve">Sets out in detail the baseline data that is relevant to decisions about project location, design, operation, or mitigation measures. This should include a discussion of the accuracy, reliability, and sources of the data as well as information about dates surrounding project identification, planning and implementation. </w:t>
      </w:r>
    </w:p>
    <w:p w14:paraId="0450597E" w14:textId="2FE6C9C0" w:rsidR="005A36C4" w:rsidRPr="00ED4D49" w:rsidRDefault="005A36C4" w:rsidP="008D64BA">
      <w:pPr>
        <w:pStyle w:val="Bullets"/>
      </w:pPr>
      <w:r w:rsidRPr="00ED4D49">
        <w:t>Identifies and estimates the extent and quality of available data, key data gaps, and uncertainties associated with predictions.</w:t>
      </w:r>
    </w:p>
    <w:p w14:paraId="1F43382E" w14:textId="7A04FBC4" w:rsidR="005A36C4" w:rsidRPr="00ED4D49" w:rsidRDefault="005A36C4" w:rsidP="008D64BA">
      <w:pPr>
        <w:pStyle w:val="Bullets"/>
      </w:pPr>
      <w:r w:rsidRPr="00ED4D49">
        <w:t>Based on current information, assesses the scope of the area to be studied and describes relevant physical, biological, and socioeconomic conditions, including any changes anticipated before the project commences.</w:t>
      </w:r>
    </w:p>
    <w:p w14:paraId="49356F9A" w14:textId="7C048BE8" w:rsidR="005A36C4" w:rsidRPr="00ED4D49" w:rsidRDefault="005A36C4" w:rsidP="008D64BA">
      <w:pPr>
        <w:pStyle w:val="Bullets"/>
      </w:pPr>
      <w:r w:rsidRPr="00ED4D49">
        <w:t>Takes into account current and proposed development activities within the project area but not directly connected to the project.</w:t>
      </w:r>
    </w:p>
    <w:p w14:paraId="2207371F" w14:textId="44653FA0" w:rsidR="005A36C4" w:rsidRPr="00ED4D49" w:rsidRDefault="005A36C4" w:rsidP="00530056">
      <w:pPr>
        <w:pStyle w:val="ListParagraph"/>
        <w:numPr>
          <w:ilvl w:val="0"/>
          <w:numId w:val="24"/>
        </w:numPr>
        <w:rPr>
          <w:sz w:val="20"/>
          <w:szCs w:val="20"/>
        </w:rPr>
      </w:pPr>
      <w:r w:rsidRPr="00ED4D49">
        <w:rPr>
          <w:sz w:val="20"/>
          <w:szCs w:val="20"/>
        </w:rPr>
        <w:t>Environmental and Social Risks and Impacts</w:t>
      </w:r>
    </w:p>
    <w:p w14:paraId="242061D1" w14:textId="45FF5F8A" w:rsidR="005A36C4" w:rsidRPr="00ED4D49" w:rsidRDefault="005A36C4" w:rsidP="008D64BA">
      <w:pPr>
        <w:pStyle w:val="Bullets"/>
      </w:pPr>
      <w:r w:rsidRPr="00ED4D49">
        <w:t>Takes into account all relevant environmental and social risks and impacts of the project. This will include the environmental and social risks and impacts specifically identified in ESS2–8, and any other environmental and social risks and impacts arising as a consequence of the specific nature and context of the project, including the risks and impacts identified in ESS1, paragraph 28.</w:t>
      </w:r>
    </w:p>
    <w:p w14:paraId="09554EEB" w14:textId="61914DEB" w:rsidR="005A36C4" w:rsidRPr="00ED4D49" w:rsidRDefault="005A36C4" w:rsidP="00530056">
      <w:pPr>
        <w:pStyle w:val="ListParagraph"/>
        <w:numPr>
          <w:ilvl w:val="0"/>
          <w:numId w:val="24"/>
        </w:numPr>
        <w:rPr>
          <w:sz w:val="20"/>
          <w:szCs w:val="20"/>
        </w:rPr>
      </w:pPr>
      <w:r w:rsidRPr="00ED4D49">
        <w:rPr>
          <w:sz w:val="20"/>
          <w:szCs w:val="20"/>
        </w:rPr>
        <w:t>Mitigation Measures</w:t>
      </w:r>
    </w:p>
    <w:p w14:paraId="2FE3AD32" w14:textId="77777777" w:rsidR="005A36C4" w:rsidRPr="00ED4D49" w:rsidRDefault="005A36C4" w:rsidP="008D64BA">
      <w:pPr>
        <w:pStyle w:val="Bullets"/>
      </w:pPr>
      <w:r w:rsidRPr="00ED4D49">
        <w:t xml:space="preserve">Identifies mitigation measures and significant residual negative impacts that cannot be mitigated and, to the extent possible, assesses the acceptability of those residual negative impacts. Identifies </w:t>
      </w:r>
      <w:r w:rsidRPr="00ED4D49">
        <w:lastRenderedPageBreak/>
        <w:t>differentiated measures so that adverse impacts do not fall disproportionately on the disadvantaged or vulnerable.</w:t>
      </w:r>
    </w:p>
    <w:p w14:paraId="5A3F6457" w14:textId="77777777" w:rsidR="005A36C4" w:rsidRPr="00ED4D49" w:rsidRDefault="005A36C4" w:rsidP="008D64BA">
      <w:pPr>
        <w:pStyle w:val="Bullets"/>
      </w:pPr>
      <w:r w:rsidRPr="00ED4D49">
        <w:t>Assesses the feasibility of mitigating the environmental and social impacts; the capital and recurrent costs of proposed mitigation measures, and their suitability under local conditions; and the institutional, training, and monitoring requirements for the proposed mitigation measures.</w:t>
      </w:r>
    </w:p>
    <w:p w14:paraId="3AE60617" w14:textId="14DB0816" w:rsidR="005A36C4" w:rsidRPr="00ED4D49" w:rsidRDefault="005A36C4" w:rsidP="008D64BA">
      <w:pPr>
        <w:pStyle w:val="Bullets"/>
      </w:pPr>
      <w:r w:rsidRPr="00ED4D49">
        <w:t>Specifies issues that do not require further attention, providing the basis for this determination.</w:t>
      </w:r>
    </w:p>
    <w:p w14:paraId="25847926" w14:textId="21293F53" w:rsidR="005A36C4" w:rsidRPr="00ED4D49" w:rsidRDefault="005A36C4" w:rsidP="00530056">
      <w:pPr>
        <w:pStyle w:val="ListParagraph"/>
        <w:numPr>
          <w:ilvl w:val="0"/>
          <w:numId w:val="24"/>
        </w:numPr>
        <w:rPr>
          <w:sz w:val="20"/>
          <w:szCs w:val="20"/>
        </w:rPr>
      </w:pPr>
      <w:r w:rsidRPr="00ED4D49">
        <w:rPr>
          <w:sz w:val="20"/>
          <w:szCs w:val="20"/>
        </w:rPr>
        <w:t xml:space="preserve"> Analysis of Alternatives</w:t>
      </w:r>
    </w:p>
    <w:p w14:paraId="72444BBC" w14:textId="1159937A" w:rsidR="005A36C4" w:rsidRPr="00ED4D49" w:rsidRDefault="005A36C4" w:rsidP="008D64BA">
      <w:pPr>
        <w:pStyle w:val="Bullets"/>
      </w:pPr>
      <w:r w:rsidRPr="00ED4D49">
        <w:t>Systematically compares feasible alternatives to the proposed project site, technology, design, and operation—including the “without project” situation—in terms of their potential environmental and social impacts.</w:t>
      </w:r>
    </w:p>
    <w:p w14:paraId="409D57CE" w14:textId="2195C8BB" w:rsidR="005A36C4" w:rsidRPr="00ED4D49" w:rsidRDefault="005A36C4" w:rsidP="008D64BA">
      <w:pPr>
        <w:pStyle w:val="Bullets"/>
      </w:pPr>
      <w:r w:rsidRPr="00ED4D49">
        <w:t>Assesses the alternatives’ feasibility of mitigating the environmental and social impacts; the capital and recurrent costs of alternative mitigation measures, and their suitability under local conditions; and the institutional, training, and monitoring requirements for the alternative mitigation measures.</w:t>
      </w:r>
    </w:p>
    <w:p w14:paraId="55AE596A" w14:textId="719E3FFE" w:rsidR="005A36C4" w:rsidRPr="00ED4D49" w:rsidRDefault="005A36C4" w:rsidP="008D64BA">
      <w:pPr>
        <w:pStyle w:val="Bullets"/>
      </w:pPr>
      <w:r w:rsidRPr="00ED4D49">
        <w:t>For each of the alternatives, quantifies the environmental and social impacts to the extent possible, and attaches economic values where feasible.</w:t>
      </w:r>
    </w:p>
    <w:p w14:paraId="1CA90BE1" w14:textId="7FE985FF" w:rsidR="005A36C4" w:rsidRPr="00ED4D49" w:rsidRDefault="005A36C4" w:rsidP="00530056">
      <w:pPr>
        <w:pStyle w:val="ListParagraph"/>
        <w:numPr>
          <w:ilvl w:val="0"/>
          <w:numId w:val="24"/>
        </w:numPr>
        <w:rPr>
          <w:sz w:val="20"/>
          <w:szCs w:val="20"/>
        </w:rPr>
      </w:pPr>
      <w:r w:rsidRPr="00ED4D49">
        <w:rPr>
          <w:sz w:val="20"/>
          <w:szCs w:val="20"/>
        </w:rPr>
        <w:t>Design Measures</w:t>
      </w:r>
    </w:p>
    <w:p w14:paraId="4CF34C3B" w14:textId="3B53AFC4" w:rsidR="005A36C4" w:rsidRPr="00ED4D49" w:rsidRDefault="005A36C4" w:rsidP="008D64BA">
      <w:pPr>
        <w:pStyle w:val="Bullets"/>
      </w:pPr>
      <w:r w:rsidRPr="00ED4D49">
        <w:t>Sets out the basis for selecting the particular project design proposed and specifies the applicable EHSGs or if the EH</w:t>
      </w:r>
      <w:r w:rsidR="00A05FF7" w:rsidRPr="00ED4D49">
        <w:t>S</w:t>
      </w:r>
      <w:r w:rsidRPr="00ED4D49">
        <w:t>Gs are determined to be inapplicable, justifies recommended emission levels and approaches to pollution prevention and abatement that are consistent with GIIP</w:t>
      </w:r>
      <w:r w:rsidR="00A05FF7" w:rsidRPr="00ED4D49">
        <w:t xml:space="preserve"> (if applicable)</w:t>
      </w:r>
      <w:r w:rsidRPr="00ED4D49">
        <w:t>.</w:t>
      </w:r>
    </w:p>
    <w:p w14:paraId="2CC055AB" w14:textId="5F09BBC7" w:rsidR="005A36C4" w:rsidRPr="00ED4D49" w:rsidRDefault="005A36C4" w:rsidP="00530056">
      <w:pPr>
        <w:pStyle w:val="ListParagraph"/>
        <w:numPr>
          <w:ilvl w:val="0"/>
          <w:numId w:val="24"/>
        </w:numPr>
      </w:pPr>
      <w:r w:rsidRPr="00ED4D49">
        <w:rPr>
          <w:sz w:val="20"/>
          <w:szCs w:val="20"/>
        </w:rPr>
        <w:t>Key Measures and Actions for the Environmental and Social Commitment Plan (ESCP)</w:t>
      </w:r>
    </w:p>
    <w:p w14:paraId="7C742C54" w14:textId="5A81BD65" w:rsidR="005A36C4" w:rsidRPr="00ED4D49" w:rsidRDefault="005A36C4" w:rsidP="008D64BA">
      <w:pPr>
        <w:pStyle w:val="Bullets"/>
      </w:pPr>
      <w:r w:rsidRPr="00ED4D49">
        <w:t>Summarizes key measures and actions and the timeframe required for the project to meet the requirements of the ESSs. This will be used in developing the Environmental and Social Commitment Plan (ESCP).</w:t>
      </w:r>
    </w:p>
    <w:p w14:paraId="0FD58562" w14:textId="6F11E1B7" w:rsidR="005A36C4" w:rsidRPr="00ED4D49" w:rsidRDefault="005A36C4" w:rsidP="00530056">
      <w:pPr>
        <w:pStyle w:val="ListParagraph"/>
        <w:numPr>
          <w:ilvl w:val="0"/>
          <w:numId w:val="24"/>
        </w:numPr>
        <w:rPr>
          <w:sz w:val="20"/>
          <w:szCs w:val="20"/>
        </w:rPr>
      </w:pPr>
      <w:r w:rsidRPr="00ED4D49">
        <w:rPr>
          <w:sz w:val="20"/>
          <w:szCs w:val="20"/>
        </w:rPr>
        <w:t xml:space="preserve"> Appendices</w:t>
      </w:r>
    </w:p>
    <w:p w14:paraId="542BD6AD" w14:textId="0526F5FE" w:rsidR="005A36C4" w:rsidRPr="00ED4D49" w:rsidRDefault="005A36C4" w:rsidP="008D64BA">
      <w:pPr>
        <w:pStyle w:val="Bullets"/>
      </w:pPr>
      <w:r w:rsidRPr="00ED4D49">
        <w:t xml:space="preserve"> List of the individuals or organizations that prepared or contributed to the environmental and social assessment.</w:t>
      </w:r>
    </w:p>
    <w:p w14:paraId="7E6A3B5E" w14:textId="7DCE810A" w:rsidR="005A36C4" w:rsidRPr="00ED4D49" w:rsidRDefault="005A36C4" w:rsidP="008D64BA">
      <w:pPr>
        <w:pStyle w:val="Bullets"/>
      </w:pPr>
      <w:r w:rsidRPr="00ED4D49">
        <w:t>References—setting out the written materials both published and unpublished, that have been used.</w:t>
      </w:r>
    </w:p>
    <w:p w14:paraId="33257E7A" w14:textId="4A93CCBF" w:rsidR="005A36C4" w:rsidRPr="00ED4D49" w:rsidRDefault="005A36C4" w:rsidP="008D64BA">
      <w:pPr>
        <w:pStyle w:val="Bullets"/>
      </w:pPr>
      <w:r w:rsidRPr="00ED4D49">
        <w:t>Record of meetings, consultations and surveys with stakeholders, including those with affected people and other interested parties. The record specifies the means of such stakeholder engagement that were used to obtain the views of affected people and other interested parties.</w:t>
      </w:r>
    </w:p>
    <w:p w14:paraId="6D3D5A8E" w14:textId="354FBB49" w:rsidR="005A36C4" w:rsidRPr="00ED4D49" w:rsidRDefault="005A36C4" w:rsidP="008D64BA">
      <w:pPr>
        <w:pStyle w:val="Bullets"/>
      </w:pPr>
      <w:r w:rsidRPr="00ED4D49">
        <w:t>Tables presenting the relevant data referred to or summarized in the main text.</w:t>
      </w:r>
    </w:p>
    <w:p w14:paraId="310150F7" w14:textId="36AEE3C1" w:rsidR="005A36C4" w:rsidRPr="00ED4D49" w:rsidRDefault="005A36C4" w:rsidP="008D64BA">
      <w:pPr>
        <w:pStyle w:val="Bullets"/>
      </w:pPr>
      <w:r w:rsidRPr="00ED4D49">
        <w:t>List of associated reports or plans.</w:t>
      </w:r>
    </w:p>
    <w:p w14:paraId="6E6422BA" w14:textId="12951B94" w:rsidR="005A36C4" w:rsidRPr="00ED4D49" w:rsidRDefault="005A36C4">
      <w:pPr>
        <w:spacing w:before="0" w:after="0" w:line="240" w:lineRule="auto"/>
        <w:rPr>
          <w:rFonts w:cs="Calibri"/>
          <w:szCs w:val="20"/>
          <w:lang w:val="en-US"/>
        </w:rPr>
      </w:pPr>
      <w:r w:rsidRPr="00ED4D49">
        <w:rPr>
          <w:lang w:val="en-US"/>
        </w:rPr>
        <w:br w:type="page"/>
      </w:r>
    </w:p>
    <w:p w14:paraId="184138E2" w14:textId="5ADEB863" w:rsidR="00061D50" w:rsidRPr="00ED4D49" w:rsidRDefault="00BA387E" w:rsidP="00530056">
      <w:pPr>
        <w:pStyle w:val="Heading2"/>
        <w:numPr>
          <w:ilvl w:val="0"/>
          <w:numId w:val="30"/>
        </w:numPr>
        <w:ind w:left="426" w:hanging="426"/>
      </w:pPr>
      <w:bookmarkStart w:id="292" w:name="_Ref28445349"/>
      <w:bookmarkStart w:id="293" w:name="_Toc31811113"/>
      <w:bookmarkStart w:id="294" w:name="_Ref22311221"/>
      <w:r w:rsidRPr="00ED4D49">
        <w:lastRenderedPageBreak/>
        <w:t>Indicative outline of</w:t>
      </w:r>
      <w:r w:rsidR="00061D50" w:rsidRPr="00ED4D49">
        <w:t xml:space="preserve"> </w:t>
      </w:r>
      <w:r w:rsidR="00391287" w:rsidRPr="00ED4D49">
        <w:t xml:space="preserve">site-specific </w:t>
      </w:r>
      <w:r w:rsidR="00061D50" w:rsidRPr="00ED4D49">
        <w:t>ESMP</w:t>
      </w:r>
      <w:bookmarkEnd w:id="292"/>
      <w:bookmarkEnd w:id="293"/>
      <w:r w:rsidR="00061D50" w:rsidRPr="00ED4D49">
        <w:t xml:space="preserve"> </w:t>
      </w:r>
      <w:bookmarkEnd w:id="294"/>
    </w:p>
    <w:p w14:paraId="203CB0F5" w14:textId="3A7F3215" w:rsidR="00DE5381" w:rsidRPr="00ED4D49" w:rsidRDefault="00391287" w:rsidP="00DE5381">
      <w:pPr>
        <w:rPr>
          <w:szCs w:val="20"/>
          <w:lang w:val="en-US" w:eastAsia="x-none"/>
        </w:rPr>
      </w:pPr>
      <w:r w:rsidRPr="00ED4D49">
        <w:rPr>
          <w:lang w:val="en-US" w:eastAsia="en-GB"/>
        </w:rPr>
        <w:t>The content of the site-specific ESMP will include the following:</w:t>
      </w:r>
    </w:p>
    <w:p w14:paraId="1A6D68CD" w14:textId="4C3DDB6E" w:rsidR="00DE5381" w:rsidRPr="00ED4D49" w:rsidRDefault="00DE5381" w:rsidP="00530056">
      <w:pPr>
        <w:pStyle w:val="ListParagraph"/>
        <w:numPr>
          <w:ilvl w:val="0"/>
          <w:numId w:val="25"/>
        </w:numPr>
        <w:rPr>
          <w:sz w:val="20"/>
          <w:szCs w:val="20"/>
          <w:lang w:eastAsia="x-none"/>
        </w:rPr>
      </w:pPr>
      <w:r w:rsidRPr="00ED4D49">
        <w:rPr>
          <w:sz w:val="20"/>
          <w:szCs w:val="20"/>
          <w:lang w:eastAsia="x-none"/>
        </w:rPr>
        <w:t>Mitigation</w:t>
      </w:r>
    </w:p>
    <w:p w14:paraId="78556A09" w14:textId="4977CEBD" w:rsidR="00DE5381" w:rsidRPr="00ED4D49" w:rsidRDefault="00DE5381" w:rsidP="008D64BA">
      <w:pPr>
        <w:pStyle w:val="Bullets"/>
      </w:pPr>
      <w:r w:rsidRPr="00ED4D49">
        <w:t>The ESMP identifies measures and actions</w:t>
      </w:r>
      <w:r w:rsidR="00A05FF7" w:rsidRPr="00ED4D49">
        <w:t xml:space="preserve"> </w:t>
      </w:r>
      <w:r w:rsidRPr="00ED4D49">
        <w:t>in accordance with the mitigation hierarchy</w:t>
      </w:r>
      <w:r w:rsidR="00A05FF7" w:rsidRPr="00ED4D49">
        <w:t xml:space="preserve"> </w:t>
      </w:r>
      <w:r w:rsidRPr="00ED4D49">
        <w:t>that reduce</w:t>
      </w:r>
      <w:r w:rsidR="00A05FF7" w:rsidRPr="00ED4D49">
        <w:t xml:space="preserve"> p</w:t>
      </w:r>
      <w:r w:rsidRPr="00ED4D49">
        <w:t>otentially adverse environmental and social impacts to acceptable levels.</w:t>
      </w:r>
      <w:r w:rsidR="00A05FF7" w:rsidRPr="00ED4D49">
        <w:t xml:space="preserve"> </w:t>
      </w:r>
      <w:r w:rsidRPr="00ED4D49">
        <w:t>The plan will include compensatory measures, if applicable. Specifically, the ESMP:</w:t>
      </w:r>
    </w:p>
    <w:p w14:paraId="745D1188" w14:textId="7BFCABAE" w:rsidR="00DE5381" w:rsidRPr="00ED4D49" w:rsidRDefault="00DE5381" w:rsidP="00530056">
      <w:pPr>
        <w:pStyle w:val="ListParagraph"/>
        <w:numPr>
          <w:ilvl w:val="0"/>
          <w:numId w:val="26"/>
        </w:numPr>
        <w:rPr>
          <w:sz w:val="20"/>
          <w:szCs w:val="20"/>
          <w:lang w:eastAsia="x-none"/>
        </w:rPr>
      </w:pPr>
      <w:r w:rsidRPr="00ED4D49">
        <w:rPr>
          <w:sz w:val="20"/>
          <w:szCs w:val="20"/>
          <w:lang w:eastAsia="x-none"/>
        </w:rPr>
        <w:t>identifies and summarizes all anticipated adverse environmental and</w:t>
      </w:r>
      <w:r w:rsidR="00A05FF7" w:rsidRPr="00ED4D49">
        <w:rPr>
          <w:sz w:val="20"/>
          <w:szCs w:val="20"/>
          <w:lang w:eastAsia="x-none"/>
        </w:rPr>
        <w:t xml:space="preserve"> </w:t>
      </w:r>
      <w:r w:rsidRPr="00ED4D49">
        <w:rPr>
          <w:sz w:val="20"/>
          <w:szCs w:val="20"/>
          <w:lang w:eastAsia="x-none"/>
        </w:rPr>
        <w:t>social impacts (including those involving indigenous people or involuntary</w:t>
      </w:r>
      <w:r w:rsidR="00A05FF7" w:rsidRPr="00ED4D49">
        <w:rPr>
          <w:sz w:val="20"/>
          <w:szCs w:val="20"/>
          <w:lang w:eastAsia="x-none"/>
        </w:rPr>
        <w:t xml:space="preserve"> </w:t>
      </w:r>
      <w:r w:rsidRPr="00ED4D49">
        <w:rPr>
          <w:sz w:val="20"/>
          <w:szCs w:val="20"/>
          <w:lang w:eastAsia="x-none"/>
        </w:rPr>
        <w:t>resettlement);</w:t>
      </w:r>
    </w:p>
    <w:p w14:paraId="0C5EE5A7" w14:textId="2DAD4473" w:rsidR="00A05FF7" w:rsidRPr="00ED4D49" w:rsidRDefault="00DE5381" w:rsidP="00530056">
      <w:pPr>
        <w:pStyle w:val="ListParagraph"/>
        <w:numPr>
          <w:ilvl w:val="0"/>
          <w:numId w:val="26"/>
        </w:numPr>
        <w:rPr>
          <w:sz w:val="20"/>
          <w:szCs w:val="20"/>
          <w:lang w:eastAsia="x-none"/>
        </w:rPr>
      </w:pPr>
      <w:r w:rsidRPr="00ED4D49">
        <w:rPr>
          <w:sz w:val="20"/>
          <w:szCs w:val="20"/>
          <w:lang w:eastAsia="x-none"/>
        </w:rPr>
        <w:t>describes—with technical details—each</w:t>
      </w:r>
      <w:r w:rsidR="00A05FF7" w:rsidRPr="00ED4D49">
        <w:rPr>
          <w:sz w:val="20"/>
          <w:szCs w:val="20"/>
          <w:lang w:eastAsia="x-none"/>
        </w:rPr>
        <w:t xml:space="preserve"> </w:t>
      </w:r>
      <w:r w:rsidRPr="00ED4D49">
        <w:rPr>
          <w:sz w:val="20"/>
          <w:szCs w:val="20"/>
          <w:lang w:eastAsia="x-none"/>
        </w:rPr>
        <w:t>mitigation measure, including the type</w:t>
      </w:r>
      <w:r w:rsidR="00C6478C" w:rsidRPr="00ED4D49">
        <w:rPr>
          <w:sz w:val="20"/>
          <w:szCs w:val="20"/>
          <w:lang w:eastAsia="x-none"/>
        </w:rPr>
        <w:t xml:space="preserve"> </w:t>
      </w:r>
      <w:r w:rsidRPr="00ED4D49">
        <w:rPr>
          <w:sz w:val="20"/>
          <w:szCs w:val="20"/>
          <w:lang w:eastAsia="x-none"/>
        </w:rPr>
        <w:t>of impact to which it relates and the</w:t>
      </w:r>
      <w:r w:rsidR="00A05FF7" w:rsidRPr="00ED4D49">
        <w:rPr>
          <w:sz w:val="20"/>
          <w:szCs w:val="20"/>
          <w:lang w:eastAsia="x-none"/>
        </w:rPr>
        <w:t xml:space="preserve"> </w:t>
      </w:r>
      <w:r w:rsidRPr="00ED4D49">
        <w:rPr>
          <w:sz w:val="20"/>
          <w:szCs w:val="20"/>
          <w:lang w:eastAsia="x-none"/>
        </w:rPr>
        <w:t>conditions under which it is required</w:t>
      </w:r>
      <w:r w:rsidR="00A05FF7" w:rsidRPr="00ED4D49">
        <w:rPr>
          <w:sz w:val="20"/>
          <w:szCs w:val="20"/>
          <w:lang w:eastAsia="x-none"/>
        </w:rPr>
        <w:t xml:space="preserve"> </w:t>
      </w:r>
      <w:r w:rsidRPr="00ED4D49">
        <w:rPr>
          <w:sz w:val="20"/>
          <w:szCs w:val="20"/>
          <w:lang w:eastAsia="x-none"/>
        </w:rPr>
        <w:t>(e.g., continuously or in the event of</w:t>
      </w:r>
      <w:r w:rsidR="00A05FF7" w:rsidRPr="00ED4D49">
        <w:rPr>
          <w:sz w:val="20"/>
          <w:szCs w:val="20"/>
          <w:lang w:eastAsia="x-none"/>
        </w:rPr>
        <w:t xml:space="preserve"> </w:t>
      </w:r>
      <w:r w:rsidRPr="00ED4D49">
        <w:rPr>
          <w:sz w:val="20"/>
          <w:szCs w:val="20"/>
          <w:lang w:eastAsia="x-none"/>
        </w:rPr>
        <w:t>contingencies), together with designs,</w:t>
      </w:r>
      <w:r w:rsidR="00A05FF7" w:rsidRPr="00ED4D49">
        <w:rPr>
          <w:sz w:val="20"/>
          <w:szCs w:val="20"/>
          <w:lang w:eastAsia="x-none"/>
        </w:rPr>
        <w:t xml:space="preserve"> </w:t>
      </w:r>
      <w:r w:rsidRPr="00ED4D49">
        <w:rPr>
          <w:sz w:val="20"/>
          <w:szCs w:val="20"/>
          <w:lang w:eastAsia="x-none"/>
        </w:rPr>
        <w:t>equipment descriptions, and operating</w:t>
      </w:r>
      <w:r w:rsidR="00A05FF7" w:rsidRPr="00ED4D49">
        <w:rPr>
          <w:sz w:val="20"/>
          <w:szCs w:val="20"/>
          <w:lang w:eastAsia="x-none"/>
        </w:rPr>
        <w:t xml:space="preserve"> </w:t>
      </w:r>
      <w:r w:rsidRPr="00ED4D49">
        <w:rPr>
          <w:sz w:val="20"/>
          <w:szCs w:val="20"/>
          <w:lang w:eastAsia="x-none"/>
        </w:rPr>
        <w:t>procedures, as appropriate;</w:t>
      </w:r>
    </w:p>
    <w:p w14:paraId="0CABF8E6" w14:textId="6E8F9894" w:rsidR="00DE5381" w:rsidRPr="00ED4D49" w:rsidRDefault="00DE5381" w:rsidP="00530056">
      <w:pPr>
        <w:pStyle w:val="ListParagraph"/>
        <w:numPr>
          <w:ilvl w:val="0"/>
          <w:numId w:val="26"/>
        </w:numPr>
        <w:rPr>
          <w:sz w:val="20"/>
          <w:szCs w:val="20"/>
          <w:lang w:eastAsia="x-none"/>
        </w:rPr>
      </w:pPr>
      <w:r w:rsidRPr="00ED4D49">
        <w:rPr>
          <w:sz w:val="20"/>
          <w:szCs w:val="20"/>
          <w:lang w:eastAsia="x-none"/>
        </w:rPr>
        <w:t>estimates any potential environmental</w:t>
      </w:r>
      <w:r w:rsidR="00EB256A" w:rsidRPr="00ED4D49">
        <w:rPr>
          <w:sz w:val="20"/>
          <w:szCs w:val="20"/>
          <w:lang w:eastAsia="x-none"/>
        </w:rPr>
        <w:t xml:space="preserve"> </w:t>
      </w:r>
      <w:r w:rsidRPr="00ED4D49">
        <w:rPr>
          <w:sz w:val="20"/>
          <w:szCs w:val="20"/>
          <w:lang w:eastAsia="x-none"/>
        </w:rPr>
        <w:t>and social impacts of these measures;</w:t>
      </w:r>
      <w:r w:rsidR="00EB256A" w:rsidRPr="00ED4D49">
        <w:rPr>
          <w:sz w:val="20"/>
          <w:szCs w:val="20"/>
          <w:lang w:eastAsia="x-none"/>
        </w:rPr>
        <w:t xml:space="preserve"> </w:t>
      </w:r>
      <w:r w:rsidRPr="00ED4D49">
        <w:rPr>
          <w:sz w:val="20"/>
          <w:szCs w:val="20"/>
          <w:lang w:eastAsia="x-none"/>
        </w:rPr>
        <w:t>and</w:t>
      </w:r>
      <w:r w:rsidR="00EB256A" w:rsidRPr="00ED4D49">
        <w:rPr>
          <w:sz w:val="20"/>
          <w:szCs w:val="20"/>
          <w:lang w:eastAsia="x-none"/>
        </w:rPr>
        <w:t xml:space="preserve"> </w:t>
      </w:r>
      <w:r w:rsidRPr="00ED4D49">
        <w:rPr>
          <w:sz w:val="20"/>
          <w:szCs w:val="20"/>
          <w:lang w:eastAsia="x-none"/>
        </w:rPr>
        <w:t>takes into account, and is consistent</w:t>
      </w:r>
      <w:r w:rsidR="00EB256A" w:rsidRPr="00ED4D49">
        <w:rPr>
          <w:sz w:val="20"/>
          <w:szCs w:val="20"/>
          <w:lang w:eastAsia="x-none"/>
        </w:rPr>
        <w:t xml:space="preserve"> </w:t>
      </w:r>
      <w:r w:rsidRPr="00ED4D49">
        <w:rPr>
          <w:sz w:val="20"/>
          <w:szCs w:val="20"/>
          <w:lang w:eastAsia="x-none"/>
        </w:rPr>
        <w:t>with, other mitigation plans required for</w:t>
      </w:r>
      <w:r w:rsidR="00EB256A" w:rsidRPr="00ED4D49">
        <w:rPr>
          <w:sz w:val="20"/>
          <w:szCs w:val="20"/>
          <w:lang w:eastAsia="x-none"/>
        </w:rPr>
        <w:t xml:space="preserve"> </w:t>
      </w:r>
      <w:r w:rsidRPr="00ED4D49">
        <w:rPr>
          <w:sz w:val="20"/>
          <w:szCs w:val="20"/>
          <w:lang w:eastAsia="x-none"/>
        </w:rPr>
        <w:t>the project (e.g., for involuntary resettlement, indigenous peoples, or cultural</w:t>
      </w:r>
      <w:r w:rsidR="00EB256A" w:rsidRPr="00ED4D49">
        <w:rPr>
          <w:sz w:val="20"/>
          <w:szCs w:val="20"/>
          <w:lang w:eastAsia="x-none"/>
        </w:rPr>
        <w:t xml:space="preserve"> </w:t>
      </w:r>
      <w:r w:rsidRPr="00ED4D49">
        <w:rPr>
          <w:sz w:val="20"/>
          <w:szCs w:val="20"/>
          <w:lang w:eastAsia="x-none"/>
        </w:rPr>
        <w:t>heritage).</w:t>
      </w:r>
    </w:p>
    <w:p w14:paraId="3C785A1C" w14:textId="7263C4CF" w:rsidR="00DE5381" w:rsidRPr="00ED4D49" w:rsidRDefault="00DE5381" w:rsidP="00530056">
      <w:pPr>
        <w:pStyle w:val="ListParagraph"/>
        <w:numPr>
          <w:ilvl w:val="0"/>
          <w:numId w:val="25"/>
        </w:numPr>
        <w:rPr>
          <w:sz w:val="20"/>
          <w:szCs w:val="20"/>
          <w:lang w:eastAsia="x-none"/>
        </w:rPr>
      </w:pPr>
      <w:r w:rsidRPr="00ED4D49">
        <w:rPr>
          <w:sz w:val="20"/>
          <w:szCs w:val="20"/>
          <w:lang w:eastAsia="x-none"/>
        </w:rPr>
        <w:t>Monitoring</w:t>
      </w:r>
    </w:p>
    <w:p w14:paraId="2B439B32" w14:textId="583B010E" w:rsidR="00DE5381" w:rsidRPr="00ED4D49" w:rsidRDefault="00DE5381" w:rsidP="008D64BA">
      <w:pPr>
        <w:pStyle w:val="Bullets"/>
      </w:pPr>
      <w:r w:rsidRPr="00ED4D49">
        <w:t>The ESMP identifies monitoring objectives</w:t>
      </w:r>
      <w:r w:rsidR="00EB256A" w:rsidRPr="00ED4D49">
        <w:t xml:space="preserve"> </w:t>
      </w:r>
      <w:r w:rsidRPr="00ED4D49">
        <w:t>and specifies the type of monitoring, with</w:t>
      </w:r>
      <w:r w:rsidR="00EB256A" w:rsidRPr="00ED4D49">
        <w:t xml:space="preserve"> </w:t>
      </w:r>
      <w:r w:rsidRPr="00ED4D49">
        <w:t>linkages to the impacts assessed in the environmental and social assessment and the</w:t>
      </w:r>
      <w:r w:rsidR="00EB256A" w:rsidRPr="00ED4D49">
        <w:t xml:space="preserve"> </w:t>
      </w:r>
      <w:r w:rsidRPr="00ED4D49">
        <w:t>mitigation measures described in the ESMP.</w:t>
      </w:r>
      <w:r w:rsidR="00EB256A" w:rsidRPr="00ED4D49">
        <w:t xml:space="preserve"> </w:t>
      </w:r>
      <w:r w:rsidRPr="00ED4D49">
        <w:t>Specifically, the monitoring section of the</w:t>
      </w:r>
      <w:r w:rsidR="00EB256A" w:rsidRPr="00ED4D49">
        <w:t xml:space="preserve"> </w:t>
      </w:r>
      <w:r w:rsidRPr="00ED4D49">
        <w:t>ESMP provides (a) a specific description, and</w:t>
      </w:r>
      <w:r w:rsidR="00EB256A" w:rsidRPr="00ED4D49">
        <w:t xml:space="preserve"> </w:t>
      </w:r>
      <w:r w:rsidRPr="00ED4D49">
        <w:t>technical details, of monitoring measures,</w:t>
      </w:r>
      <w:r w:rsidR="00EB256A" w:rsidRPr="00ED4D49">
        <w:t xml:space="preserve"> </w:t>
      </w:r>
      <w:r w:rsidRPr="00ED4D49">
        <w:t>including the parameters to be measured,</w:t>
      </w:r>
      <w:r w:rsidR="00EB256A" w:rsidRPr="00ED4D49">
        <w:t xml:space="preserve"> </w:t>
      </w:r>
      <w:r w:rsidRPr="00ED4D49">
        <w:t>methods to be used, sampling locations,</w:t>
      </w:r>
      <w:r w:rsidR="00EB256A" w:rsidRPr="00ED4D49">
        <w:t xml:space="preserve"> </w:t>
      </w:r>
      <w:r w:rsidRPr="00ED4D49">
        <w:t>frequency of measurements, detection</w:t>
      </w:r>
      <w:r w:rsidR="00051D2F" w:rsidRPr="00ED4D49">
        <w:t xml:space="preserve"> </w:t>
      </w:r>
      <w:r w:rsidRPr="00ED4D49">
        <w:t>limits (where appropriate), and definition</w:t>
      </w:r>
      <w:r w:rsidR="00051D2F" w:rsidRPr="00ED4D49">
        <w:t xml:space="preserve"> </w:t>
      </w:r>
      <w:r w:rsidRPr="00ED4D49">
        <w:t>of thresholds that will signal the need for</w:t>
      </w:r>
      <w:r w:rsidR="00051D2F" w:rsidRPr="00ED4D49">
        <w:t xml:space="preserve"> </w:t>
      </w:r>
      <w:r w:rsidRPr="00ED4D49">
        <w:t>corrective actions; and (b) monitoring and</w:t>
      </w:r>
      <w:r w:rsidR="00051D2F" w:rsidRPr="00ED4D49">
        <w:t xml:space="preserve"> </w:t>
      </w:r>
      <w:r w:rsidRPr="00ED4D49">
        <w:t>reporting procedures to (i) ensure early</w:t>
      </w:r>
      <w:r w:rsidR="00051D2F" w:rsidRPr="00ED4D49">
        <w:t xml:space="preserve"> </w:t>
      </w:r>
      <w:r w:rsidRPr="00ED4D49">
        <w:t>detection of conditions that necessitate particular mitigation measures, and (ii) furnish</w:t>
      </w:r>
      <w:r w:rsidR="00051D2F" w:rsidRPr="00ED4D49">
        <w:t xml:space="preserve"> </w:t>
      </w:r>
      <w:r w:rsidRPr="00ED4D49">
        <w:t>information on the progress and results of</w:t>
      </w:r>
      <w:r w:rsidR="00051D2F" w:rsidRPr="00ED4D49">
        <w:t xml:space="preserve"> </w:t>
      </w:r>
      <w:r w:rsidRPr="00ED4D49">
        <w:t>mitigation.</w:t>
      </w:r>
    </w:p>
    <w:p w14:paraId="5BA5873B" w14:textId="2CE0750B" w:rsidR="00DE5381" w:rsidRPr="00ED4D49" w:rsidRDefault="00DE5381" w:rsidP="00530056">
      <w:pPr>
        <w:pStyle w:val="ListParagraph"/>
        <w:numPr>
          <w:ilvl w:val="0"/>
          <w:numId w:val="25"/>
        </w:numPr>
        <w:rPr>
          <w:sz w:val="20"/>
          <w:szCs w:val="20"/>
          <w:lang w:eastAsia="x-none"/>
        </w:rPr>
      </w:pPr>
      <w:r w:rsidRPr="00ED4D49">
        <w:rPr>
          <w:sz w:val="20"/>
          <w:szCs w:val="20"/>
          <w:lang w:eastAsia="x-none"/>
        </w:rPr>
        <w:t>Capacity Development and Training</w:t>
      </w:r>
    </w:p>
    <w:p w14:paraId="6F24360E" w14:textId="19368C76" w:rsidR="00DE5381" w:rsidRPr="00ED4D49" w:rsidRDefault="00DE5381" w:rsidP="008D64BA">
      <w:pPr>
        <w:pStyle w:val="Bullets"/>
      </w:pPr>
      <w:r w:rsidRPr="00ED4D49">
        <w:t>To support timely and effective implementation of environmental and social project</w:t>
      </w:r>
      <w:r w:rsidR="00051D2F" w:rsidRPr="00ED4D49">
        <w:t xml:space="preserve"> </w:t>
      </w:r>
      <w:r w:rsidRPr="00ED4D49">
        <w:t>components and mitigation measures, the</w:t>
      </w:r>
      <w:r w:rsidR="00051D2F" w:rsidRPr="00ED4D49">
        <w:t xml:space="preserve"> </w:t>
      </w:r>
      <w:r w:rsidRPr="00ED4D49">
        <w:t>ESMP draws on the environmental and</w:t>
      </w:r>
      <w:r w:rsidR="00051D2F" w:rsidRPr="00ED4D49">
        <w:t xml:space="preserve"> </w:t>
      </w:r>
      <w:r w:rsidRPr="00ED4D49">
        <w:t>social assessment of the existence, role, and</w:t>
      </w:r>
      <w:r w:rsidR="00051D2F" w:rsidRPr="00ED4D49">
        <w:t xml:space="preserve"> </w:t>
      </w:r>
      <w:r w:rsidRPr="00ED4D49">
        <w:t>capability of responsible parties on site or at</w:t>
      </w:r>
      <w:r w:rsidR="00051D2F" w:rsidRPr="00ED4D49">
        <w:t xml:space="preserve"> </w:t>
      </w:r>
      <w:r w:rsidRPr="00ED4D49">
        <w:t>the agency and ministry level.</w:t>
      </w:r>
    </w:p>
    <w:p w14:paraId="30ED0A8D" w14:textId="0E75581D" w:rsidR="00DE5381" w:rsidRPr="00ED4D49" w:rsidRDefault="00DE5381" w:rsidP="008D64BA">
      <w:pPr>
        <w:pStyle w:val="Bullets"/>
      </w:pPr>
      <w:r w:rsidRPr="00ED4D49">
        <w:t>Specifically, the ESMP provides a specific</w:t>
      </w:r>
      <w:r w:rsidR="00051D2F" w:rsidRPr="00ED4D49">
        <w:t xml:space="preserve"> </w:t>
      </w:r>
      <w:r w:rsidRPr="00ED4D49">
        <w:t>description of institutional arrangements,</w:t>
      </w:r>
      <w:r w:rsidR="00051D2F" w:rsidRPr="00ED4D49">
        <w:t xml:space="preserve"> </w:t>
      </w:r>
      <w:r w:rsidRPr="00ED4D49">
        <w:t>identifying which party is responsible for</w:t>
      </w:r>
      <w:r w:rsidR="00051D2F" w:rsidRPr="00ED4D49">
        <w:t xml:space="preserve"> </w:t>
      </w:r>
      <w:r w:rsidRPr="00ED4D49">
        <w:t>carrying out the mitigation and monitoring</w:t>
      </w:r>
      <w:r w:rsidR="00051D2F" w:rsidRPr="00ED4D49">
        <w:t xml:space="preserve"> </w:t>
      </w:r>
      <w:r w:rsidRPr="00ED4D49">
        <w:t>measures (e.g., for operation, supervision,</w:t>
      </w:r>
      <w:r w:rsidR="00051D2F" w:rsidRPr="00ED4D49">
        <w:t xml:space="preserve"> </w:t>
      </w:r>
      <w:r w:rsidRPr="00ED4D49">
        <w:t>enforcement, monitoring of implementation,</w:t>
      </w:r>
      <w:r w:rsidR="00051D2F" w:rsidRPr="00ED4D49">
        <w:t xml:space="preserve"> </w:t>
      </w:r>
      <w:r w:rsidRPr="00ED4D49">
        <w:t>remedial action, financing, reporting, and</w:t>
      </w:r>
      <w:r w:rsidR="00051D2F" w:rsidRPr="00ED4D49">
        <w:t xml:space="preserve"> </w:t>
      </w:r>
      <w:r w:rsidRPr="00ED4D49">
        <w:t>staff training).</w:t>
      </w:r>
    </w:p>
    <w:p w14:paraId="11574AEA" w14:textId="7BF58EA4" w:rsidR="00391287" w:rsidRPr="00ED4D49" w:rsidRDefault="00DE5381" w:rsidP="008D64BA">
      <w:pPr>
        <w:pStyle w:val="Bullets"/>
      </w:pPr>
      <w:r w:rsidRPr="00ED4D49">
        <w:t>To strengthen environmental and social</w:t>
      </w:r>
      <w:r w:rsidR="00051D2F" w:rsidRPr="00ED4D49">
        <w:t xml:space="preserve"> </w:t>
      </w:r>
      <w:r w:rsidRPr="00ED4D49">
        <w:t>management capability in the agencies</w:t>
      </w:r>
      <w:r w:rsidR="00051D2F" w:rsidRPr="00ED4D49">
        <w:t xml:space="preserve"> </w:t>
      </w:r>
      <w:r w:rsidRPr="00ED4D49">
        <w:t>responsible for implementation, the ESMP</w:t>
      </w:r>
      <w:r w:rsidR="00051D2F" w:rsidRPr="00ED4D49">
        <w:t xml:space="preserve"> </w:t>
      </w:r>
      <w:r w:rsidRPr="00ED4D49">
        <w:t>recommends the establishment or expansion</w:t>
      </w:r>
      <w:r w:rsidR="00051D2F" w:rsidRPr="00ED4D49">
        <w:t xml:space="preserve"> </w:t>
      </w:r>
      <w:r w:rsidRPr="00ED4D49">
        <w:t>of the parties responsible, the training of</w:t>
      </w:r>
      <w:r w:rsidR="00051D2F" w:rsidRPr="00ED4D49">
        <w:t xml:space="preserve"> </w:t>
      </w:r>
      <w:r w:rsidR="00391287" w:rsidRPr="00ED4D49">
        <w:t>staff and any additional measures that may be necessary to support implementation of mitigation measures and any other recommendations of the environmental and social assessment.</w:t>
      </w:r>
    </w:p>
    <w:p w14:paraId="5CE19F24" w14:textId="342DF8CE" w:rsidR="00391287" w:rsidRPr="00ED4D49" w:rsidRDefault="00391287" w:rsidP="00530056">
      <w:pPr>
        <w:pStyle w:val="ListParagraph"/>
        <w:numPr>
          <w:ilvl w:val="0"/>
          <w:numId w:val="25"/>
        </w:numPr>
        <w:rPr>
          <w:sz w:val="20"/>
          <w:szCs w:val="20"/>
          <w:lang w:eastAsia="x-none"/>
        </w:rPr>
      </w:pPr>
      <w:r w:rsidRPr="00ED4D49">
        <w:rPr>
          <w:sz w:val="20"/>
          <w:szCs w:val="20"/>
          <w:lang w:eastAsia="x-none"/>
        </w:rPr>
        <w:t>Implementation Schedule and Cost Estimates</w:t>
      </w:r>
    </w:p>
    <w:p w14:paraId="246BDBCB" w14:textId="77777777" w:rsidR="00391287" w:rsidRPr="00ED4D49" w:rsidRDefault="00391287" w:rsidP="008D64BA">
      <w:pPr>
        <w:pStyle w:val="Bullets"/>
      </w:pPr>
      <w:r w:rsidRPr="00ED4D49">
        <w:t xml:space="preserve">For all three aspects (mitigation, monitoring, and capacity development), the ESMP provides (a) an implementation schedule for measures that must be carried out as part of the project, showing phasing and coordination with overall project implementation plans; and (b) the capital and recurrent cost estimates and sources of funds for implementing the ESMP. These figures are also integrated into the total project cost tables. </w:t>
      </w:r>
    </w:p>
    <w:p w14:paraId="4DFC0017" w14:textId="2A1A56F1" w:rsidR="00391287" w:rsidRPr="00ED4D49" w:rsidRDefault="00391287" w:rsidP="00530056">
      <w:pPr>
        <w:pStyle w:val="ListParagraph"/>
        <w:numPr>
          <w:ilvl w:val="0"/>
          <w:numId w:val="25"/>
        </w:numPr>
        <w:rPr>
          <w:sz w:val="20"/>
          <w:szCs w:val="20"/>
          <w:lang w:eastAsia="x-none"/>
        </w:rPr>
      </w:pPr>
      <w:r w:rsidRPr="00ED4D49">
        <w:rPr>
          <w:sz w:val="20"/>
          <w:szCs w:val="20"/>
          <w:lang w:eastAsia="x-none"/>
        </w:rPr>
        <w:t>Integration of ESMP with Project</w:t>
      </w:r>
    </w:p>
    <w:p w14:paraId="67316596" w14:textId="6D6A7DE0" w:rsidR="00391287" w:rsidRPr="00ED4D49" w:rsidRDefault="00391287" w:rsidP="008D64BA">
      <w:pPr>
        <w:pStyle w:val="Bullets"/>
      </w:pPr>
      <w:r w:rsidRPr="00ED4D49">
        <w:lastRenderedPageBreak/>
        <w:t>The Borrower’s decision to proceed with a project, and the Bank’s decision to support it, are predicated in part on the expectation that the ESMP (either stand alone or as incorporated into the ESCP) will be executed effectively. Consequently, each of the measures and actions to be implemented will be clearly specified, including the individual mitigation and monitoring measures and actions and the institutional responsibilities relating to each, and the costs of so doing will be integrated into the project’s overall planning, design, budget, and implementation.</w:t>
      </w:r>
    </w:p>
    <w:p w14:paraId="129A27AF" w14:textId="174864C6" w:rsidR="00391287" w:rsidRPr="00ED4D49" w:rsidRDefault="00391287" w:rsidP="00C27BB5">
      <w:pPr>
        <w:rPr>
          <w:lang w:val="en-US"/>
        </w:rPr>
      </w:pPr>
    </w:p>
    <w:p w14:paraId="52F26E0D" w14:textId="75F90DA9" w:rsidR="00D32740" w:rsidRPr="00ED4D49" w:rsidRDefault="00D32740" w:rsidP="00C27BB5">
      <w:pPr>
        <w:rPr>
          <w:rFonts w:cs="Calibri"/>
          <w:color w:val="336699"/>
          <w:szCs w:val="20"/>
          <w:lang w:val="en-US"/>
        </w:rPr>
      </w:pPr>
      <w:r w:rsidRPr="00ED4D49">
        <w:rPr>
          <w:rFonts w:cs="Calibri"/>
          <w:color w:val="336699"/>
          <w:szCs w:val="20"/>
          <w:lang w:val="en-US"/>
        </w:rPr>
        <w:t>MITIGATION PLAN TABLE FORMAT</w:t>
      </w:r>
    </w:p>
    <w:p w14:paraId="6E8E0E51" w14:textId="77777777" w:rsidR="00E43FBC" w:rsidRPr="00ED4D49" w:rsidRDefault="00E43FBC" w:rsidP="00E43FBC">
      <w:pPr>
        <w:spacing w:before="0" w:after="0"/>
        <w:ind w:right="144"/>
        <w:jc w:val="both"/>
        <w:rPr>
          <w:rFonts w:cs="Calibri"/>
          <w:color w:val="336699"/>
          <w:szCs w:val="20"/>
          <w:lang w:val="en-US"/>
        </w:rPr>
      </w:pPr>
    </w:p>
    <w:tbl>
      <w:tblPr>
        <w:tblStyle w:val="TableGridLight"/>
        <w:tblW w:w="0" w:type="auto"/>
        <w:tblInd w:w="-5" w:type="dxa"/>
        <w:tblLayout w:type="fixed"/>
        <w:tblLook w:val="01E0" w:firstRow="1" w:lastRow="1" w:firstColumn="1" w:lastColumn="1" w:noHBand="0" w:noVBand="0"/>
      </w:tblPr>
      <w:tblGrid>
        <w:gridCol w:w="1560"/>
        <w:gridCol w:w="1275"/>
        <w:gridCol w:w="1276"/>
        <w:gridCol w:w="1559"/>
        <w:gridCol w:w="1701"/>
        <w:gridCol w:w="1644"/>
      </w:tblGrid>
      <w:tr w:rsidR="00E43FBC" w:rsidRPr="00ED4D49" w14:paraId="6F7C3F84" w14:textId="77777777" w:rsidTr="00E43FBC">
        <w:trPr>
          <w:trHeight w:val="397"/>
        </w:trPr>
        <w:tc>
          <w:tcPr>
            <w:tcW w:w="1560" w:type="dxa"/>
          </w:tcPr>
          <w:p w14:paraId="6805851D" w14:textId="77777777" w:rsidR="00D32740" w:rsidRPr="00ED4D49" w:rsidRDefault="00D32740" w:rsidP="00E43FBC">
            <w:pPr>
              <w:spacing w:before="0" w:after="0"/>
              <w:ind w:left="144" w:right="144"/>
              <w:jc w:val="both"/>
              <w:rPr>
                <w:rFonts w:cs="Calibri"/>
                <w:color w:val="336699"/>
                <w:sz w:val="18"/>
                <w:szCs w:val="18"/>
                <w:lang w:val="en-US"/>
              </w:rPr>
            </w:pPr>
            <w:r w:rsidRPr="00ED4D49">
              <w:rPr>
                <w:rFonts w:cs="Calibri"/>
                <w:color w:val="336699"/>
                <w:sz w:val="18"/>
                <w:szCs w:val="18"/>
                <w:lang w:val="en-US"/>
              </w:rPr>
              <w:t>Phase</w:t>
            </w:r>
          </w:p>
        </w:tc>
        <w:tc>
          <w:tcPr>
            <w:tcW w:w="1275" w:type="dxa"/>
          </w:tcPr>
          <w:p w14:paraId="4DE32814" w14:textId="77777777" w:rsidR="00D32740" w:rsidRPr="00ED4D49" w:rsidRDefault="00D32740" w:rsidP="00E43FBC">
            <w:pPr>
              <w:spacing w:before="0" w:after="0"/>
              <w:ind w:left="144" w:right="144"/>
              <w:jc w:val="both"/>
              <w:rPr>
                <w:rFonts w:cs="Calibri"/>
                <w:color w:val="336699"/>
                <w:sz w:val="18"/>
                <w:szCs w:val="18"/>
                <w:lang w:val="en-US"/>
              </w:rPr>
            </w:pPr>
            <w:r w:rsidRPr="00ED4D49">
              <w:rPr>
                <w:rFonts w:cs="Calibri"/>
                <w:color w:val="336699"/>
                <w:sz w:val="18"/>
                <w:szCs w:val="18"/>
                <w:lang w:val="en-US"/>
              </w:rPr>
              <w:t>Issue</w:t>
            </w:r>
          </w:p>
        </w:tc>
        <w:tc>
          <w:tcPr>
            <w:tcW w:w="1276" w:type="dxa"/>
          </w:tcPr>
          <w:p w14:paraId="7F77C8A1" w14:textId="0896E9BA" w:rsidR="00D32740" w:rsidRPr="00ED4D49" w:rsidRDefault="00D32740" w:rsidP="00E43FBC">
            <w:pPr>
              <w:spacing w:before="0" w:after="0"/>
              <w:ind w:left="144" w:right="144"/>
              <w:jc w:val="both"/>
              <w:rPr>
                <w:rFonts w:cs="Calibri"/>
                <w:color w:val="336699"/>
                <w:sz w:val="18"/>
                <w:szCs w:val="18"/>
                <w:lang w:val="en-US"/>
              </w:rPr>
            </w:pPr>
            <w:r w:rsidRPr="00ED4D49">
              <w:rPr>
                <w:rFonts w:cs="Calibri"/>
                <w:color w:val="336699"/>
                <w:sz w:val="18"/>
                <w:szCs w:val="18"/>
                <w:lang w:val="en-US"/>
              </w:rPr>
              <w:t>Mitigati</w:t>
            </w:r>
            <w:r w:rsidR="00E43FBC" w:rsidRPr="00ED4D49">
              <w:rPr>
                <w:rFonts w:cs="Calibri"/>
                <w:color w:val="336699"/>
                <w:sz w:val="18"/>
                <w:szCs w:val="18"/>
                <w:lang w:val="en-US"/>
              </w:rPr>
              <w:t>on</w:t>
            </w:r>
          </w:p>
          <w:p w14:paraId="3158CEFC" w14:textId="00F9503F" w:rsidR="00D32740" w:rsidRPr="00ED4D49" w:rsidRDefault="00E43FBC" w:rsidP="00E43FBC">
            <w:pPr>
              <w:spacing w:before="0" w:after="0"/>
              <w:ind w:left="144" w:right="144"/>
              <w:jc w:val="both"/>
              <w:rPr>
                <w:rFonts w:cs="Calibri"/>
                <w:color w:val="336699"/>
                <w:sz w:val="18"/>
                <w:szCs w:val="18"/>
                <w:lang w:val="en-US"/>
              </w:rPr>
            </w:pPr>
            <w:r w:rsidRPr="00ED4D49">
              <w:rPr>
                <w:rFonts w:cs="Calibri"/>
                <w:color w:val="336699"/>
                <w:sz w:val="18"/>
                <w:szCs w:val="18"/>
                <w:lang w:val="en-US"/>
              </w:rPr>
              <w:t>m</w:t>
            </w:r>
            <w:r w:rsidR="00D32740" w:rsidRPr="00ED4D49">
              <w:rPr>
                <w:rFonts w:cs="Calibri"/>
                <w:color w:val="336699"/>
                <w:sz w:val="18"/>
                <w:szCs w:val="18"/>
                <w:lang w:val="en-US"/>
              </w:rPr>
              <w:t>easure</w:t>
            </w:r>
          </w:p>
        </w:tc>
        <w:tc>
          <w:tcPr>
            <w:tcW w:w="1559" w:type="dxa"/>
          </w:tcPr>
          <w:p w14:paraId="00E16B89" w14:textId="77777777" w:rsidR="00D32740" w:rsidRPr="00ED4D49" w:rsidRDefault="00D32740" w:rsidP="00E43FBC">
            <w:pPr>
              <w:spacing w:before="0" w:after="0"/>
              <w:ind w:left="144" w:right="144"/>
              <w:jc w:val="both"/>
              <w:rPr>
                <w:rFonts w:cs="Calibri"/>
                <w:color w:val="336699"/>
                <w:sz w:val="18"/>
                <w:szCs w:val="18"/>
                <w:lang w:val="en-US"/>
              </w:rPr>
            </w:pPr>
            <w:r w:rsidRPr="00ED4D49">
              <w:rPr>
                <w:rFonts w:cs="Calibri"/>
                <w:color w:val="336699"/>
                <w:sz w:val="18"/>
                <w:szCs w:val="18"/>
                <w:lang w:val="en-US"/>
              </w:rPr>
              <w:t>Cost of</w:t>
            </w:r>
          </w:p>
          <w:p w14:paraId="62E729FA" w14:textId="009579B7" w:rsidR="00D32740" w:rsidRPr="00ED4D49" w:rsidRDefault="00E43FBC" w:rsidP="00E43FBC">
            <w:pPr>
              <w:spacing w:before="0" w:after="0"/>
              <w:ind w:left="144" w:right="144"/>
              <w:jc w:val="both"/>
              <w:rPr>
                <w:rFonts w:cs="Calibri"/>
                <w:color w:val="336699"/>
                <w:sz w:val="18"/>
                <w:szCs w:val="18"/>
                <w:lang w:val="en-US"/>
              </w:rPr>
            </w:pPr>
            <w:r w:rsidRPr="00ED4D49">
              <w:rPr>
                <w:rFonts w:cs="Calibri"/>
                <w:color w:val="336699"/>
                <w:sz w:val="18"/>
                <w:szCs w:val="18"/>
                <w:lang w:val="en-US"/>
              </w:rPr>
              <w:t>m</w:t>
            </w:r>
            <w:r w:rsidR="00D32740" w:rsidRPr="00ED4D49">
              <w:rPr>
                <w:rFonts w:cs="Calibri"/>
                <w:color w:val="336699"/>
                <w:sz w:val="18"/>
                <w:szCs w:val="18"/>
                <w:lang w:val="en-US"/>
              </w:rPr>
              <w:t>itigation</w:t>
            </w:r>
          </w:p>
          <w:p w14:paraId="59425966" w14:textId="42198555" w:rsidR="00D32740" w:rsidRPr="00ED4D49" w:rsidRDefault="00D32740" w:rsidP="00E43FBC">
            <w:pPr>
              <w:spacing w:before="0" w:after="0"/>
              <w:ind w:left="144" w:right="144"/>
              <w:jc w:val="both"/>
              <w:rPr>
                <w:rFonts w:cs="Calibri"/>
                <w:color w:val="336699"/>
                <w:sz w:val="18"/>
                <w:szCs w:val="18"/>
                <w:lang w:val="en-US"/>
              </w:rPr>
            </w:pPr>
            <w:r w:rsidRPr="00ED4D49">
              <w:rPr>
                <w:rFonts w:cs="Calibri"/>
                <w:color w:val="336699"/>
                <w:sz w:val="18"/>
                <w:szCs w:val="18"/>
                <w:lang w:val="en-US"/>
              </w:rPr>
              <w:t xml:space="preserve">(If </w:t>
            </w:r>
            <w:r w:rsidR="00E43FBC" w:rsidRPr="00ED4D49">
              <w:rPr>
                <w:rFonts w:cs="Calibri"/>
                <w:color w:val="336699"/>
                <w:sz w:val="18"/>
                <w:szCs w:val="18"/>
                <w:lang w:val="en-US"/>
              </w:rPr>
              <w:t>s</w:t>
            </w:r>
            <w:r w:rsidRPr="00ED4D49">
              <w:rPr>
                <w:rFonts w:cs="Calibri"/>
                <w:color w:val="336699"/>
                <w:sz w:val="18"/>
                <w:szCs w:val="18"/>
                <w:lang w:val="en-US"/>
              </w:rPr>
              <w:t>ubstantial)</w:t>
            </w:r>
          </w:p>
        </w:tc>
        <w:tc>
          <w:tcPr>
            <w:tcW w:w="1701" w:type="dxa"/>
          </w:tcPr>
          <w:p w14:paraId="01F609E5" w14:textId="4539C6D8" w:rsidR="00D32740" w:rsidRPr="00ED4D49" w:rsidRDefault="00D32740" w:rsidP="00E43FBC">
            <w:pPr>
              <w:spacing w:before="0" w:after="0"/>
              <w:ind w:left="144" w:right="144"/>
              <w:jc w:val="both"/>
              <w:rPr>
                <w:rFonts w:cs="Calibri"/>
                <w:color w:val="336699"/>
                <w:sz w:val="18"/>
                <w:szCs w:val="18"/>
                <w:lang w:val="en-US"/>
              </w:rPr>
            </w:pPr>
            <w:r w:rsidRPr="00ED4D49">
              <w:rPr>
                <w:rFonts w:cs="Calibri"/>
                <w:color w:val="336699"/>
                <w:sz w:val="18"/>
                <w:szCs w:val="18"/>
                <w:lang w:val="en-US"/>
              </w:rPr>
              <w:t>Responsibility</w:t>
            </w:r>
            <w:r w:rsidR="00E43FBC" w:rsidRPr="00ED4D49">
              <w:rPr>
                <w:rFonts w:cs="Calibri"/>
                <w:color w:val="336699"/>
                <w:sz w:val="18"/>
                <w:szCs w:val="18"/>
                <w:lang w:val="en-US"/>
              </w:rPr>
              <w:t>*</w:t>
            </w:r>
          </w:p>
        </w:tc>
        <w:tc>
          <w:tcPr>
            <w:tcW w:w="1644" w:type="dxa"/>
          </w:tcPr>
          <w:p w14:paraId="56E656B4" w14:textId="77777777" w:rsidR="00D32740" w:rsidRPr="00ED4D49" w:rsidRDefault="00D32740" w:rsidP="00E43FBC">
            <w:pPr>
              <w:spacing w:before="0" w:after="0"/>
              <w:ind w:left="144" w:right="144"/>
              <w:jc w:val="both"/>
              <w:rPr>
                <w:rFonts w:cs="Calibri"/>
                <w:color w:val="336699"/>
                <w:sz w:val="18"/>
                <w:szCs w:val="18"/>
                <w:lang w:val="en-US"/>
              </w:rPr>
            </w:pPr>
            <w:r w:rsidRPr="00ED4D49">
              <w:rPr>
                <w:rFonts w:cs="Calibri"/>
                <w:color w:val="336699"/>
                <w:sz w:val="18"/>
                <w:szCs w:val="18"/>
                <w:lang w:val="en-US"/>
              </w:rPr>
              <w:t>Supervision observation</w:t>
            </w:r>
          </w:p>
          <w:p w14:paraId="5D99204B" w14:textId="77777777" w:rsidR="00D32740" w:rsidRPr="00ED4D49" w:rsidRDefault="00D32740" w:rsidP="00E43FBC">
            <w:pPr>
              <w:spacing w:before="0" w:after="0"/>
              <w:ind w:left="144" w:right="144"/>
              <w:jc w:val="both"/>
              <w:rPr>
                <w:rFonts w:cs="Calibri"/>
                <w:color w:val="336699"/>
                <w:sz w:val="18"/>
                <w:szCs w:val="18"/>
                <w:lang w:val="en-US"/>
              </w:rPr>
            </w:pPr>
            <w:r w:rsidRPr="00ED4D49">
              <w:rPr>
                <w:rFonts w:cs="Calibri"/>
                <w:color w:val="336699"/>
                <w:sz w:val="18"/>
                <w:szCs w:val="18"/>
                <w:lang w:val="en-US"/>
              </w:rPr>
              <w:t>and comments</w:t>
            </w:r>
          </w:p>
          <w:p w14:paraId="5678B31D" w14:textId="77777777" w:rsidR="00D32740" w:rsidRPr="00ED4D49" w:rsidRDefault="00D32740" w:rsidP="00E43FBC">
            <w:pPr>
              <w:spacing w:before="0" w:after="0"/>
              <w:ind w:left="144" w:right="144"/>
              <w:jc w:val="both"/>
              <w:rPr>
                <w:rFonts w:cs="Calibri"/>
                <w:color w:val="336699"/>
                <w:sz w:val="18"/>
                <w:szCs w:val="18"/>
                <w:lang w:val="en-US"/>
              </w:rPr>
            </w:pPr>
            <w:r w:rsidRPr="00ED4D49">
              <w:rPr>
                <w:rFonts w:cs="Calibri"/>
                <w:color w:val="336699"/>
                <w:sz w:val="18"/>
                <w:szCs w:val="18"/>
                <w:lang w:val="en-US"/>
              </w:rPr>
              <w:t>(to be filled out during supervision)</w:t>
            </w:r>
          </w:p>
        </w:tc>
      </w:tr>
      <w:tr w:rsidR="00E43FBC" w:rsidRPr="00ED4D49" w14:paraId="3B5ED79C" w14:textId="77777777" w:rsidTr="00E43FBC">
        <w:trPr>
          <w:trHeight w:val="397"/>
        </w:trPr>
        <w:tc>
          <w:tcPr>
            <w:tcW w:w="1560" w:type="dxa"/>
          </w:tcPr>
          <w:p w14:paraId="0C9D9EF2" w14:textId="23E5F264" w:rsidR="00D32740" w:rsidRPr="00ED4D49" w:rsidRDefault="00E43FBC" w:rsidP="00E43FBC">
            <w:pPr>
              <w:spacing w:before="0" w:after="0"/>
              <w:ind w:left="144" w:right="144"/>
              <w:jc w:val="both"/>
              <w:rPr>
                <w:rFonts w:cs="Calibri"/>
                <w:sz w:val="18"/>
                <w:szCs w:val="18"/>
                <w:lang w:val="en-US"/>
              </w:rPr>
            </w:pPr>
            <w:r w:rsidRPr="00ED4D49">
              <w:rPr>
                <w:rFonts w:cs="Calibri"/>
                <w:sz w:val="18"/>
                <w:szCs w:val="18"/>
                <w:lang w:val="en-US"/>
              </w:rPr>
              <w:t>Preparation phase</w:t>
            </w:r>
          </w:p>
        </w:tc>
        <w:tc>
          <w:tcPr>
            <w:tcW w:w="1275" w:type="dxa"/>
          </w:tcPr>
          <w:p w14:paraId="1B59C255" w14:textId="2B8585E9" w:rsidR="00D32740" w:rsidRPr="00ED4D49" w:rsidRDefault="00D32740" w:rsidP="00C27BB5">
            <w:pPr>
              <w:rPr>
                <w:lang w:val="en-US"/>
              </w:rPr>
            </w:pPr>
          </w:p>
        </w:tc>
        <w:tc>
          <w:tcPr>
            <w:tcW w:w="1276" w:type="dxa"/>
          </w:tcPr>
          <w:p w14:paraId="5D810135" w14:textId="77777777" w:rsidR="00D32740" w:rsidRPr="00ED4D49" w:rsidRDefault="00D32740" w:rsidP="00C27BB5">
            <w:pPr>
              <w:rPr>
                <w:lang w:val="en-US"/>
              </w:rPr>
            </w:pPr>
          </w:p>
        </w:tc>
        <w:tc>
          <w:tcPr>
            <w:tcW w:w="1559" w:type="dxa"/>
          </w:tcPr>
          <w:p w14:paraId="39182F49" w14:textId="77777777" w:rsidR="00D32740" w:rsidRPr="00ED4D49" w:rsidRDefault="00D32740" w:rsidP="00C27BB5">
            <w:pPr>
              <w:rPr>
                <w:lang w:val="en-US"/>
              </w:rPr>
            </w:pPr>
          </w:p>
        </w:tc>
        <w:tc>
          <w:tcPr>
            <w:tcW w:w="1701" w:type="dxa"/>
          </w:tcPr>
          <w:p w14:paraId="6FDAE5F9" w14:textId="77777777" w:rsidR="00D32740" w:rsidRPr="00ED4D49" w:rsidRDefault="00D32740" w:rsidP="00C27BB5">
            <w:pPr>
              <w:rPr>
                <w:lang w:val="en-US"/>
              </w:rPr>
            </w:pPr>
          </w:p>
        </w:tc>
        <w:tc>
          <w:tcPr>
            <w:tcW w:w="1644" w:type="dxa"/>
          </w:tcPr>
          <w:p w14:paraId="3BB57539" w14:textId="77777777" w:rsidR="00D32740" w:rsidRPr="00ED4D49" w:rsidRDefault="00D32740" w:rsidP="00C27BB5">
            <w:pPr>
              <w:rPr>
                <w:lang w:val="en-US"/>
              </w:rPr>
            </w:pPr>
          </w:p>
        </w:tc>
      </w:tr>
      <w:tr w:rsidR="00E43FBC" w:rsidRPr="00ED4D49" w14:paraId="19A01FEF" w14:textId="77777777" w:rsidTr="00E43FBC">
        <w:trPr>
          <w:trHeight w:val="397"/>
        </w:trPr>
        <w:tc>
          <w:tcPr>
            <w:tcW w:w="1560" w:type="dxa"/>
          </w:tcPr>
          <w:p w14:paraId="40825596" w14:textId="77777777" w:rsidR="00D32740" w:rsidRPr="00ED4D49" w:rsidRDefault="00D32740" w:rsidP="00E43FBC">
            <w:pPr>
              <w:spacing w:before="0" w:after="0"/>
              <w:ind w:left="144" w:right="144"/>
              <w:jc w:val="both"/>
              <w:rPr>
                <w:rFonts w:cs="Calibri"/>
                <w:sz w:val="18"/>
                <w:szCs w:val="18"/>
                <w:lang w:val="en-US"/>
              </w:rPr>
            </w:pPr>
            <w:r w:rsidRPr="00ED4D49">
              <w:rPr>
                <w:rFonts w:cs="Calibri"/>
                <w:sz w:val="18"/>
                <w:szCs w:val="18"/>
                <w:lang w:val="en-US"/>
              </w:rPr>
              <w:t xml:space="preserve">Project </w:t>
            </w:r>
          </w:p>
          <w:p w14:paraId="631A3421" w14:textId="77777777" w:rsidR="00D32740" w:rsidRPr="00ED4D49" w:rsidRDefault="00D32740" w:rsidP="00E43FBC">
            <w:pPr>
              <w:spacing w:before="0" w:after="0"/>
              <w:ind w:left="144" w:right="144"/>
              <w:jc w:val="both"/>
              <w:rPr>
                <w:rFonts w:cs="Calibri"/>
                <w:sz w:val="18"/>
                <w:szCs w:val="18"/>
                <w:lang w:val="en-US"/>
              </w:rPr>
            </w:pPr>
            <w:r w:rsidRPr="00ED4D49">
              <w:rPr>
                <w:rFonts w:cs="Calibri"/>
                <w:sz w:val="18"/>
                <w:szCs w:val="18"/>
                <w:lang w:val="en-US"/>
              </w:rPr>
              <w:t xml:space="preserve">Execution / </w:t>
            </w:r>
          </w:p>
          <w:p w14:paraId="7F4ED19E" w14:textId="77777777" w:rsidR="00D32740" w:rsidRPr="00ED4D49" w:rsidRDefault="00D32740" w:rsidP="00E43FBC">
            <w:pPr>
              <w:spacing w:before="0" w:after="0"/>
              <w:ind w:left="144" w:right="144"/>
              <w:jc w:val="both"/>
              <w:rPr>
                <w:rFonts w:cs="Calibri"/>
                <w:sz w:val="18"/>
                <w:szCs w:val="18"/>
                <w:lang w:val="en-US"/>
              </w:rPr>
            </w:pPr>
            <w:r w:rsidRPr="00ED4D49">
              <w:rPr>
                <w:rFonts w:cs="Calibri"/>
                <w:sz w:val="18"/>
                <w:szCs w:val="18"/>
                <w:lang w:val="en-US"/>
              </w:rPr>
              <w:t>operate</w:t>
            </w:r>
          </w:p>
        </w:tc>
        <w:tc>
          <w:tcPr>
            <w:tcW w:w="1275" w:type="dxa"/>
          </w:tcPr>
          <w:p w14:paraId="7744760E" w14:textId="3C6F0A2C" w:rsidR="00D32740" w:rsidRPr="00ED4D49" w:rsidRDefault="00D32740" w:rsidP="00C27BB5">
            <w:pPr>
              <w:rPr>
                <w:lang w:val="en-US"/>
              </w:rPr>
            </w:pPr>
          </w:p>
        </w:tc>
        <w:tc>
          <w:tcPr>
            <w:tcW w:w="1276" w:type="dxa"/>
          </w:tcPr>
          <w:p w14:paraId="1871FC16" w14:textId="77777777" w:rsidR="00D32740" w:rsidRPr="00ED4D49" w:rsidRDefault="00D32740" w:rsidP="00C27BB5">
            <w:pPr>
              <w:rPr>
                <w:lang w:val="en-US"/>
              </w:rPr>
            </w:pPr>
          </w:p>
        </w:tc>
        <w:tc>
          <w:tcPr>
            <w:tcW w:w="1559" w:type="dxa"/>
          </w:tcPr>
          <w:p w14:paraId="67E09B5A" w14:textId="77777777" w:rsidR="00D32740" w:rsidRPr="00ED4D49" w:rsidRDefault="00D32740" w:rsidP="00C27BB5">
            <w:pPr>
              <w:rPr>
                <w:lang w:val="en-US"/>
              </w:rPr>
            </w:pPr>
          </w:p>
        </w:tc>
        <w:tc>
          <w:tcPr>
            <w:tcW w:w="1701" w:type="dxa"/>
          </w:tcPr>
          <w:p w14:paraId="2EB4B0DA" w14:textId="77777777" w:rsidR="00D32740" w:rsidRPr="00ED4D49" w:rsidRDefault="00D32740" w:rsidP="00C27BB5">
            <w:pPr>
              <w:rPr>
                <w:lang w:val="en-US"/>
              </w:rPr>
            </w:pPr>
          </w:p>
        </w:tc>
        <w:tc>
          <w:tcPr>
            <w:tcW w:w="1644" w:type="dxa"/>
          </w:tcPr>
          <w:p w14:paraId="64F156E9" w14:textId="77777777" w:rsidR="00D32740" w:rsidRPr="00ED4D49" w:rsidRDefault="00D32740" w:rsidP="00C27BB5">
            <w:pPr>
              <w:rPr>
                <w:lang w:val="en-US"/>
              </w:rPr>
            </w:pPr>
          </w:p>
        </w:tc>
      </w:tr>
      <w:tr w:rsidR="00E43FBC" w:rsidRPr="00ED4D49" w14:paraId="5B1FF752" w14:textId="77777777" w:rsidTr="00E43FBC">
        <w:trPr>
          <w:trHeight w:val="397"/>
        </w:trPr>
        <w:tc>
          <w:tcPr>
            <w:tcW w:w="1560" w:type="dxa"/>
          </w:tcPr>
          <w:p w14:paraId="3B2D3942" w14:textId="67B773AF" w:rsidR="00E43FBC" w:rsidRPr="00ED4D49" w:rsidRDefault="00E43FBC" w:rsidP="00E43FBC">
            <w:pPr>
              <w:spacing w:before="0" w:after="0"/>
              <w:ind w:left="144" w:right="144"/>
              <w:jc w:val="both"/>
              <w:rPr>
                <w:rFonts w:cs="Calibri"/>
                <w:sz w:val="18"/>
                <w:szCs w:val="18"/>
                <w:lang w:val="en-US"/>
              </w:rPr>
            </w:pPr>
            <w:r w:rsidRPr="00ED4D49">
              <w:rPr>
                <w:rFonts w:cs="Calibri"/>
                <w:sz w:val="18"/>
                <w:szCs w:val="18"/>
                <w:lang w:val="en-US"/>
              </w:rPr>
              <w:t>Post-project phase</w:t>
            </w:r>
          </w:p>
        </w:tc>
        <w:tc>
          <w:tcPr>
            <w:tcW w:w="1275" w:type="dxa"/>
          </w:tcPr>
          <w:p w14:paraId="50FA6088" w14:textId="77777777" w:rsidR="00E43FBC" w:rsidRPr="00ED4D49" w:rsidRDefault="00E43FBC" w:rsidP="00C27BB5">
            <w:pPr>
              <w:rPr>
                <w:lang w:val="en-US"/>
              </w:rPr>
            </w:pPr>
          </w:p>
        </w:tc>
        <w:tc>
          <w:tcPr>
            <w:tcW w:w="1276" w:type="dxa"/>
          </w:tcPr>
          <w:p w14:paraId="30562D28" w14:textId="77777777" w:rsidR="00E43FBC" w:rsidRPr="00ED4D49" w:rsidRDefault="00E43FBC" w:rsidP="00C27BB5">
            <w:pPr>
              <w:rPr>
                <w:lang w:val="en-US"/>
              </w:rPr>
            </w:pPr>
          </w:p>
        </w:tc>
        <w:tc>
          <w:tcPr>
            <w:tcW w:w="1559" w:type="dxa"/>
          </w:tcPr>
          <w:p w14:paraId="750F12A6" w14:textId="77777777" w:rsidR="00E43FBC" w:rsidRPr="00ED4D49" w:rsidRDefault="00E43FBC" w:rsidP="00C27BB5">
            <w:pPr>
              <w:rPr>
                <w:lang w:val="en-US"/>
              </w:rPr>
            </w:pPr>
          </w:p>
        </w:tc>
        <w:tc>
          <w:tcPr>
            <w:tcW w:w="1701" w:type="dxa"/>
          </w:tcPr>
          <w:p w14:paraId="5E4B5035" w14:textId="77777777" w:rsidR="00E43FBC" w:rsidRPr="00ED4D49" w:rsidRDefault="00E43FBC" w:rsidP="00C27BB5">
            <w:pPr>
              <w:rPr>
                <w:lang w:val="en-US"/>
              </w:rPr>
            </w:pPr>
          </w:p>
        </w:tc>
        <w:tc>
          <w:tcPr>
            <w:tcW w:w="1644" w:type="dxa"/>
          </w:tcPr>
          <w:p w14:paraId="0A50DC4C" w14:textId="77777777" w:rsidR="00E43FBC" w:rsidRPr="00ED4D49" w:rsidRDefault="00E43FBC" w:rsidP="00C27BB5">
            <w:pPr>
              <w:rPr>
                <w:lang w:val="en-US"/>
              </w:rPr>
            </w:pPr>
          </w:p>
        </w:tc>
      </w:tr>
    </w:tbl>
    <w:p w14:paraId="2EF5CDE5" w14:textId="03DDFB29" w:rsidR="00D32740" w:rsidRPr="00ED4D49" w:rsidRDefault="00D32740" w:rsidP="00C27BB5">
      <w:pPr>
        <w:rPr>
          <w:sz w:val="16"/>
          <w:szCs w:val="16"/>
          <w:lang w:val="en-US"/>
        </w:rPr>
      </w:pPr>
      <w:r w:rsidRPr="00ED4D49">
        <w:rPr>
          <w:sz w:val="16"/>
          <w:szCs w:val="16"/>
          <w:lang w:val="en-US"/>
        </w:rPr>
        <w:t>*Items indicated to be the responsibility of the contractor shall be specified in the bid documents</w:t>
      </w:r>
    </w:p>
    <w:p w14:paraId="381F1869" w14:textId="77777777" w:rsidR="00E43FBC" w:rsidRPr="00ED4D49" w:rsidRDefault="00E43FBC" w:rsidP="008D64BA">
      <w:pPr>
        <w:pStyle w:val="Bullets"/>
        <w:sectPr w:rsidR="00E43FBC" w:rsidRPr="00ED4D49" w:rsidSect="00F57E67">
          <w:headerReference w:type="default" r:id="rId50"/>
          <w:headerReference w:type="first" r:id="rId51"/>
          <w:pgSz w:w="11900" w:h="16840"/>
          <w:pgMar w:top="1440" w:right="1440" w:bottom="1440" w:left="1440" w:header="720" w:footer="720" w:gutter="0"/>
          <w:cols w:space="720"/>
          <w:titlePg/>
          <w:docGrid w:linePitch="360"/>
        </w:sectPr>
      </w:pPr>
    </w:p>
    <w:p w14:paraId="4760D9F3" w14:textId="01E76C5B" w:rsidR="00D32740" w:rsidRPr="00ED4D49" w:rsidRDefault="00D32740" w:rsidP="00C27BB5">
      <w:pPr>
        <w:rPr>
          <w:rFonts w:cs="Calibri"/>
          <w:color w:val="336699"/>
          <w:szCs w:val="20"/>
          <w:lang w:val="en-US"/>
        </w:rPr>
      </w:pPr>
      <w:r w:rsidRPr="00ED4D49">
        <w:rPr>
          <w:rFonts w:cs="Calibri"/>
          <w:color w:val="336699"/>
          <w:szCs w:val="20"/>
          <w:lang w:val="en-US"/>
        </w:rPr>
        <w:lastRenderedPageBreak/>
        <w:t>MONITORING PLAN TABLE FORMAT</w:t>
      </w:r>
    </w:p>
    <w:tbl>
      <w:tblPr>
        <w:tblStyle w:val="TableGridLight"/>
        <w:tblW w:w="14596" w:type="dxa"/>
        <w:tblLook w:val="01E0" w:firstRow="1" w:lastRow="1" w:firstColumn="1" w:lastColumn="1" w:noHBand="0" w:noVBand="0"/>
      </w:tblPr>
      <w:tblGrid>
        <w:gridCol w:w="1450"/>
        <w:gridCol w:w="1858"/>
        <w:gridCol w:w="1859"/>
        <w:gridCol w:w="1860"/>
        <w:gridCol w:w="1864"/>
        <w:gridCol w:w="1861"/>
        <w:gridCol w:w="1608"/>
        <w:gridCol w:w="2236"/>
      </w:tblGrid>
      <w:tr w:rsidR="00E43FBC" w:rsidRPr="00ED4D49" w14:paraId="75595F65" w14:textId="77777777" w:rsidTr="00E43FBC">
        <w:trPr>
          <w:trHeight w:val="397"/>
        </w:trPr>
        <w:tc>
          <w:tcPr>
            <w:tcW w:w="1452" w:type="dxa"/>
          </w:tcPr>
          <w:p w14:paraId="3BBF030F" w14:textId="77777777" w:rsidR="00D32740" w:rsidRPr="00ED4D49" w:rsidRDefault="00D32740" w:rsidP="00E43FBC">
            <w:pPr>
              <w:spacing w:before="0" w:after="0"/>
              <w:ind w:left="144" w:right="144"/>
              <w:rPr>
                <w:rFonts w:cs="Calibri"/>
                <w:color w:val="336699"/>
                <w:sz w:val="18"/>
                <w:szCs w:val="18"/>
                <w:lang w:val="en-US"/>
              </w:rPr>
            </w:pPr>
            <w:r w:rsidRPr="00ED4D49">
              <w:rPr>
                <w:rFonts w:cs="Calibri"/>
                <w:color w:val="336699"/>
                <w:sz w:val="18"/>
                <w:szCs w:val="18"/>
                <w:lang w:val="en-US"/>
              </w:rPr>
              <w:t>Phase</w:t>
            </w:r>
          </w:p>
        </w:tc>
        <w:tc>
          <w:tcPr>
            <w:tcW w:w="1877" w:type="dxa"/>
          </w:tcPr>
          <w:p w14:paraId="537A120F" w14:textId="2D049487" w:rsidR="00D32740" w:rsidRPr="00ED4D49" w:rsidRDefault="00D32740" w:rsidP="00E43FBC">
            <w:pPr>
              <w:spacing w:before="0" w:after="0"/>
              <w:ind w:left="144" w:right="144"/>
              <w:rPr>
                <w:rFonts w:cs="Calibri"/>
                <w:color w:val="336699"/>
                <w:sz w:val="18"/>
                <w:szCs w:val="18"/>
                <w:lang w:val="en-US"/>
              </w:rPr>
            </w:pPr>
            <w:r w:rsidRPr="00ED4D49">
              <w:rPr>
                <w:rFonts w:cs="Calibri"/>
                <w:color w:val="336699"/>
                <w:sz w:val="18"/>
                <w:szCs w:val="18"/>
                <w:lang w:val="en-US"/>
              </w:rPr>
              <w:t>What</w:t>
            </w:r>
            <w:r w:rsidR="00E43FBC" w:rsidRPr="00ED4D49">
              <w:rPr>
                <w:rFonts w:cs="Calibri"/>
                <w:color w:val="336699"/>
                <w:sz w:val="18"/>
                <w:szCs w:val="18"/>
                <w:lang w:val="en-US"/>
              </w:rPr>
              <w:t xml:space="preserve"> </w:t>
            </w:r>
            <w:r w:rsidRPr="00ED4D49">
              <w:rPr>
                <w:rFonts w:cs="Calibri"/>
                <w:color w:val="336699"/>
                <w:sz w:val="18"/>
                <w:szCs w:val="18"/>
                <w:lang w:val="en-US"/>
              </w:rPr>
              <w:t>parameter is to be monitored?</w:t>
            </w:r>
          </w:p>
        </w:tc>
        <w:tc>
          <w:tcPr>
            <w:tcW w:w="1878" w:type="dxa"/>
          </w:tcPr>
          <w:p w14:paraId="580A7C66" w14:textId="51B72CE3" w:rsidR="00D32740" w:rsidRPr="00ED4D49" w:rsidRDefault="00D32740" w:rsidP="00E43FBC">
            <w:pPr>
              <w:spacing w:before="0" w:after="0"/>
              <w:ind w:left="144" w:right="144"/>
              <w:rPr>
                <w:rFonts w:cs="Calibri"/>
                <w:color w:val="336699"/>
                <w:sz w:val="18"/>
                <w:szCs w:val="18"/>
                <w:lang w:val="en-US"/>
              </w:rPr>
            </w:pPr>
            <w:r w:rsidRPr="00ED4D49">
              <w:rPr>
                <w:rFonts w:cs="Calibri"/>
                <w:color w:val="336699"/>
                <w:sz w:val="18"/>
                <w:szCs w:val="18"/>
                <w:lang w:val="en-US"/>
              </w:rPr>
              <w:t>Where</w:t>
            </w:r>
            <w:r w:rsidR="00E43FBC" w:rsidRPr="00ED4D49">
              <w:rPr>
                <w:rFonts w:cs="Calibri"/>
                <w:color w:val="336699"/>
                <w:sz w:val="18"/>
                <w:szCs w:val="18"/>
                <w:lang w:val="en-US"/>
              </w:rPr>
              <w:t xml:space="preserve"> </w:t>
            </w:r>
            <w:r w:rsidRPr="00ED4D49">
              <w:rPr>
                <w:rFonts w:cs="Calibri"/>
                <w:color w:val="336699"/>
                <w:sz w:val="18"/>
                <w:szCs w:val="18"/>
                <w:lang w:val="en-US"/>
              </w:rPr>
              <w:t>is the parameter to be monitored?</w:t>
            </w:r>
          </w:p>
        </w:tc>
        <w:tc>
          <w:tcPr>
            <w:tcW w:w="1878" w:type="dxa"/>
          </w:tcPr>
          <w:p w14:paraId="045A4BEF" w14:textId="7B41E6BE" w:rsidR="00D32740" w:rsidRPr="00ED4D49" w:rsidRDefault="00D32740" w:rsidP="00E43FBC">
            <w:pPr>
              <w:spacing w:before="0" w:after="0"/>
              <w:ind w:left="144" w:right="144"/>
              <w:rPr>
                <w:rFonts w:cs="Calibri"/>
                <w:color w:val="336699"/>
                <w:sz w:val="18"/>
                <w:szCs w:val="18"/>
                <w:lang w:val="en-US"/>
              </w:rPr>
            </w:pPr>
            <w:r w:rsidRPr="00ED4D49">
              <w:rPr>
                <w:rFonts w:cs="Calibri"/>
                <w:color w:val="336699"/>
                <w:sz w:val="18"/>
                <w:szCs w:val="18"/>
                <w:lang w:val="en-US"/>
              </w:rPr>
              <w:t>How</w:t>
            </w:r>
          </w:p>
          <w:p w14:paraId="171FCCBE" w14:textId="77777777" w:rsidR="00D32740" w:rsidRPr="00ED4D49" w:rsidRDefault="00D32740" w:rsidP="00E43FBC">
            <w:pPr>
              <w:spacing w:before="0" w:after="0"/>
              <w:ind w:left="144" w:right="144"/>
              <w:rPr>
                <w:rFonts w:cs="Calibri"/>
                <w:color w:val="336699"/>
                <w:sz w:val="18"/>
                <w:szCs w:val="18"/>
                <w:lang w:val="en-US"/>
              </w:rPr>
            </w:pPr>
            <w:r w:rsidRPr="00ED4D49">
              <w:rPr>
                <w:rFonts w:cs="Calibri"/>
                <w:color w:val="336699"/>
                <w:sz w:val="18"/>
                <w:szCs w:val="18"/>
                <w:lang w:val="en-US"/>
              </w:rPr>
              <w:t>is the parameter to be monitored/ type of monitoring equipment?</w:t>
            </w:r>
          </w:p>
        </w:tc>
        <w:tc>
          <w:tcPr>
            <w:tcW w:w="1877" w:type="dxa"/>
          </w:tcPr>
          <w:p w14:paraId="6F0FDB8D" w14:textId="2A3DF58B" w:rsidR="00D32740" w:rsidRPr="00ED4D49" w:rsidRDefault="00D32740" w:rsidP="00E43FBC">
            <w:pPr>
              <w:spacing w:before="0" w:after="0"/>
              <w:ind w:left="144" w:right="144"/>
              <w:rPr>
                <w:rFonts w:cs="Calibri"/>
                <w:color w:val="336699"/>
                <w:sz w:val="18"/>
                <w:szCs w:val="18"/>
                <w:lang w:val="en-US"/>
              </w:rPr>
            </w:pPr>
            <w:r w:rsidRPr="00ED4D49">
              <w:rPr>
                <w:rFonts w:cs="Calibri"/>
                <w:color w:val="336699"/>
                <w:sz w:val="18"/>
                <w:szCs w:val="18"/>
                <w:lang w:val="en-US"/>
              </w:rPr>
              <w:t>When</w:t>
            </w:r>
          </w:p>
          <w:p w14:paraId="4E66ADA7" w14:textId="77777777" w:rsidR="00D32740" w:rsidRPr="00ED4D49" w:rsidRDefault="00D32740" w:rsidP="00E43FBC">
            <w:pPr>
              <w:spacing w:before="0" w:after="0"/>
              <w:ind w:left="144" w:right="144"/>
              <w:rPr>
                <w:rFonts w:cs="Calibri"/>
                <w:color w:val="336699"/>
                <w:sz w:val="18"/>
                <w:szCs w:val="18"/>
                <w:lang w:val="en-US"/>
              </w:rPr>
            </w:pPr>
            <w:r w:rsidRPr="00ED4D49">
              <w:rPr>
                <w:rFonts w:cs="Calibri"/>
                <w:color w:val="336699"/>
                <w:sz w:val="18"/>
                <w:szCs w:val="18"/>
                <w:lang w:val="en-US"/>
              </w:rPr>
              <w:t>is the parameter to be monitored- frequency of measurement or continuous?</w:t>
            </w:r>
          </w:p>
        </w:tc>
        <w:tc>
          <w:tcPr>
            <w:tcW w:w="1878" w:type="dxa"/>
          </w:tcPr>
          <w:p w14:paraId="06E0FD3F" w14:textId="54EC90C6" w:rsidR="00D32740" w:rsidRPr="00ED4D49" w:rsidRDefault="00D32740" w:rsidP="001E22CF">
            <w:pPr>
              <w:spacing w:before="0" w:after="0"/>
              <w:ind w:left="144" w:right="144"/>
              <w:rPr>
                <w:rFonts w:cs="Calibri"/>
                <w:color w:val="336699"/>
                <w:sz w:val="18"/>
                <w:szCs w:val="18"/>
                <w:lang w:val="en-US"/>
              </w:rPr>
            </w:pPr>
            <w:r w:rsidRPr="00ED4D49">
              <w:rPr>
                <w:rFonts w:cs="Calibri"/>
                <w:color w:val="336699"/>
                <w:sz w:val="18"/>
                <w:szCs w:val="18"/>
                <w:lang w:val="en-US"/>
              </w:rPr>
              <w:t>Monitoring</w:t>
            </w:r>
            <w:r w:rsidR="001E22CF" w:rsidRPr="00ED4D49">
              <w:rPr>
                <w:rFonts w:cs="Calibri"/>
                <w:color w:val="336699"/>
                <w:sz w:val="18"/>
                <w:szCs w:val="18"/>
                <w:lang w:val="en-US"/>
              </w:rPr>
              <w:t xml:space="preserve"> c</w:t>
            </w:r>
            <w:r w:rsidRPr="00ED4D49">
              <w:rPr>
                <w:rFonts w:cs="Calibri"/>
                <w:color w:val="336699"/>
                <w:sz w:val="18"/>
                <w:szCs w:val="18"/>
                <w:lang w:val="en-US"/>
              </w:rPr>
              <w:t>ost</w:t>
            </w:r>
            <w:r w:rsidR="001E22CF" w:rsidRPr="00ED4D49">
              <w:rPr>
                <w:rFonts w:cs="Calibri"/>
                <w:color w:val="336699"/>
                <w:sz w:val="18"/>
                <w:szCs w:val="18"/>
                <w:lang w:val="en-US"/>
              </w:rPr>
              <w:t>/</w:t>
            </w:r>
          </w:p>
          <w:p w14:paraId="009FB271" w14:textId="15348531" w:rsidR="00D32740" w:rsidRPr="00ED4D49" w:rsidRDefault="00601BAB" w:rsidP="00E43FBC">
            <w:pPr>
              <w:spacing w:before="0" w:after="0"/>
              <w:ind w:left="144" w:right="144"/>
              <w:rPr>
                <w:rFonts w:cs="Calibri"/>
                <w:color w:val="336699"/>
                <w:sz w:val="18"/>
                <w:szCs w:val="18"/>
                <w:lang w:val="en-US"/>
              </w:rPr>
            </w:pPr>
            <w:r w:rsidRPr="00ED4D49">
              <w:rPr>
                <w:rFonts w:cs="Calibri"/>
                <w:color w:val="336699"/>
                <w:sz w:val="18"/>
                <w:szCs w:val="18"/>
                <w:lang w:val="en-US"/>
              </w:rPr>
              <w:t>w</w:t>
            </w:r>
            <w:r w:rsidR="00D32740" w:rsidRPr="00ED4D49">
              <w:rPr>
                <w:rFonts w:cs="Calibri"/>
                <w:color w:val="336699"/>
                <w:sz w:val="18"/>
                <w:szCs w:val="18"/>
                <w:lang w:val="en-US"/>
              </w:rPr>
              <w:t>hat is the cost of equipment or contractor charges to perform monitoring?</w:t>
            </w:r>
          </w:p>
        </w:tc>
        <w:tc>
          <w:tcPr>
            <w:tcW w:w="1488" w:type="dxa"/>
          </w:tcPr>
          <w:p w14:paraId="098D591F" w14:textId="2564CE5F" w:rsidR="00D32740" w:rsidRPr="00ED4D49" w:rsidRDefault="00D32740" w:rsidP="00E43FBC">
            <w:pPr>
              <w:spacing w:before="0" w:after="0"/>
              <w:ind w:left="144" w:right="144"/>
              <w:rPr>
                <w:rFonts w:cs="Calibri"/>
                <w:color w:val="336699"/>
                <w:sz w:val="18"/>
                <w:szCs w:val="18"/>
                <w:lang w:val="en-US"/>
              </w:rPr>
            </w:pPr>
            <w:r w:rsidRPr="00ED4D49">
              <w:rPr>
                <w:rFonts w:cs="Calibri"/>
                <w:color w:val="336699"/>
                <w:sz w:val="18"/>
                <w:szCs w:val="18"/>
                <w:lang w:val="en-US"/>
              </w:rPr>
              <w:t>Responsibility</w:t>
            </w:r>
            <w:r w:rsidR="00E43FBC" w:rsidRPr="00ED4D49">
              <w:rPr>
                <w:rFonts w:cs="Calibri"/>
                <w:color w:val="336699"/>
                <w:sz w:val="18"/>
                <w:szCs w:val="18"/>
                <w:lang w:val="en-US"/>
              </w:rPr>
              <w:t>*</w:t>
            </w:r>
          </w:p>
        </w:tc>
        <w:tc>
          <w:tcPr>
            <w:tcW w:w="2268" w:type="dxa"/>
          </w:tcPr>
          <w:p w14:paraId="0EA0A15D" w14:textId="77777777" w:rsidR="00D32740" w:rsidRPr="00ED4D49" w:rsidRDefault="00D32740" w:rsidP="00E43FBC">
            <w:pPr>
              <w:spacing w:before="0" w:after="0"/>
              <w:ind w:left="144" w:right="144"/>
              <w:rPr>
                <w:rFonts w:cs="Calibri"/>
                <w:color w:val="336699"/>
                <w:sz w:val="18"/>
                <w:szCs w:val="18"/>
                <w:lang w:val="en-US"/>
              </w:rPr>
            </w:pPr>
            <w:r w:rsidRPr="00ED4D49">
              <w:rPr>
                <w:rFonts w:cs="Calibri"/>
                <w:color w:val="336699"/>
                <w:sz w:val="18"/>
                <w:szCs w:val="18"/>
                <w:lang w:val="en-US"/>
              </w:rPr>
              <w:t>Supervision</w:t>
            </w:r>
          </w:p>
          <w:p w14:paraId="435B3431" w14:textId="77777777" w:rsidR="00D32740" w:rsidRPr="00ED4D49" w:rsidRDefault="00D32740" w:rsidP="00E43FBC">
            <w:pPr>
              <w:spacing w:before="0" w:after="0"/>
              <w:ind w:left="144" w:right="144"/>
              <w:rPr>
                <w:rFonts w:cs="Calibri"/>
                <w:color w:val="336699"/>
                <w:sz w:val="18"/>
                <w:szCs w:val="18"/>
                <w:lang w:val="en-US"/>
              </w:rPr>
            </w:pPr>
            <w:r w:rsidRPr="00ED4D49">
              <w:rPr>
                <w:rFonts w:cs="Calibri"/>
                <w:color w:val="336699"/>
                <w:sz w:val="18"/>
                <w:szCs w:val="18"/>
                <w:lang w:val="en-US"/>
              </w:rPr>
              <w:t>observation and comments</w:t>
            </w:r>
          </w:p>
          <w:p w14:paraId="1CEE199D" w14:textId="77777777" w:rsidR="00D32740" w:rsidRPr="00ED4D49" w:rsidRDefault="00D32740" w:rsidP="00E43FBC">
            <w:pPr>
              <w:spacing w:before="0" w:after="0"/>
              <w:ind w:left="144" w:right="144"/>
              <w:rPr>
                <w:rFonts w:cs="Calibri"/>
                <w:szCs w:val="20"/>
                <w:lang w:val="en-US" w:eastAsia="x-none"/>
              </w:rPr>
            </w:pPr>
            <w:r w:rsidRPr="00ED4D49">
              <w:rPr>
                <w:rFonts w:cs="Calibri"/>
                <w:color w:val="336699"/>
                <w:sz w:val="18"/>
                <w:szCs w:val="18"/>
                <w:lang w:val="en-US"/>
              </w:rPr>
              <w:t>(to be filled out during supervision with reference to adequate measuring reports)</w:t>
            </w:r>
          </w:p>
        </w:tc>
      </w:tr>
      <w:tr w:rsidR="00E43FBC" w:rsidRPr="00ED4D49" w14:paraId="6E9CE7E9" w14:textId="77777777" w:rsidTr="00E43FBC">
        <w:trPr>
          <w:trHeight w:val="397"/>
        </w:trPr>
        <w:tc>
          <w:tcPr>
            <w:tcW w:w="1452" w:type="dxa"/>
          </w:tcPr>
          <w:p w14:paraId="00AD8AD9" w14:textId="0F74AE5D" w:rsidR="00E43FBC" w:rsidRPr="00ED4D49" w:rsidRDefault="00E43FBC" w:rsidP="00E43FBC">
            <w:pPr>
              <w:spacing w:before="0" w:after="0"/>
              <w:ind w:left="144" w:right="144"/>
              <w:jc w:val="both"/>
              <w:rPr>
                <w:rFonts w:cs="Calibri"/>
                <w:sz w:val="18"/>
                <w:szCs w:val="18"/>
                <w:lang w:val="en-US"/>
              </w:rPr>
            </w:pPr>
            <w:r w:rsidRPr="00ED4D49">
              <w:rPr>
                <w:rFonts w:cs="Calibri"/>
                <w:sz w:val="18"/>
                <w:szCs w:val="18"/>
                <w:lang w:val="en-US"/>
              </w:rPr>
              <w:t>Preparation phase</w:t>
            </w:r>
          </w:p>
        </w:tc>
        <w:tc>
          <w:tcPr>
            <w:tcW w:w="1877" w:type="dxa"/>
          </w:tcPr>
          <w:p w14:paraId="1CB462B4" w14:textId="77777777" w:rsidR="00E43FBC" w:rsidRPr="00ED4D49" w:rsidRDefault="00E43FBC" w:rsidP="00C27BB5">
            <w:pPr>
              <w:rPr>
                <w:lang w:val="en-US"/>
              </w:rPr>
            </w:pPr>
          </w:p>
        </w:tc>
        <w:tc>
          <w:tcPr>
            <w:tcW w:w="1878" w:type="dxa"/>
          </w:tcPr>
          <w:p w14:paraId="4F3B4BE3" w14:textId="77777777" w:rsidR="00E43FBC" w:rsidRPr="00ED4D49" w:rsidRDefault="00E43FBC" w:rsidP="00C27BB5">
            <w:pPr>
              <w:rPr>
                <w:lang w:val="en-US"/>
              </w:rPr>
            </w:pPr>
          </w:p>
        </w:tc>
        <w:tc>
          <w:tcPr>
            <w:tcW w:w="1878" w:type="dxa"/>
          </w:tcPr>
          <w:p w14:paraId="30DB2728" w14:textId="77777777" w:rsidR="00E43FBC" w:rsidRPr="00ED4D49" w:rsidRDefault="00E43FBC" w:rsidP="00C27BB5">
            <w:pPr>
              <w:rPr>
                <w:lang w:val="en-US"/>
              </w:rPr>
            </w:pPr>
          </w:p>
        </w:tc>
        <w:tc>
          <w:tcPr>
            <w:tcW w:w="1877" w:type="dxa"/>
          </w:tcPr>
          <w:p w14:paraId="627A0A0A" w14:textId="77777777" w:rsidR="00E43FBC" w:rsidRPr="00ED4D49" w:rsidRDefault="00E43FBC" w:rsidP="00C27BB5">
            <w:pPr>
              <w:rPr>
                <w:lang w:val="en-US"/>
              </w:rPr>
            </w:pPr>
          </w:p>
        </w:tc>
        <w:tc>
          <w:tcPr>
            <w:tcW w:w="1878" w:type="dxa"/>
          </w:tcPr>
          <w:p w14:paraId="7EDFF9AC" w14:textId="77777777" w:rsidR="00E43FBC" w:rsidRPr="00ED4D49" w:rsidRDefault="00E43FBC" w:rsidP="00C27BB5">
            <w:pPr>
              <w:rPr>
                <w:lang w:val="en-US"/>
              </w:rPr>
            </w:pPr>
          </w:p>
        </w:tc>
        <w:tc>
          <w:tcPr>
            <w:tcW w:w="1488" w:type="dxa"/>
          </w:tcPr>
          <w:p w14:paraId="717A25BB" w14:textId="77777777" w:rsidR="00E43FBC" w:rsidRPr="00ED4D49" w:rsidRDefault="00E43FBC" w:rsidP="00C27BB5">
            <w:pPr>
              <w:rPr>
                <w:lang w:val="en-US"/>
              </w:rPr>
            </w:pPr>
          </w:p>
        </w:tc>
        <w:tc>
          <w:tcPr>
            <w:tcW w:w="2268" w:type="dxa"/>
          </w:tcPr>
          <w:p w14:paraId="760666A6" w14:textId="77777777" w:rsidR="00E43FBC" w:rsidRPr="00ED4D49" w:rsidRDefault="00E43FBC" w:rsidP="00C27BB5">
            <w:pPr>
              <w:rPr>
                <w:lang w:val="en-US"/>
              </w:rPr>
            </w:pPr>
          </w:p>
        </w:tc>
      </w:tr>
      <w:tr w:rsidR="00E43FBC" w:rsidRPr="00ED4D49" w14:paraId="015602C8" w14:textId="77777777" w:rsidTr="00E43FBC">
        <w:trPr>
          <w:trHeight w:val="397"/>
        </w:trPr>
        <w:tc>
          <w:tcPr>
            <w:tcW w:w="1452" w:type="dxa"/>
          </w:tcPr>
          <w:p w14:paraId="06CFD77F" w14:textId="77777777" w:rsidR="00E43FBC" w:rsidRPr="00ED4D49" w:rsidRDefault="00E43FBC" w:rsidP="00E43FBC">
            <w:pPr>
              <w:spacing w:before="0" w:after="0"/>
              <w:ind w:left="144" w:right="144"/>
              <w:jc w:val="both"/>
              <w:rPr>
                <w:rFonts w:cs="Calibri"/>
                <w:sz w:val="18"/>
                <w:szCs w:val="18"/>
                <w:lang w:val="en-US"/>
              </w:rPr>
            </w:pPr>
            <w:r w:rsidRPr="00ED4D49">
              <w:rPr>
                <w:rFonts w:cs="Calibri"/>
                <w:sz w:val="18"/>
                <w:szCs w:val="18"/>
                <w:lang w:val="en-US"/>
              </w:rPr>
              <w:t xml:space="preserve">Project </w:t>
            </w:r>
          </w:p>
          <w:p w14:paraId="6E8AD556" w14:textId="77777777" w:rsidR="00E43FBC" w:rsidRPr="00ED4D49" w:rsidRDefault="00E43FBC" w:rsidP="00E43FBC">
            <w:pPr>
              <w:spacing w:before="0" w:after="0"/>
              <w:ind w:left="144" w:right="144"/>
              <w:jc w:val="both"/>
              <w:rPr>
                <w:rFonts w:cs="Calibri"/>
                <w:sz w:val="18"/>
                <w:szCs w:val="18"/>
                <w:lang w:val="en-US"/>
              </w:rPr>
            </w:pPr>
            <w:r w:rsidRPr="00ED4D49">
              <w:rPr>
                <w:rFonts w:cs="Calibri"/>
                <w:sz w:val="18"/>
                <w:szCs w:val="18"/>
                <w:lang w:val="en-US"/>
              </w:rPr>
              <w:t xml:space="preserve">Execution / </w:t>
            </w:r>
          </w:p>
          <w:p w14:paraId="1479CE5B" w14:textId="5F2738E7" w:rsidR="00E43FBC" w:rsidRPr="00ED4D49" w:rsidRDefault="00E43FBC" w:rsidP="00E43FBC">
            <w:pPr>
              <w:spacing w:before="0" w:after="0"/>
              <w:ind w:left="144" w:right="144"/>
              <w:jc w:val="both"/>
              <w:rPr>
                <w:rFonts w:cs="Calibri"/>
                <w:sz w:val="18"/>
                <w:szCs w:val="18"/>
                <w:lang w:val="en-US"/>
              </w:rPr>
            </w:pPr>
            <w:r w:rsidRPr="00ED4D49">
              <w:rPr>
                <w:rFonts w:cs="Calibri"/>
                <w:sz w:val="18"/>
                <w:szCs w:val="18"/>
                <w:lang w:val="en-US"/>
              </w:rPr>
              <w:t>operate</w:t>
            </w:r>
          </w:p>
        </w:tc>
        <w:tc>
          <w:tcPr>
            <w:tcW w:w="1877" w:type="dxa"/>
          </w:tcPr>
          <w:p w14:paraId="1FEE4483" w14:textId="77777777" w:rsidR="00E43FBC" w:rsidRPr="00ED4D49" w:rsidRDefault="00E43FBC" w:rsidP="00C27BB5">
            <w:pPr>
              <w:rPr>
                <w:lang w:val="en-US"/>
              </w:rPr>
            </w:pPr>
          </w:p>
        </w:tc>
        <w:tc>
          <w:tcPr>
            <w:tcW w:w="1878" w:type="dxa"/>
          </w:tcPr>
          <w:p w14:paraId="12C72C0F" w14:textId="77777777" w:rsidR="00E43FBC" w:rsidRPr="00ED4D49" w:rsidRDefault="00E43FBC" w:rsidP="00C27BB5">
            <w:pPr>
              <w:rPr>
                <w:lang w:val="en-US"/>
              </w:rPr>
            </w:pPr>
          </w:p>
        </w:tc>
        <w:tc>
          <w:tcPr>
            <w:tcW w:w="1878" w:type="dxa"/>
          </w:tcPr>
          <w:p w14:paraId="7DF20673" w14:textId="77777777" w:rsidR="00E43FBC" w:rsidRPr="00ED4D49" w:rsidRDefault="00E43FBC" w:rsidP="00C27BB5">
            <w:pPr>
              <w:rPr>
                <w:lang w:val="en-US"/>
              </w:rPr>
            </w:pPr>
          </w:p>
        </w:tc>
        <w:tc>
          <w:tcPr>
            <w:tcW w:w="1877" w:type="dxa"/>
          </w:tcPr>
          <w:p w14:paraId="48EE6329" w14:textId="77777777" w:rsidR="00E43FBC" w:rsidRPr="00ED4D49" w:rsidRDefault="00E43FBC" w:rsidP="00C27BB5">
            <w:pPr>
              <w:rPr>
                <w:lang w:val="en-US"/>
              </w:rPr>
            </w:pPr>
          </w:p>
        </w:tc>
        <w:tc>
          <w:tcPr>
            <w:tcW w:w="1878" w:type="dxa"/>
          </w:tcPr>
          <w:p w14:paraId="7C5EFF9F" w14:textId="77777777" w:rsidR="00E43FBC" w:rsidRPr="00ED4D49" w:rsidRDefault="00E43FBC" w:rsidP="00C27BB5">
            <w:pPr>
              <w:rPr>
                <w:lang w:val="en-US"/>
              </w:rPr>
            </w:pPr>
          </w:p>
        </w:tc>
        <w:tc>
          <w:tcPr>
            <w:tcW w:w="1488" w:type="dxa"/>
          </w:tcPr>
          <w:p w14:paraId="63816DE5" w14:textId="77777777" w:rsidR="00E43FBC" w:rsidRPr="00ED4D49" w:rsidRDefault="00E43FBC" w:rsidP="00C27BB5">
            <w:pPr>
              <w:rPr>
                <w:lang w:val="en-US"/>
              </w:rPr>
            </w:pPr>
          </w:p>
        </w:tc>
        <w:tc>
          <w:tcPr>
            <w:tcW w:w="2268" w:type="dxa"/>
          </w:tcPr>
          <w:p w14:paraId="7761E333" w14:textId="77777777" w:rsidR="00E43FBC" w:rsidRPr="00ED4D49" w:rsidRDefault="00E43FBC" w:rsidP="00C27BB5">
            <w:pPr>
              <w:rPr>
                <w:lang w:val="en-US"/>
              </w:rPr>
            </w:pPr>
          </w:p>
        </w:tc>
      </w:tr>
      <w:tr w:rsidR="00E43FBC" w:rsidRPr="00ED4D49" w14:paraId="3F49D5B7" w14:textId="77777777" w:rsidTr="00E43FBC">
        <w:trPr>
          <w:trHeight w:val="397"/>
        </w:trPr>
        <w:tc>
          <w:tcPr>
            <w:tcW w:w="1452" w:type="dxa"/>
          </w:tcPr>
          <w:p w14:paraId="2FBAFCD1" w14:textId="7EBEEF13" w:rsidR="00E43FBC" w:rsidRPr="00ED4D49" w:rsidRDefault="00E43FBC" w:rsidP="00E43FBC">
            <w:pPr>
              <w:spacing w:before="0" w:after="0"/>
              <w:ind w:left="144" w:right="144"/>
              <w:jc w:val="both"/>
              <w:rPr>
                <w:rFonts w:cs="Calibri"/>
                <w:sz w:val="18"/>
                <w:szCs w:val="18"/>
                <w:lang w:val="en-US"/>
              </w:rPr>
            </w:pPr>
            <w:r w:rsidRPr="00ED4D49">
              <w:rPr>
                <w:rFonts w:cs="Calibri"/>
                <w:sz w:val="18"/>
                <w:szCs w:val="18"/>
                <w:lang w:val="en-US"/>
              </w:rPr>
              <w:t>Post-project phase</w:t>
            </w:r>
          </w:p>
        </w:tc>
        <w:tc>
          <w:tcPr>
            <w:tcW w:w="1877" w:type="dxa"/>
          </w:tcPr>
          <w:p w14:paraId="3381BB70" w14:textId="77777777" w:rsidR="00E43FBC" w:rsidRPr="00ED4D49" w:rsidRDefault="00E43FBC" w:rsidP="00C27BB5">
            <w:pPr>
              <w:rPr>
                <w:lang w:val="en-US"/>
              </w:rPr>
            </w:pPr>
          </w:p>
        </w:tc>
        <w:tc>
          <w:tcPr>
            <w:tcW w:w="1878" w:type="dxa"/>
          </w:tcPr>
          <w:p w14:paraId="1300858B" w14:textId="77777777" w:rsidR="00E43FBC" w:rsidRPr="00ED4D49" w:rsidRDefault="00E43FBC" w:rsidP="00C27BB5">
            <w:pPr>
              <w:rPr>
                <w:lang w:val="en-US"/>
              </w:rPr>
            </w:pPr>
          </w:p>
        </w:tc>
        <w:tc>
          <w:tcPr>
            <w:tcW w:w="1878" w:type="dxa"/>
          </w:tcPr>
          <w:p w14:paraId="160FCE69" w14:textId="77777777" w:rsidR="00E43FBC" w:rsidRPr="00ED4D49" w:rsidRDefault="00E43FBC" w:rsidP="00C27BB5">
            <w:pPr>
              <w:rPr>
                <w:lang w:val="en-US"/>
              </w:rPr>
            </w:pPr>
          </w:p>
        </w:tc>
        <w:tc>
          <w:tcPr>
            <w:tcW w:w="1877" w:type="dxa"/>
          </w:tcPr>
          <w:p w14:paraId="776E4C5C" w14:textId="77777777" w:rsidR="00E43FBC" w:rsidRPr="00ED4D49" w:rsidRDefault="00E43FBC" w:rsidP="00C27BB5">
            <w:pPr>
              <w:rPr>
                <w:lang w:val="en-US"/>
              </w:rPr>
            </w:pPr>
          </w:p>
        </w:tc>
        <w:tc>
          <w:tcPr>
            <w:tcW w:w="1878" w:type="dxa"/>
          </w:tcPr>
          <w:p w14:paraId="5D746ACB" w14:textId="77777777" w:rsidR="00E43FBC" w:rsidRPr="00ED4D49" w:rsidRDefault="00E43FBC" w:rsidP="00C27BB5">
            <w:pPr>
              <w:rPr>
                <w:lang w:val="en-US"/>
              </w:rPr>
            </w:pPr>
          </w:p>
        </w:tc>
        <w:tc>
          <w:tcPr>
            <w:tcW w:w="1488" w:type="dxa"/>
          </w:tcPr>
          <w:p w14:paraId="5631D3DF" w14:textId="77777777" w:rsidR="00E43FBC" w:rsidRPr="00ED4D49" w:rsidRDefault="00E43FBC" w:rsidP="00C27BB5">
            <w:pPr>
              <w:rPr>
                <w:lang w:val="en-US"/>
              </w:rPr>
            </w:pPr>
          </w:p>
        </w:tc>
        <w:tc>
          <w:tcPr>
            <w:tcW w:w="2268" w:type="dxa"/>
          </w:tcPr>
          <w:p w14:paraId="509A01F4" w14:textId="77777777" w:rsidR="00E43FBC" w:rsidRPr="00ED4D49" w:rsidRDefault="00E43FBC" w:rsidP="00C27BB5">
            <w:pPr>
              <w:rPr>
                <w:lang w:val="en-US"/>
              </w:rPr>
            </w:pPr>
          </w:p>
        </w:tc>
      </w:tr>
    </w:tbl>
    <w:p w14:paraId="5EE56A1C" w14:textId="08D3D6E3" w:rsidR="00BA387E" w:rsidRPr="00ED4D49" w:rsidRDefault="00E43FBC" w:rsidP="00C27BB5">
      <w:pPr>
        <w:rPr>
          <w:sz w:val="16"/>
          <w:szCs w:val="16"/>
          <w:lang w:val="en-US"/>
        </w:rPr>
      </w:pPr>
      <w:r w:rsidRPr="00ED4D49">
        <w:rPr>
          <w:sz w:val="16"/>
          <w:szCs w:val="16"/>
          <w:lang w:val="en-US"/>
        </w:rPr>
        <w:t>*Items indicated to be the responsibility of the contractor shall be specified in the bid documents</w:t>
      </w:r>
    </w:p>
    <w:p w14:paraId="343942F1" w14:textId="77777777" w:rsidR="001D71BE" w:rsidRPr="00ED4D49" w:rsidRDefault="001D71BE" w:rsidP="00C27BB5">
      <w:pPr>
        <w:rPr>
          <w:sz w:val="16"/>
          <w:szCs w:val="16"/>
          <w:lang w:val="en-US"/>
        </w:rPr>
      </w:pPr>
    </w:p>
    <w:p w14:paraId="0E9995A8" w14:textId="24503621" w:rsidR="001D71BE" w:rsidRPr="00ED4D49" w:rsidRDefault="001D71BE" w:rsidP="00C27BB5">
      <w:pPr>
        <w:rPr>
          <w:sz w:val="16"/>
          <w:szCs w:val="16"/>
          <w:lang w:val="en-US"/>
        </w:rPr>
        <w:sectPr w:rsidR="001D71BE" w:rsidRPr="00ED4D49" w:rsidSect="00633607">
          <w:headerReference w:type="first" r:id="rId52"/>
          <w:pgSz w:w="16840" w:h="11900" w:orient="landscape"/>
          <w:pgMar w:top="1440" w:right="1440" w:bottom="1440" w:left="1440" w:header="720" w:footer="720" w:gutter="0"/>
          <w:cols w:space="720"/>
          <w:titlePg/>
          <w:docGrid w:linePitch="360"/>
        </w:sectPr>
      </w:pPr>
    </w:p>
    <w:p w14:paraId="350F0EEC" w14:textId="4E015615" w:rsidR="001D71BE" w:rsidRPr="00ED4D49" w:rsidRDefault="001D71BE" w:rsidP="001D71BE">
      <w:pPr>
        <w:pStyle w:val="Heading2"/>
        <w:numPr>
          <w:ilvl w:val="0"/>
          <w:numId w:val="30"/>
        </w:numPr>
        <w:ind w:left="426" w:hanging="426"/>
      </w:pPr>
      <w:bookmarkStart w:id="295" w:name="_Ref22893216"/>
      <w:bookmarkStart w:id="296" w:name="_Toc31811114"/>
      <w:r w:rsidRPr="00ED4D49">
        <w:lastRenderedPageBreak/>
        <w:t>Minutes from the public consultations</w:t>
      </w:r>
      <w:bookmarkEnd w:id="295"/>
      <w:bookmarkEnd w:id="296"/>
      <w:r w:rsidRPr="00ED4D49">
        <w:t xml:space="preserve"> </w:t>
      </w:r>
    </w:p>
    <w:p w14:paraId="78168330" w14:textId="34920B4B" w:rsidR="00A05261" w:rsidRPr="00ED4D49" w:rsidRDefault="00A05261" w:rsidP="00A05261">
      <w:pPr>
        <w:rPr>
          <w:lang w:val="en-US" w:eastAsia="en-GB"/>
        </w:rPr>
      </w:pPr>
      <w:bookmarkStart w:id="297" w:name="_Hlk31811659"/>
      <w:r w:rsidRPr="00ED4D49">
        <w:rPr>
          <w:b/>
          <w:bCs/>
          <w:lang w:val="en-US" w:eastAsia="en-GB"/>
        </w:rPr>
        <w:t>Venue:</w:t>
      </w:r>
      <w:r w:rsidRPr="00ED4D49">
        <w:rPr>
          <w:lang w:val="en-US" w:eastAsia="en-GB"/>
        </w:rPr>
        <w:t xml:space="preserve"> </w:t>
      </w:r>
      <w:r w:rsidRPr="00ED4D49">
        <w:rPr>
          <w:lang w:val="en-US" w:eastAsia="en-GB"/>
        </w:rPr>
        <w:tab/>
      </w:r>
      <w:r w:rsidRPr="00ED4D49">
        <w:rPr>
          <w:lang w:val="en-US" w:eastAsia="en-GB"/>
        </w:rPr>
        <w:tab/>
        <w:t xml:space="preserve">Meeting hall </w:t>
      </w:r>
      <w:r w:rsidR="00D04C89" w:rsidRPr="00ED4D49">
        <w:rPr>
          <w:lang w:val="en-US" w:eastAsia="en-GB"/>
        </w:rPr>
        <w:t>in the building of</w:t>
      </w:r>
      <w:r w:rsidRPr="00ED4D49">
        <w:rPr>
          <w:lang w:val="en-US" w:eastAsia="en-GB"/>
        </w:rPr>
        <w:t xml:space="preserve"> the </w:t>
      </w:r>
      <w:r w:rsidR="00D04C89" w:rsidRPr="00ED4D49">
        <w:rPr>
          <w:lang w:val="en-US" w:eastAsia="en-GB"/>
        </w:rPr>
        <w:t xml:space="preserve">Government of </w:t>
      </w:r>
      <w:proofErr w:type="spellStart"/>
      <w:r w:rsidR="00D04C89" w:rsidRPr="00ED4D49">
        <w:rPr>
          <w:lang w:val="en-US" w:eastAsia="en-GB"/>
        </w:rPr>
        <w:t>Republika</w:t>
      </w:r>
      <w:proofErr w:type="spellEnd"/>
      <w:r w:rsidR="00D04C89" w:rsidRPr="00ED4D49">
        <w:rPr>
          <w:lang w:val="en-US" w:eastAsia="en-GB"/>
        </w:rPr>
        <w:t xml:space="preserve"> Srpska </w:t>
      </w:r>
      <w:r w:rsidRPr="00ED4D49">
        <w:rPr>
          <w:lang w:val="en-US" w:eastAsia="en-GB"/>
        </w:rPr>
        <w:t xml:space="preserve"> </w:t>
      </w:r>
    </w:p>
    <w:p w14:paraId="12B3B95C" w14:textId="52AE0B0E" w:rsidR="00A05261" w:rsidRPr="00ED4D49" w:rsidRDefault="00A05261" w:rsidP="00A05261">
      <w:pPr>
        <w:rPr>
          <w:b/>
          <w:bCs/>
          <w:lang w:val="en-US" w:eastAsia="en-GB"/>
        </w:rPr>
      </w:pPr>
      <w:r w:rsidRPr="00ED4D49">
        <w:rPr>
          <w:b/>
          <w:bCs/>
          <w:lang w:val="en-US" w:eastAsia="en-GB"/>
        </w:rPr>
        <w:t xml:space="preserve">Date: </w:t>
      </w:r>
      <w:r w:rsidRPr="00ED4D49">
        <w:rPr>
          <w:b/>
          <w:bCs/>
          <w:lang w:val="en-US" w:eastAsia="en-GB"/>
        </w:rPr>
        <w:tab/>
      </w:r>
      <w:r w:rsidRPr="00ED4D49">
        <w:rPr>
          <w:b/>
          <w:bCs/>
          <w:lang w:val="en-US" w:eastAsia="en-GB"/>
        </w:rPr>
        <w:tab/>
      </w:r>
      <w:r w:rsidRPr="00ED4D49">
        <w:rPr>
          <w:lang w:val="en-US" w:eastAsia="en-GB"/>
        </w:rPr>
        <w:t>2</w:t>
      </w:r>
      <w:r w:rsidR="00D04C89" w:rsidRPr="00ED4D49">
        <w:rPr>
          <w:lang w:val="en-US" w:eastAsia="en-GB"/>
        </w:rPr>
        <w:t>9</w:t>
      </w:r>
      <w:r w:rsidRPr="00ED4D49">
        <w:rPr>
          <w:lang w:val="en-US" w:eastAsia="en-GB"/>
        </w:rPr>
        <w:t xml:space="preserve"> January 2020</w:t>
      </w:r>
    </w:p>
    <w:p w14:paraId="13DAA7B6" w14:textId="43FF91E7" w:rsidR="00A05261" w:rsidRPr="00ED4D49" w:rsidRDefault="00A05261" w:rsidP="00A05261">
      <w:pPr>
        <w:rPr>
          <w:lang w:val="en-US" w:eastAsia="en-GB"/>
        </w:rPr>
      </w:pPr>
      <w:r w:rsidRPr="00ED4D49">
        <w:rPr>
          <w:b/>
          <w:bCs/>
          <w:lang w:val="en-US" w:eastAsia="en-GB"/>
        </w:rPr>
        <w:t>Time:</w:t>
      </w:r>
      <w:r w:rsidRPr="00ED4D49">
        <w:rPr>
          <w:lang w:val="en-US" w:eastAsia="en-GB"/>
        </w:rPr>
        <w:t xml:space="preserve"> </w:t>
      </w:r>
      <w:r w:rsidRPr="00ED4D49">
        <w:rPr>
          <w:lang w:val="en-US" w:eastAsia="en-GB"/>
        </w:rPr>
        <w:tab/>
      </w:r>
      <w:r w:rsidRPr="00ED4D49">
        <w:rPr>
          <w:lang w:val="en-US" w:eastAsia="en-GB"/>
        </w:rPr>
        <w:tab/>
        <w:t>1</w:t>
      </w:r>
      <w:r w:rsidR="00D04C89" w:rsidRPr="00ED4D49">
        <w:rPr>
          <w:lang w:val="en-US" w:eastAsia="en-GB"/>
        </w:rPr>
        <w:t>2</w:t>
      </w:r>
      <w:r w:rsidRPr="00ED4D49">
        <w:rPr>
          <w:lang w:val="en-US" w:eastAsia="en-GB"/>
        </w:rPr>
        <w:t xml:space="preserve">:00 </w:t>
      </w:r>
      <w:proofErr w:type="spellStart"/>
      <w:r w:rsidRPr="00ED4D49">
        <w:rPr>
          <w:lang w:val="en-US" w:eastAsia="en-GB"/>
        </w:rPr>
        <w:t>hr</w:t>
      </w:r>
      <w:proofErr w:type="spellEnd"/>
      <w:r w:rsidRPr="00ED4D49">
        <w:rPr>
          <w:lang w:val="en-US" w:eastAsia="en-GB"/>
        </w:rPr>
        <w:t xml:space="preserve"> </w:t>
      </w:r>
    </w:p>
    <w:p w14:paraId="4660A7D1" w14:textId="1AE2AFC6" w:rsidR="00A05261" w:rsidRPr="00ED4D49" w:rsidRDefault="00A05261" w:rsidP="00A05261">
      <w:pPr>
        <w:ind w:left="1440" w:hanging="1440"/>
        <w:rPr>
          <w:lang w:val="en-US" w:eastAsia="en-GB"/>
        </w:rPr>
      </w:pPr>
      <w:r w:rsidRPr="00ED4D49">
        <w:rPr>
          <w:b/>
          <w:bCs/>
          <w:lang w:val="en-US" w:eastAsia="en-GB"/>
        </w:rPr>
        <w:t>Organi</w:t>
      </w:r>
      <w:r w:rsidR="00426EBD" w:rsidRPr="00ED4D49">
        <w:rPr>
          <w:b/>
          <w:bCs/>
          <w:lang w:val="en-US" w:eastAsia="en-GB"/>
        </w:rPr>
        <w:t>z</w:t>
      </w:r>
      <w:r w:rsidRPr="00ED4D49">
        <w:rPr>
          <w:b/>
          <w:bCs/>
          <w:lang w:val="en-US" w:eastAsia="en-GB"/>
        </w:rPr>
        <w:t>er:</w:t>
      </w:r>
      <w:r w:rsidRPr="00ED4D49">
        <w:rPr>
          <w:lang w:val="en-US" w:eastAsia="en-GB"/>
        </w:rPr>
        <w:t xml:space="preserve"> </w:t>
      </w:r>
      <w:r w:rsidRPr="00ED4D49">
        <w:rPr>
          <w:lang w:val="en-US" w:eastAsia="en-GB"/>
        </w:rPr>
        <w:tab/>
        <w:t>Ministry of Agriculture</w:t>
      </w:r>
      <w:r w:rsidR="00D04C89" w:rsidRPr="00ED4D49">
        <w:rPr>
          <w:lang w:val="en-US" w:eastAsia="en-GB"/>
        </w:rPr>
        <w:t xml:space="preserve">, Forestry and Water Management of </w:t>
      </w:r>
      <w:proofErr w:type="spellStart"/>
      <w:r w:rsidR="00D04C89" w:rsidRPr="00ED4D49">
        <w:rPr>
          <w:lang w:val="en-US" w:eastAsia="en-GB"/>
        </w:rPr>
        <w:t>Republika</w:t>
      </w:r>
      <w:proofErr w:type="spellEnd"/>
      <w:r w:rsidR="00D04C89" w:rsidRPr="00ED4D49">
        <w:rPr>
          <w:lang w:val="en-US" w:eastAsia="en-GB"/>
        </w:rPr>
        <w:t xml:space="preserve"> Srpska</w:t>
      </w:r>
      <w:r w:rsidRPr="00ED4D49">
        <w:rPr>
          <w:lang w:val="en-US" w:eastAsia="en-GB"/>
        </w:rPr>
        <w:t xml:space="preserve">, Project Implementation Unit </w:t>
      </w:r>
      <w:r w:rsidR="00D04C89" w:rsidRPr="00ED4D49">
        <w:rPr>
          <w:lang w:val="en-US" w:eastAsia="en-GB"/>
        </w:rPr>
        <w:t xml:space="preserve">for Agriculture Projects </w:t>
      </w:r>
      <w:r w:rsidRPr="00ED4D49">
        <w:rPr>
          <w:lang w:val="en-US" w:eastAsia="en-GB"/>
        </w:rPr>
        <w:t>(PIU)</w:t>
      </w:r>
    </w:p>
    <w:p w14:paraId="0512C755" w14:textId="490C726C" w:rsidR="00A05261" w:rsidRPr="00ED4D49" w:rsidRDefault="00A05261" w:rsidP="00A05261">
      <w:pPr>
        <w:jc w:val="both"/>
        <w:rPr>
          <w:lang w:val="en-US" w:eastAsia="en-GB"/>
        </w:rPr>
      </w:pPr>
      <w:r w:rsidRPr="00ED4D49">
        <w:rPr>
          <w:lang w:val="en-US" w:eastAsia="en-GB"/>
        </w:rPr>
        <w:t xml:space="preserve">The public consultation meeting for the set of </w:t>
      </w:r>
      <w:r w:rsidRPr="00ED4D49">
        <w:rPr>
          <w:lang w:val="en-US" w:eastAsia="x-none"/>
        </w:rPr>
        <w:t xml:space="preserve">documents that will guide the further E&amp;S due diligence during sub-project implementation based on the 2018 </w:t>
      </w:r>
      <w:r w:rsidRPr="00ED4D49">
        <w:rPr>
          <w:lang w:val="en-US" w:eastAsia="en-GB"/>
        </w:rPr>
        <w:t xml:space="preserve">World Bank </w:t>
      </w:r>
      <w:r w:rsidRPr="00ED4D49">
        <w:rPr>
          <w:lang w:val="en-US" w:eastAsia="x-none"/>
        </w:rPr>
        <w:t xml:space="preserve">E&amp;S Framework </w:t>
      </w:r>
      <w:r w:rsidRPr="00ED4D49">
        <w:rPr>
          <w:lang w:val="en-US" w:eastAsia="en-GB"/>
        </w:rPr>
        <w:t>was organi</w:t>
      </w:r>
      <w:r w:rsidR="00426EBD" w:rsidRPr="00ED4D49">
        <w:rPr>
          <w:lang w:val="en-US" w:eastAsia="en-GB"/>
        </w:rPr>
        <w:t>z</w:t>
      </w:r>
      <w:r w:rsidRPr="00ED4D49">
        <w:rPr>
          <w:lang w:val="en-US" w:eastAsia="en-GB"/>
        </w:rPr>
        <w:t xml:space="preserve">ed by the PIU </w:t>
      </w:r>
      <w:r w:rsidR="00D04C89" w:rsidRPr="00ED4D49">
        <w:rPr>
          <w:lang w:val="en-US" w:eastAsia="en-GB"/>
        </w:rPr>
        <w:t xml:space="preserve">established </w:t>
      </w:r>
      <w:r w:rsidRPr="00ED4D49">
        <w:rPr>
          <w:lang w:val="en-US" w:eastAsia="en-GB"/>
        </w:rPr>
        <w:t xml:space="preserve">under the Ministry of </w:t>
      </w:r>
      <w:r w:rsidR="00D04C89" w:rsidRPr="00ED4D49">
        <w:rPr>
          <w:lang w:val="en-US" w:eastAsia="en-GB"/>
        </w:rPr>
        <w:t xml:space="preserve">Agriculture, Forestry and Water Management of </w:t>
      </w:r>
      <w:proofErr w:type="spellStart"/>
      <w:r w:rsidR="00D04C89" w:rsidRPr="00ED4D49">
        <w:rPr>
          <w:lang w:val="en-US" w:eastAsia="en-GB"/>
        </w:rPr>
        <w:t>Republika</w:t>
      </w:r>
      <w:proofErr w:type="spellEnd"/>
      <w:r w:rsidR="00D04C89" w:rsidRPr="00ED4D49">
        <w:rPr>
          <w:lang w:val="en-US" w:eastAsia="en-GB"/>
        </w:rPr>
        <w:t xml:space="preserve"> Srpska</w:t>
      </w:r>
      <w:r w:rsidRPr="00ED4D49">
        <w:rPr>
          <w:lang w:val="en-US" w:eastAsia="en-GB"/>
        </w:rPr>
        <w:t xml:space="preserve">. The set of documents </w:t>
      </w:r>
      <w:r w:rsidR="00D04C89" w:rsidRPr="00ED4D49">
        <w:rPr>
          <w:lang w:val="en-US" w:eastAsia="en-GB"/>
        </w:rPr>
        <w:t xml:space="preserve">in both English and local language </w:t>
      </w:r>
      <w:r w:rsidRPr="00ED4D49">
        <w:rPr>
          <w:lang w:val="en-US" w:eastAsia="en-GB"/>
        </w:rPr>
        <w:t xml:space="preserve">was published </w:t>
      </w:r>
      <w:r w:rsidR="00C96B0B" w:rsidRPr="00ED4D49">
        <w:rPr>
          <w:lang w:val="en-US" w:eastAsia="en-GB"/>
        </w:rPr>
        <w:t>on</w:t>
      </w:r>
      <w:r w:rsidRPr="00ED4D49">
        <w:rPr>
          <w:lang w:val="en-US" w:eastAsia="en-GB"/>
        </w:rPr>
        <w:t xml:space="preserve"> the website of the Ministry</w:t>
      </w:r>
      <w:r w:rsidR="00D04C89" w:rsidRPr="00ED4D49">
        <w:rPr>
          <w:lang w:val="en-US" w:eastAsia="en-GB"/>
        </w:rPr>
        <w:t>. The invitation to the public consultation meeting was sen</w:t>
      </w:r>
      <w:r w:rsidR="00754124" w:rsidRPr="00ED4D49">
        <w:rPr>
          <w:lang w:val="en-US" w:eastAsia="en-GB"/>
        </w:rPr>
        <w:t>t</w:t>
      </w:r>
      <w:r w:rsidR="00D04C89" w:rsidRPr="00ED4D49">
        <w:rPr>
          <w:lang w:val="en-US" w:eastAsia="en-GB"/>
        </w:rPr>
        <w:t xml:space="preserve"> officially to the address</w:t>
      </w:r>
      <w:r w:rsidR="00754124" w:rsidRPr="00ED4D49">
        <w:rPr>
          <w:lang w:val="en-US" w:eastAsia="en-GB"/>
        </w:rPr>
        <w:t>es</w:t>
      </w:r>
      <w:r w:rsidR="00D04C89" w:rsidRPr="00ED4D49">
        <w:rPr>
          <w:lang w:val="en-US" w:eastAsia="en-GB"/>
        </w:rPr>
        <w:t xml:space="preserve"> of 20 local </w:t>
      </w:r>
      <w:r w:rsidR="00426EBD" w:rsidRPr="00ED4D49">
        <w:rPr>
          <w:lang w:val="en-US" w:eastAsia="en-GB"/>
        </w:rPr>
        <w:t xml:space="preserve">self-governments </w:t>
      </w:r>
      <w:r w:rsidR="00D04C89" w:rsidRPr="00ED4D49">
        <w:rPr>
          <w:lang w:val="en-US" w:eastAsia="en-GB"/>
        </w:rPr>
        <w:t xml:space="preserve">from the Sava and Drina </w:t>
      </w:r>
      <w:r w:rsidR="00754124" w:rsidRPr="00ED4D49">
        <w:rPr>
          <w:lang w:val="en-US" w:eastAsia="en-GB"/>
        </w:rPr>
        <w:t>R</w:t>
      </w:r>
      <w:r w:rsidR="00D04C89" w:rsidRPr="00ED4D49">
        <w:rPr>
          <w:lang w:val="en-US" w:eastAsia="en-GB"/>
        </w:rPr>
        <w:t xml:space="preserve">iver </w:t>
      </w:r>
      <w:r w:rsidR="00754124" w:rsidRPr="00ED4D49">
        <w:rPr>
          <w:lang w:val="en-US" w:eastAsia="en-GB"/>
        </w:rPr>
        <w:t>B</w:t>
      </w:r>
      <w:r w:rsidR="00D04C89" w:rsidRPr="00ED4D49">
        <w:rPr>
          <w:lang w:val="en-US" w:eastAsia="en-GB"/>
        </w:rPr>
        <w:t>asins</w:t>
      </w:r>
      <w:r w:rsidRPr="00ED4D49">
        <w:rPr>
          <w:lang w:val="en-US" w:eastAsia="en-GB"/>
        </w:rPr>
        <w:t xml:space="preserve">, providing relevant information about the location of the document, as well as the time and venue of the public meeting. </w:t>
      </w:r>
      <w:r w:rsidR="00FC4C82" w:rsidRPr="00ED4D49">
        <w:rPr>
          <w:lang w:val="en-US" w:eastAsia="en-GB"/>
        </w:rPr>
        <w:t xml:space="preserve">Representatives of </w:t>
      </w:r>
      <w:r w:rsidR="00BB1969" w:rsidRPr="00ED4D49">
        <w:rPr>
          <w:lang w:val="en-US" w:eastAsia="en-GB"/>
        </w:rPr>
        <w:t xml:space="preserve">6 key local </w:t>
      </w:r>
      <w:r w:rsidR="00426EBD" w:rsidRPr="00ED4D49">
        <w:rPr>
          <w:lang w:val="en-US" w:eastAsia="en-GB"/>
        </w:rPr>
        <w:t xml:space="preserve">self-governments </w:t>
      </w:r>
      <w:r w:rsidR="00BB1969" w:rsidRPr="00ED4D49">
        <w:rPr>
          <w:lang w:val="en-US" w:eastAsia="en-GB"/>
        </w:rPr>
        <w:t xml:space="preserve">were </w:t>
      </w:r>
      <w:r w:rsidR="00FC4C82" w:rsidRPr="00ED4D49">
        <w:rPr>
          <w:lang w:val="en-US" w:eastAsia="en-GB"/>
        </w:rPr>
        <w:t>present at</w:t>
      </w:r>
      <w:r w:rsidR="00BB1969" w:rsidRPr="00ED4D49">
        <w:rPr>
          <w:lang w:val="en-US" w:eastAsia="en-GB"/>
        </w:rPr>
        <w:t xml:space="preserve"> the meeting.</w:t>
      </w:r>
    </w:p>
    <w:p w14:paraId="3C75C984" w14:textId="035B5CA3" w:rsidR="00A05261" w:rsidRPr="00ED4D49" w:rsidRDefault="00A05261" w:rsidP="00A05261">
      <w:pPr>
        <w:jc w:val="both"/>
        <w:rPr>
          <w:lang w:val="en-US" w:eastAsia="en-GB"/>
        </w:rPr>
      </w:pPr>
      <w:r w:rsidRPr="00ED4D49">
        <w:rPr>
          <w:lang w:val="en-US" w:eastAsia="en-GB"/>
        </w:rPr>
        <w:t xml:space="preserve">The introductory note and welcome speech at the public meeting </w:t>
      </w:r>
      <w:r w:rsidR="00DF7957" w:rsidRPr="00ED4D49">
        <w:rPr>
          <w:lang w:val="en-US" w:eastAsia="en-GB"/>
        </w:rPr>
        <w:t>were</w:t>
      </w:r>
      <w:r w:rsidRPr="00ED4D49">
        <w:rPr>
          <w:lang w:val="en-US" w:eastAsia="en-GB"/>
        </w:rPr>
        <w:t xml:space="preserve"> given by the </w:t>
      </w:r>
      <w:r w:rsidR="00D839F2" w:rsidRPr="00ED4D49">
        <w:rPr>
          <w:lang w:val="en-US" w:eastAsia="en-GB"/>
        </w:rPr>
        <w:t>Director</w:t>
      </w:r>
      <w:r w:rsidR="00D04C89" w:rsidRPr="00ED4D49">
        <w:rPr>
          <w:lang w:val="en-US" w:eastAsia="en-GB"/>
        </w:rPr>
        <w:t xml:space="preserve"> </w:t>
      </w:r>
      <w:r w:rsidR="00D839F2" w:rsidRPr="00ED4D49">
        <w:rPr>
          <w:lang w:val="en-US" w:eastAsia="en-GB"/>
        </w:rPr>
        <w:t>of the Implementation Unit for Agriculture Projects</w:t>
      </w:r>
      <w:r w:rsidR="00D04C89" w:rsidRPr="00ED4D49">
        <w:rPr>
          <w:lang w:val="en-US" w:eastAsia="en-GB"/>
        </w:rPr>
        <w:t xml:space="preserve"> in the Ministry of Agriculture, Forestry and Water Management </w:t>
      </w:r>
      <w:r w:rsidRPr="00ED4D49">
        <w:rPr>
          <w:lang w:val="en-US" w:eastAsia="en-GB"/>
        </w:rPr>
        <w:t xml:space="preserve">– </w:t>
      </w:r>
      <w:r w:rsidR="00B71C89" w:rsidRPr="00ED4D49">
        <w:rPr>
          <w:color w:val="35679A"/>
          <w:lang w:val="en-US" w:eastAsia="en-GB"/>
        </w:rPr>
        <w:t>Mr.</w:t>
      </w:r>
      <w:r w:rsidRPr="00ED4D49">
        <w:rPr>
          <w:color w:val="35679A"/>
          <w:lang w:val="en-US" w:eastAsia="en-GB"/>
        </w:rPr>
        <w:t xml:space="preserve"> </w:t>
      </w:r>
      <w:r w:rsidR="00D839F2" w:rsidRPr="00ED4D49">
        <w:rPr>
          <w:color w:val="35679A"/>
          <w:lang w:val="en-US" w:eastAsia="en-GB"/>
        </w:rPr>
        <w:t>Stefan Mitrović</w:t>
      </w:r>
      <w:r w:rsidRPr="00ED4D49">
        <w:rPr>
          <w:lang w:val="en-US" w:eastAsia="en-GB"/>
        </w:rPr>
        <w:t>. Mr</w:t>
      </w:r>
      <w:r w:rsidR="00DF7957" w:rsidRPr="00ED4D49">
        <w:rPr>
          <w:lang w:val="en-US" w:eastAsia="en-GB"/>
        </w:rPr>
        <w:t>.</w:t>
      </w:r>
      <w:r w:rsidRPr="00ED4D49">
        <w:rPr>
          <w:lang w:val="en-US" w:eastAsia="en-GB"/>
        </w:rPr>
        <w:t xml:space="preserve"> </w:t>
      </w:r>
      <w:r w:rsidR="00D04C89" w:rsidRPr="00ED4D49">
        <w:rPr>
          <w:lang w:val="en-US" w:eastAsia="en-GB"/>
        </w:rPr>
        <w:t>Gavrić</w:t>
      </w:r>
      <w:r w:rsidRPr="00ED4D49">
        <w:rPr>
          <w:lang w:val="en-US" w:eastAsia="en-GB"/>
        </w:rPr>
        <w:t xml:space="preserve"> greeted the Municipality representatives, participants, representatives of the World Bank and the expert working on the mentioned documents. He provided basic information about the World Bank support and guidance in the preparation of the SDIP project, its aims and envisioned results. In addition, </w:t>
      </w:r>
      <w:r w:rsidR="00D04C89" w:rsidRPr="00ED4D49">
        <w:rPr>
          <w:lang w:val="en-US" w:eastAsia="en-GB"/>
        </w:rPr>
        <w:t>the</w:t>
      </w:r>
      <w:r w:rsidRPr="00ED4D49">
        <w:rPr>
          <w:lang w:val="en-US" w:eastAsia="en-GB"/>
        </w:rPr>
        <w:t xml:space="preserve"> components of the SDIP project and the preparatory work conducted by the expert team in the past period were presented, which resulted in the selection of sub-projects that will be implemented and development of all the key documents essential for the start of the SDIP project implementation. This information served as an introduction for the detailed presentation of the documents.</w:t>
      </w:r>
    </w:p>
    <w:p w14:paraId="0DC0AB4B" w14:textId="178BEE3B" w:rsidR="00A05261" w:rsidRPr="00ED4D49" w:rsidRDefault="00A05261" w:rsidP="00A05261">
      <w:pPr>
        <w:jc w:val="both"/>
        <w:rPr>
          <w:lang w:val="en-US" w:eastAsia="x-none"/>
        </w:rPr>
      </w:pPr>
      <w:proofErr w:type="spellStart"/>
      <w:r w:rsidRPr="00ED4D49">
        <w:rPr>
          <w:color w:val="35679A"/>
          <w:lang w:val="en-US" w:eastAsia="en-GB"/>
        </w:rPr>
        <w:t>Ms</w:t>
      </w:r>
      <w:proofErr w:type="spellEnd"/>
      <w:r w:rsidRPr="00ED4D49">
        <w:rPr>
          <w:color w:val="35679A"/>
          <w:lang w:val="en-US" w:eastAsia="en-GB"/>
        </w:rPr>
        <w:t xml:space="preserve"> Irem Silajdžić</w:t>
      </w:r>
      <w:r w:rsidRPr="00ED4D49">
        <w:rPr>
          <w:lang w:val="en-US" w:eastAsia="en-GB"/>
        </w:rPr>
        <w:t xml:space="preserve">, the E&amp;S specialist engaged by the </w:t>
      </w:r>
      <w:r w:rsidR="00D04C89" w:rsidRPr="00ED4D49">
        <w:rPr>
          <w:lang w:val="en-US" w:eastAsia="en-GB"/>
        </w:rPr>
        <w:t xml:space="preserve">Ministry of Agriculture, Forestry and Water Management of </w:t>
      </w:r>
      <w:proofErr w:type="spellStart"/>
      <w:r w:rsidR="00D04C89" w:rsidRPr="00ED4D49">
        <w:rPr>
          <w:lang w:val="en-US" w:eastAsia="en-GB"/>
        </w:rPr>
        <w:t>Republika</w:t>
      </w:r>
      <w:proofErr w:type="spellEnd"/>
      <w:r w:rsidR="00D04C89" w:rsidRPr="00ED4D49">
        <w:rPr>
          <w:lang w:val="en-US" w:eastAsia="en-GB"/>
        </w:rPr>
        <w:t xml:space="preserve"> Srpska </w:t>
      </w:r>
      <w:r w:rsidRPr="00ED4D49">
        <w:rPr>
          <w:lang w:val="en-US" w:eastAsia="en-GB"/>
        </w:rPr>
        <w:t xml:space="preserve">to work on the documents presented the main scope and results of her work. </w:t>
      </w:r>
      <w:proofErr w:type="spellStart"/>
      <w:r w:rsidRPr="00ED4D49">
        <w:rPr>
          <w:lang w:val="en-US" w:eastAsia="en-GB"/>
        </w:rPr>
        <w:t>Ms</w:t>
      </w:r>
      <w:proofErr w:type="spellEnd"/>
      <w:r w:rsidRPr="00ED4D49">
        <w:rPr>
          <w:lang w:val="en-US" w:eastAsia="en-GB"/>
        </w:rPr>
        <w:t xml:space="preserve"> Silajdžić provided relevant background information on the SDIP project and the selected sub-projects that will be implemented in Montenegro and relevant background information on </w:t>
      </w:r>
      <w:r w:rsidRPr="00ED4D49">
        <w:rPr>
          <w:lang w:val="en-US" w:eastAsia="x-none"/>
        </w:rPr>
        <w:t xml:space="preserve">the World Bank requirements. Following the introductory review, </w:t>
      </w:r>
      <w:proofErr w:type="spellStart"/>
      <w:r w:rsidRPr="00ED4D49">
        <w:rPr>
          <w:lang w:val="en-US" w:eastAsia="x-none"/>
        </w:rPr>
        <w:t>Ms</w:t>
      </w:r>
      <w:proofErr w:type="spellEnd"/>
      <w:r w:rsidRPr="00ED4D49">
        <w:rPr>
          <w:lang w:val="en-US" w:eastAsia="x-none"/>
        </w:rPr>
        <w:t xml:space="preserve"> </w:t>
      </w:r>
      <w:proofErr w:type="spellStart"/>
      <w:r w:rsidRPr="00ED4D49">
        <w:rPr>
          <w:lang w:val="en-US" w:eastAsia="x-none"/>
        </w:rPr>
        <w:t>Silajdzic</w:t>
      </w:r>
      <w:proofErr w:type="spellEnd"/>
      <w:r w:rsidRPr="00ED4D49">
        <w:rPr>
          <w:lang w:val="en-US" w:eastAsia="x-none"/>
        </w:rPr>
        <w:t xml:space="preserve"> presented each of the documents listed below: </w:t>
      </w:r>
    </w:p>
    <w:p w14:paraId="337803A9" w14:textId="77777777" w:rsidR="00A05261" w:rsidRPr="00ED4D49" w:rsidRDefault="00A05261" w:rsidP="00190B9D">
      <w:pPr>
        <w:pStyle w:val="Bullets"/>
      </w:pPr>
      <w:r w:rsidRPr="00ED4D49">
        <w:t>the Environmental and Social Management Framework (ESMF)</w:t>
      </w:r>
    </w:p>
    <w:p w14:paraId="1E3132B4" w14:textId="77777777" w:rsidR="00A05261" w:rsidRPr="00ED4D49" w:rsidRDefault="00A05261" w:rsidP="00190B9D">
      <w:pPr>
        <w:pStyle w:val="Bullets"/>
      </w:pPr>
      <w:r w:rsidRPr="00ED4D49">
        <w:t>the Environmental and Social Commitment Plan (ESCP)</w:t>
      </w:r>
    </w:p>
    <w:p w14:paraId="6072E1BB" w14:textId="77777777" w:rsidR="00A05261" w:rsidRPr="00ED4D49" w:rsidRDefault="00A05261" w:rsidP="00190B9D">
      <w:pPr>
        <w:pStyle w:val="Bullets"/>
      </w:pPr>
      <w:r w:rsidRPr="00ED4D49">
        <w:t>the Stakeholder Engagement Plan (SEP)</w:t>
      </w:r>
    </w:p>
    <w:p w14:paraId="324AA192" w14:textId="77777777" w:rsidR="00A05261" w:rsidRPr="00ED4D49" w:rsidRDefault="00A05261" w:rsidP="00190B9D">
      <w:pPr>
        <w:pStyle w:val="Bullets"/>
      </w:pPr>
      <w:r w:rsidRPr="00ED4D49">
        <w:t>the Resettlement Policy Framework (RPF)</w:t>
      </w:r>
    </w:p>
    <w:p w14:paraId="74252152" w14:textId="698E5EE7" w:rsidR="00A05261" w:rsidRPr="00ED4D49" w:rsidRDefault="00A05261" w:rsidP="00190B9D">
      <w:pPr>
        <w:pStyle w:val="Bullets"/>
      </w:pPr>
      <w:r w:rsidRPr="00ED4D49">
        <w:t>the Labor Management Plan (LMP)</w:t>
      </w:r>
    </w:p>
    <w:p w14:paraId="4F7C4B56" w14:textId="26709F71" w:rsidR="00A05261" w:rsidRPr="00ED4D49" w:rsidRDefault="00A05261" w:rsidP="00A05261">
      <w:pPr>
        <w:jc w:val="both"/>
        <w:rPr>
          <w:lang w:val="en-US" w:eastAsia="en-GB"/>
        </w:rPr>
      </w:pPr>
      <w:r w:rsidRPr="00ED4D49">
        <w:rPr>
          <w:lang w:val="en-US" w:eastAsia="en-GB"/>
        </w:rPr>
        <w:t xml:space="preserve">The focus of her presentation was on the results of the E&amp;S assessment of the known </w:t>
      </w:r>
      <w:r w:rsidR="00BB1969" w:rsidRPr="00ED4D49">
        <w:rPr>
          <w:lang w:val="en-US" w:eastAsia="en-GB"/>
        </w:rPr>
        <w:t>sub-</w:t>
      </w:r>
      <w:r w:rsidRPr="00ED4D49">
        <w:rPr>
          <w:lang w:val="en-US" w:eastAsia="en-GB"/>
        </w:rPr>
        <w:t xml:space="preserve">projects and the framework procedures that will guide further implementation of each </w:t>
      </w:r>
      <w:r w:rsidR="00BB1969" w:rsidRPr="00ED4D49">
        <w:rPr>
          <w:lang w:val="en-US" w:eastAsia="en-GB"/>
        </w:rPr>
        <w:t>of them</w:t>
      </w:r>
      <w:r w:rsidRPr="00ED4D49">
        <w:rPr>
          <w:lang w:val="en-US" w:eastAsia="en-GB"/>
        </w:rPr>
        <w:t xml:space="preserve"> in the domains of E&amp;S risk assessment, stakeholder engagement, resettlement and labor management. The special focus of her presentation was related to the obligations of the PIU and the role of </w:t>
      </w:r>
      <w:r w:rsidR="00BB1969" w:rsidRPr="00ED4D49">
        <w:rPr>
          <w:lang w:val="en-US" w:eastAsia="en-GB"/>
        </w:rPr>
        <w:t>local self-government</w:t>
      </w:r>
      <w:r w:rsidRPr="00ED4D49">
        <w:rPr>
          <w:lang w:val="en-US" w:eastAsia="en-GB"/>
        </w:rPr>
        <w:t xml:space="preserve"> in this process.  </w:t>
      </w:r>
    </w:p>
    <w:p w14:paraId="5EEBDFED" w14:textId="77777777" w:rsidR="00426EBD" w:rsidRPr="00ED4D49" w:rsidRDefault="00426EBD" w:rsidP="00426EBD">
      <w:pPr>
        <w:jc w:val="both"/>
        <w:rPr>
          <w:rFonts w:asciiTheme="minorHAnsi" w:hAnsiTheme="minorHAnsi" w:cstheme="minorHAnsi"/>
          <w:lang w:val="en-US" w:eastAsia="en-GB"/>
        </w:rPr>
      </w:pPr>
      <w:r w:rsidRPr="00ED4D49">
        <w:rPr>
          <w:rFonts w:asciiTheme="minorHAnsi" w:hAnsiTheme="minorHAnsi" w:cstheme="minorHAnsi"/>
          <w:lang w:val="en-US" w:eastAsia="en-GB"/>
        </w:rPr>
        <w:t xml:space="preserve">Following the presentation, the discussion was initiated by </w:t>
      </w:r>
      <w:proofErr w:type="spellStart"/>
      <w:r w:rsidRPr="00ED4D49">
        <w:rPr>
          <w:rFonts w:asciiTheme="minorHAnsi" w:hAnsiTheme="minorHAnsi" w:cstheme="minorHAnsi"/>
          <w:color w:val="35679A"/>
          <w:lang w:val="en-US" w:eastAsia="en-GB"/>
        </w:rPr>
        <w:t>Ms</w:t>
      </w:r>
      <w:proofErr w:type="spellEnd"/>
      <w:r w:rsidRPr="00ED4D49">
        <w:rPr>
          <w:rFonts w:asciiTheme="minorHAnsi" w:hAnsiTheme="minorHAnsi" w:cstheme="minorHAnsi"/>
          <w:color w:val="35679A"/>
          <w:lang w:val="en-US" w:eastAsia="en-GB"/>
        </w:rPr>
        <w:t xml:space="preserve"> Dragana Milošević </w:t>
      </w:r>
      <w:r w:rsidRPr="00ED4D49">
        <w:rPr>
          <w:rFonts w:asciiTheme="minorHAnsi" w:hAnsiTheme="minorHAnsi" w:cstheme="minorHAnsi"/>
          <w:lang w:val="en-US" w:eastAsia="en-GB"/>
        </w:rPr>
        <w:t xml:space="preserve">from the City of Zvornik. She noted that the SDIP project will extend to two phases and she expressed interest on behalf of her local self- government to take part in the second phase. Some of the potential projects are related to clean-up of the old solid waste dumpsite, (nautical) tourism development and flood protection. </w:t>
      </w:r>
    </w:p>
    <w:p w14:paraId="3734BF4F" w14:textId="2A72585B" w:rsidR="00426EBD" w:rsidRPr="00ED4D49" w:rsidRDefault="00B71C89" w:rsidP="00426EBD">
      <w:pPr>
        <w:jc w:val="both"/>
        <w:rPr>
          <w:rFonts w:asciiTheme="minorHAnsi" w:hAnsiTheme="minorHAnsi" w:cstheme="minorHAnsi"/>
          <w:lang w:val="en-US" w:eastAsia="en-GB"/>
        </w:rPr>
      </w:pPr>
      <w:r w:rsidRPr="00ED4D49">
        <w:rPr>
          <w:rFonts w:asciiTheme="minorHAnsi" w:hAnsiTheme="minorHAnsi" w:cstheme="minorHAnsi"/>
          <w:color w:val="35679A"/>
          <w:lang w:val="en-US" w:eastAsia="en-GB"/>
        </w:rPr>
        <w:t>Mr.</w:t>
      </w:r>
      <w:r w:rsidR="00426EBD" w:rsidRPr="00ED4D49">
        <w:rPr>
          <w:rFonts w:asciiTheme="minorHAnsi" w:hAnsiTheme="minorHAnsi" w:cstheme="minorHAnsi"/>
          <w:color w:val="35679A"/>
          <w:lang w:val="en-US" w:eastAsia="en-GB"/>
        </w:rPr>
        <w:t xml:space="preserve"> Milan Gavrić</w:t>
      </w:r>
      <w:r w:rsidR="00426EBD" w:rsidRPr="00ED4D49">
        <w:rPr>
          <w:rFonts w:asciiTheme="minorHAnsi" w:hAnsiTheme="minorHAnsi" w:cstheme="minorHAnsi"/>
          <w:lang w:val="en-US" w:eastAsia="en-GB"/>
        </w:rPr>
        <w:t xml:space="preserve">, the deputy minister for water management in the Ministry of Agriculture, Forestry and Water Management, welcomed the interest of the City of Zvornik. He informed </w:t>
      </w:r>
      <w:proofErr w:type="spellStart"/>
      <w:r w:rsidR="00426EBD" w:rsidRPr="00ED4D49">
        <w:rPr>
          <w:rFonts w:asciiTheme="minorHAnsi" w:hAnsiTheme="minorHAnsi" w:cstheme="minorHAnsi"/>
          <w:lang w:val="en-US" w:eastAsia="en-GB"/>
        </w:rPr>
        <w:t>Ms</w:t>
      </w:r>
      <w:proofErr w:type="spellEnd"/>
      <w:r w:rsidR="00426EBD" w:rsidRPr="00ED4D49">
        <w:rPr>
          <w:rFonts w:asciiTheme="minorHAnsi" w:hAnsiTheme="minorHAnsi" w:cstheme="minorHAnsi"/>
          <w:lang w:val="en-US" w:eastAsia="en-GB"/>
        </w:rPr>
        <w:t xml:space="preserve"> Milošević about the steps each local self-government needs to undertake to nominate projects for future phases of the SDIP. The sub-projects are selected in consultation with relevant Ministries and the main criteria was their readiness. For example, for </w:t>
      </w:r>
      <w:r w:rsidR="00426EBD" w:rsidRPr="00ED4D49">
        <w:rPr>
          <w:rFonts w:asciiTheme="minorHAnsi" w:hAnsiTheme="minorHAnsi" w:cstheme="minorHAnsi"/>
          <w:lang w:val="en-US" w:eastAsia="en-GB"/>
        </w:rPr>
        <w:lastRenderedPageBreak/>
        <w:t xml:space="preserve">projects such as nautical tourism, the relevant ministry is the Ministry of Transport and Communication of </w:t>
      </w:r>
      <w:proofErr w:type="spellStart"/>
      <w:r w:rsidR="00426EBD" w:rsidRPr="00ED4D49">
        <w:rPr>
          <w:rFonts w:asciiTheme="minorHAnsi" w:hAnsiTheme="minorHAnsi" w:cstheme="minorHAnsi"/>
          <w:lang w:val="en-US" w:eastAsia="en-GB"/>
        </w:rPr>
        <w:t>Republika</w:t>
      </w:r>
      <w:proofErr w:type="spellEnd"/>
      <w:r w:rsidR="00426EBD" w:rsidRPr="00ED4D49">
        <w:rPr>
          <w:rFonts w:asciiTheme="minorHAnsi" w:hAnsiTheme="minorHAnsi" w:cstheme="minorHAnsi"/>
          <w:lang w:val="en-US" w:eastAsia="en-GB"/>
        </w:rPr>
        <w:t xml:space="preserve"> Srpska, while for tourism development it is the Ministry of Trade and Tourism of </w:t>
      </w:r>
      <w:proofErr w:type="spellStart"/>
      <w:r w:rsidR="00426EBD" w:rsidRPr="00ED4D49">
        <w:rPr>
          <w:rFonts w:asciiTheme="minorHAnsi" w:hAnsiTheme="minorHAnsi" w:cstheme="minorHAnsi"/>
          <w:lang w:val="en-US" w:eastAsia="en-GB"/>
        </w:rPr>
        <w:t>Republika</w:t>
      </w:r>
      <w:proofErr w:type="spellEnd"/>
      <w:r w:rsidR="00426EBD" w:rsidRPr="00ED4D49">
        <w:rPr>
          <w:rFonts w:asciiTheme="minorHAnsi" w:hAnsiTheme="minorHAnsi" w:cstheme="minorHAnsi"/>
          <w:lang w:val="en-US" w:eastAsia="en-GB"/>
        </w:rPr>
        <w:t xml:space="preserve"> Srpska. Each project needs to fulfil formal and legal procedures before becoming a candidate for implementation under the SDIP.</w:t>
      </w:r>
    </w:p>
    <w:p w14:paraId="2A6ECC4F" w14:textId="5A1F9ADD" w:rsidR="0012031D" w:rsidRPr="00ED4D49" w:rsidRDefault="0012031D" w:rsidP="00BB1969">
      <w:pPr>
        <w:jc w:val="both"/>
        <w:rPr>
          <w:lang w:val="en-US" w:eastAsia="en-GB"/>
        </w:rPr>
      </w:pPr>
      <w:r w:rsidRPr="00ED4D49">
        <w:rPr>
          <w:color w:val="35679A"/>
          <w:lang w:val="en-US" w:eastAsia="en-GB"/>
        </w:rPr>
        <w:t>Mr</w:t>
      </w:r>
      <w:r w:rsidR="007C1614" w:rsidRPr="00ED4D49">
        <w:rPr>
          <w:color w:val="35679A"/>
          <w:lang w:val="en-US" w:eastAsia="en-GB"/>
        </w:rPr>
        <w:t>.</w:t>
      </w:r>
      <w:r w:rsidRPr="00ED4D49">
        <w:rPr>
          <w:color w:val="35679A"/>
          <w:lang w:val="en-US" w:eastAsia="en-GB"/>
        </w:rPr>
        <w:t xml:space="preserve"> Branislav Marović</w:t>
      </w:r>
      <w:r w:rsidRPr="00ED4D49">
        <w:rPr>
          <w:lang w:val="en-US" w:eastAsia="en-GB"/>
        </w:rPr>
        <w:t xml:space="preserve">, </w:t>
      </w:r>
      <w:r w:rsidR="00DF7957" w:rsidRPr="00ED4D49">
        <w:rPr>
          <w:lang w:val="en-US" w:eastAsia="en-GB"/>
        </w:rPr>
        <w:t>an</w:t>
      </w:r>
      <w:r w:rsidRPr="00ED4D49">
        <w:rPr>
          <w:lang w:val="en-US" w:eastAsia="en-GB"/>
        </w:rPr>
        <w:t xml:space="preserve"> architect from the City of Zvornik</w:t>
      </w:r>
      <w:r w:rsidR="007C1614" w:rsidRPr="00ED4D49">
        <w:rPr>
          <w:lang w:val="en-US" w:eastAsia="en-GB"/>
        </w:rPr>
        <w:t>,</w:t>
      </w:r>
      <w:r w:rsidRPr="00ED4D49">
        <w:rPr>
          <w:lang w:val="en-US" w:eastAsia="en-GB"/>
        </w:rPr>
        <w:t xml:space="preserve"> added that sub-projects on reforestation are of great importance </w:t>
      </w:r>
      <w:r w:rsidR="005C115E" w:rsidRPr="00ED4D49">
        <w:rPr>
          <w:lang w:val="en-US" w:eastAsia="en-GB"/>
        </w:rPr>
        <w:t xml:space="preserve">and he praised the fact that those are included in the SDIP. </w:t>
      </w:r>
      <w:r w:rsidR="007C1614" w:rsidRPr="00ED4D49">
        <w:rPr>
          <w:lang w:val="en-US" w:eastAsia="en-GB"/>
        </w:rPr>
        <w:t>He</w:t>
      </w:r>
      <w:r w:rsidR="005C115E" w:rsidRPr="00ED4D49">
        <w:rPr>
          <w:lang w:val="en-US" w:eastAsia="en-GB"/>
        </w:rPr>
        <w:t xml:space="preserve"> mentioned</w:t>
      </w:r>
      <w:r w:rsidR="007C1614" w:rsidRPr="00ED4D49">
        <w:rPr>
          <w:lang w:val="en-US" w:eastAsia="en-GB"/>
        </w:rPr>
        <w:t xml:space="preserve"> the</w:t>
      </w:r>
      <w:r w:rsidR="005C115E" w:rsidRPr="00ED4D49">
        <w:rPr>
          <w:lang w:val="en-US" w:eastAsia="en-GB"/>
        </w:rPr>
        <w:t xml:space="preserve"> importance of wastewater treatment and necessity to build plants in order to protect</w:t>
      </w:r>
      <w:r w:rsidR="007C1614" w:rsidRPr="00ED4D49">
        <w:rPr>
          <w:lang w:val="en-US" w:eastAsia="en-GB"/>
        </w:rPr>
        <w:t xml:space="preserve"> the</w:t>
      </w:r>
      <w:r w:rsidR="005C115E" w:rsidRPr="00ED4D49">
        <w:rPr>
          <w:lang w:val="en-US" w:eastAsia="en-GB"/>
        </w:rPr>
        <w:t xml:space="preserve"> Drina </w:t>
      </w:r>
      <w:r w:rsidR="007C1614" w:rsidRPr="00ED4D49">
        <w:rPr>
          <w:lang w:val="en-US" w:eastAsia="en-GB"/>
        </w:rPr>
        <w:t>R</w:t>
      </w:r>
      <w:r w:rsidR="005C115E" w:rsidRPr="00ED4D49">
        <w:rPr>
          <w:lang w:val="en-US" w:eastAsia="en-GB"/>
        </w:rPr>
        <w:t>iver from municipal and industrial pollution.</w:t>
      </w:r>
    </w:p>
    <w:p w14:paraId="0783775E" w14:textId="11FFD93B" w:rsidR="00A05261" w:rsidRPr="00ED4D49" w:rsidRDefault="005C115E" w:rsidP="00A05261">
      <w:pPr>
        <w:jc w:val="both"/>
        <w:rPr>
          <w:lang w:val="en-US" w:eastAsia="en-GB"/>
        </w:rPr>
      </w:pPr>
      <w:r w:rsidRPr="00ED4D49">
        <w:rPr>
          <w:color w:val="35679A"/>
          <w:lang w:val="en-US" w:eastAsia="en-GB"/>
        </w:rPr>
        <w:t>Mr</w:t>
      </w:r>
      <w:r w:rsidR="007C1614" w:rsidRPr="00ED4D49">
        <w:rPr>
          <w:color w:val="35679A"/>
          <w:lang w:val="en-US" w:eastAsia="en-GB"/>
        </w:rPr>
        <w:t>.</w:t>
      </w:r>
      <w:r w:rsidRPr="00ED4D49">
        <w:rPr>
          <w:color w:val="35679A"/>
          <w:lang w:val="en-US" w:eastAsia="en-GB"/>
        </w:rPr>
        <w:t xml:space="preserve"> Milan Gavrić </w:t>
      </w:r>
      <w:r w:rsidRPr="00ED4D49">
        <w:rPr>
          <w:lang w:val="en-US" w:eastAsia="en-GB"/>
        </w:rPr>
        <w:t xml:space="preserve">said that the </w:t>
      </w:r>
      <w:r w:rsidR="006070F1" w:rsidRPr="00ED4D49">
        <w:rPr>
          <w:lang w:val="en-US" w:eastAsia="en-GB"/>
        </w:rPr>
        <w:t>M</w:t>
      </w:r>
      <w:r w:rsidRPr="00ED4D49">
        <w:rPr>
          <w:lang w:val="en-US" w:eastAsia="en-GB"/>
        </w:rPr>
        <w:t>inistry ha</w:t>
      </w:r>
      <w:r w:rsidR="006070F1" w:rsidRPr="00ED4D49">
        <w:rPr>
          <w:lang w:val="en-US" w:eastAsia="en-GB"/>
        </w:rPr>
        <w:t>s</w:t>
      </w:r>
      <w:r w:rsidRPr="00ED4D49">
        <w:rPr>
          <w:lang w:val="en-US" w:eastAsia="en-GB"/>
        </w:rPr>
        <w:t xml:space="preserve"> recognized the need of reforestation and nominated three relevant projects. Related to the wastewater treatment plants, he said that </w:t>
      </w:r>
      <w:r w:rsidR="006070F1" w:rsidRPr="00ED4D49">
        <w:rPr>
          <w:lang w:val="en-US" w:eastAsia="en-GB"/>
        </w:rPr>
        <w:t xml:space="preserve">the </w:t>
      </w:r>
      <w:r w:rsidRPr="00ED4D49">
        <w:rPr>
          <w:lang w:val="en-US" w:eastAsia="en-GB"/>
        </w:rPr>
        <w:t>number of international</w:t>
      </w:r>
      <w:r w:rsidR="00B44238" w:rsidRPr="00ED4D49">
        <w:rPr>
          <w:lang w:val="en-US" w:eastAsia="en-GB"/>
        </w:rPr>
        <w:t xml:space="preserve"> wastewater treatment</w:t>
      </w:r>
      <w:r w:rsidRPr="00ED4D49">
        <w:rPr>
          <w:lang w:val="en-US" w:eastAsia="en-GB"/>
        </w:rPr>
        <w:t xml:space="preserve"> projects including </w:t>
      </w:r>
      <w:r w:rsidR="006070F1" w:rsidRPr="00ED4D49">
        <w:rPr>
          <w:lang w:val="en-US" w:eastAsia="en-GB"/>
        </w:rPr>
        <w:t xml:space="preserve">the </w:t>
      </w:r>
      <w:r w:rsidRPr="00ED4D49">
        <w:rPr>
          <w:lang w:val="en-US" w:eastAsia="en-GB"/>
        </w:rPr>
        <w:t xml:space="preserve">WATSAN project are implemented in BiH. It is up to the local self-government to prepare </w:t>
      </w:r>
      <w:r w:rsidR="00B44238" w:rsidRPr="00ED4D49">
        <w:rPr>
          <w:lang w:val="en-US" w:eastAsia="en-GB"/>
        </w:rPr>
        <w:t xml:space="preserve">the </w:t>
      </w:r>
      <w:r w:rsidRPr="00ED4D49">
        <w:rPr>
          <w:lang w:val="en-US" w:eastAsia="en-GB"/>
        </w:rPr>
        <w:t xml:space="preserve">necessary project documentation and nominate the projects to be financed by the Government of </w:t>
      </w:r>
      <w:proofErr w:type="spellStart"/>
      <w:r w:rsidRPr="00ED4D49">
        <w:rPr>
          <w:lang w:val="en-US" w:eastAsia="en-GB"/>
        </w:rPr>
        <w:t>Republika</w:t>
      </w:r>
      <w:proofErr w:type="spellEnd"/>
      <w:r w:rsidRPr="00ED4D49">
        <w:rPr>
          <w:lang w:val="en-US" w:eastAsia="en-GB"/>
        </w:rPr>
        <w:t xml:space="preserve"> Srpska or other donors. Local self-government</w:t>
      </w:r>
      <w:r w:rsidR="00FD5372" w:rsidRPr="00ED4D49">
        <w:rPr>
          <w:lang w:val="en-US" w:eastAsia="en-GB"/>
        </w:rPr>
        <w:t>s</w:t>
      </w:r>
      <w:r w:rsidRPr="00ED4D49">
        <w:rPr>
          <w:lang w:val="en-US" w:eastAsia="en-GB"/>
        </w:rPr>
        <w:t xml:space="preserve"> are those that need to articulate their needs and take the first step. </w:t>
      </w:r>
    </w:p>
    <w:p w14:paraId="589DCD9D" w14:textId="42148D10" w:rsidR="005C115E" w:rsidRPr="00ED4D49" w:rsidRDefault="005C115E" w:rsidP="00A05261">
      <w:pPr>
        <w:jc w:val="both"/>
        <w:rPr>
          <w:lang w:val="en-US" w:eastAsia="en-GB"/>
        </w:rPr>
      </w:pPr>
      <w:r w:rsidRPr="00ED4D49">
        <w:rPr>
          <w:color w:val="35679A"/>
          <w:lang w:val="en-US" w:eastAsia="en-GB"/>
        </w:rPr>
        <w:t>Mr</w:t>
      </w:r>
      <w:r w:rsidR="00FD5372" w:rsidRPr="00ED4D49">
        <w:rPr>
          <w:color w:val="35679A"/>
          <w:lang w:val="en-US" w:eastAsia="en-GB"/>
        </w:rPr>
        <w:t>.</w:t>
      </w:r>
      <w:r w:rsidRPr="00ED4D49">
        <w:rPr>
          <w:color w:val="35679A"/>
          <w:lang w:val="en-US" w:eastAsia="en-GB"/>
        </w:rPr>
        <w:t xml:space="preserve"> Igor </w:t>
      </w:r>
      <w:proofErr w:type="spellStart"/>
      <w:r w:rsidRPr="00ED4D49">
        <w:rPr>
          <w:color w:val="35679A"/>
          <w:lang w:val="en-US" w:eastAsia="en-GB"/>
        </w:rPr>
        <w:t>Palandžić</w:t>
      </w:r>
      <w:proofErr w:type="spellEnd"/>
      <w:r w:rsidRPr="00ED4D49">
        <w:rPr>
          <w:lang w:val="en-US" w:eastAsia="en-GB"/>
        </w:rPr>
        <w:t xml:space="preserve"> from the </w:t>
      </w:r>
      <w:r w:rsidR="00426EBD" w:rsidRPr="00ED4D49">
        <w:rPr>
          <w:rFonts w:asciiTheme="minorHAnsi" w:hAnsiTheme="minorHAnsi" w:cstheme="minorHAnsi"/>
          <w:lang w:val="en-US" w:eastAsia="en-GB"/>
        </w:rPr>
        <w:t xml:space="preserve">World </w:t>
      </w:r>
      <w:r w:rsidRPr="00ED4D49">
        <w:rPr>
          <w:lang w:val="en-US" w:eastAsia="en-GB"/>
        </w:rPr>
        <w:t xml:space="preserve">Bank mentioned that the overall objective of the </w:t>
      </w:r>
      <w:r w:rsidR="00A72834" w:rsidRPr="00ED4D49">
        <w:rPr>
          <w:lang w:val="en-US" w:eastAsia="en-GB"/>
        </w:rPr>
        <w:t>S</w:t>
      </w:r>
      <w:r w:rsidRPr="00ED4D49">
        <w:rPr>
          <w:lang w:val="en-US" w:eastAsia="en-GB"/>
        </w:rPr>
        <w:t xml:space="preserve">DIP is to strengthen local development. </w:t>
      </w:r>
      <w:r w:rsidR="00A72834" w:rsidRPr="00ED4D49">
        <w:rPr>
          <w:lang w:val="en-US" w:eastAsia="en-GB"/>
        </w:rPr>
        <w:t xml:space="preserve">The project will last for 10 years. </w:t>
      </w:r>
      <w:r w:rsidRPr="00ED4D49">
        <w:rPr>
          <w:lang w:val="en-US" w:eastAsia="en-GB"/>
        </w:rPr>
        <w:t xml:space="preserve">Phase I of the SDIP includes projects that </w:t>
      </w:r>
      <w:r w:rsidR="00FD5372" w:rsidRPr="00ED4D49">
        <w:rPr>
          <w:lang w:val="en-US" w:eastAsia="en-GB"/>
        </w:rPr>
        <w:t>are</w:t>
      </w:r>
      <w:r w:rsidRPr="00ED4D49">
        <w:rPr>
          <w:lang w:val="en-US" w:eastAsia="en-GB"/>
        </w:rPr>
        <w:t xml:space="preserve"> ready for implementation. </w:t>
      </w:r>
      <w:r w:rsidR="00FD5372" w:rsidRPr="00ED4D49">
        <w:rPr>
          <w:lang w:val="en-US" w:eastAsia="en-GB"/>
        </w:rPr>
        <w:t>P</w:t>
      </w:r>
      <w:r w:rsidRPr="00ED4D49">
        <w:rPr>
          <w:lang w:val="en-US" w:eastAsia="en-GB"/>
        </w:rPr>
        <w:t xml:space="preserve">art of the funds from Phase I is reserved for the development of </w:t>
      </w:r>
      <w:r w:rsidR="00A72834" w:rsidRPr="00ED4D49">
        <w:rPr>
          <w:lang w:val="en-US" w:eastAsia="en-GB"/>
        </w:rPr>
        <w:t>design</w:t>
      </w:r>
      <w:r w:rsidRPr="00ED4D49">
        <w:rPr>
          <w:lang w:val="en-US" w:eastAsia="en-GB"/>
        </w:rPr>
        <w:t xml:space="preserve"> documents for projects that will be financed in Phase II of the SDIP</w:t>
      </w:r>
      <w:r w:rsidR="00A72834" w:rsidRPr="00ED4D49">
        <w:rPr>
          <w:lang w:val="en-US" w:eastAsia="en-GB"/>
        </w:rPr>
        <w:t>. The RS Government needs to define projects that will be implemented in Phase II. T</w:t>
      </w:r>
      <w:r w:rsidR="00FD5372" w:rsidRPr="00ED4D49">
        <w:rPr>
          <w:lang w:val="en-US" w:eastAsia="en-GB"/>
        </w:rPr>
        <w:t>he t</w:t>
      </w:r>
      <w:r w:rsidR="00A72834" w:rsidRPr="00ED4D49">
        <w:rPr>
          <w:lang w:val="en-US" w:eastAsia="en-GB"/>
        </w:rPr>
        <w:t xml:space="preserve">ourism project in Zvornik can be an interesting project for financing. He also mentioned that </w:t>
      </w:r>
      <w:r w:rsidR="00FD5372" w:rsidRPr="00ED4D49">
        <w:rPr>
          <w:lang w:val="en-US" w:eastAsia="en-GB"/>
        </w:rPr>
        <w:t xml:space="preserve">the </w:t>
      </w:r>
      <w:r w:rsidR="00A72834" w:rsidRPr="00ED4D49">
        <w:rPr>
          <w:lang w:val="en-US" w:eastAsia="en-GB"/>
        </w:rPr>
        <w:t>GEF SCC project is currently implemented on the Drina River, so he invited representat</w:t>
      </w:r>
      <w:r w:rsidR="00FD5372" w:rsidRPr="00ED4D49">
        <w:rPr>
          <w:lang w:val="en-US" w:eastAsia="en-GB"/>
        </w:rPr>
        <w:t>i</w:t>
      </w:r>
      <w:r w:rsidR="00A72834" w:rsidRPr="00ED4D49">
        <w:rPr>
          <w:lang w:val="en-US" w:eastAsia="en-GB"/>
        </w:rPr>
        <w:t xml:space="preserve">ves from Zvornik to contact the PIU and discuss </w:t>
      </w:r>
      <w:r w:rsidR="00FD5372" w:rsidRPr="00ED4D49">
        <w:rPr>
          <w:lang w:val="en-US" w:eastAsia="en-GB"/>
        </w:rPr>
        <w:t xml:space="preserve">this issue </w:t>
      </w:r>
      <w:r w:rsidR="00A72834" w:rsidRPr="00ED4D49">
        <w:rPr>
          <w:lang w:val="en-US" w:eastAsia="en-GB"/>
        </w:rPr>
        <w:t>further. He said that the Ministry of Transport and Communication of RS is also participating in this project</w:t>
      </w:r>
      <w:r w:rsidR="007135E0" w:rsidRPr="00ED4D49">
        <w:rPr>
          <w:lang w:val="en-US" w:eastAsia="en-GB"/>
        </w:rPr>
        <w:t>,</w:t>
      </w:r>
      <w:r w:rsidR="00A72834" w:rsidRPr="00ED4D49">
        <w:rPr>
          <w:lang w:val="en-US" w:eastAsia="en-GB"/>
        </w:rPr>
        <w:t xml:space="preserve"> so any project coming from this </w:t>
      </w:r>
      <w:r w:rsidR="007135E0" w:rsidRPr="00ED4D49">
        <w:rPr>
          <w:lang w:val="en-US" w:eastAsia="en-GB"/>
        </w:rPr>
        <w:t>M</w:t>
      </w:r>
      <w:r w:rsidR="00A72834" w:rsidRPr="00ED4D49">
        <w:rPr>
          <w:lang w:val="en-US" w:eastAsia="en-GB"/>
        </w:rPr>
        <w:t>inistry will be considered.</w:t>
      </w:r>
    </w:p>
    <w:p w14:paraId="6F4E6C77" w14:textId="1751A49A" w:rsidR="00A72834" w:rsidRPr="00ED4D49" w:rsidRDefault="00A72834" w:rsidP="00A05261">
      <w:pPr>
        <w:jc w:val="both"/>
        <w:rPr>
          <w:lang w:val="en-US" w:eastAsia="en-GB"/>
        </w:rPr>
      </w:pPr>
      <w:r w:rsidRPr="00ED4D49">
        <w:rPr>
          <w:lang w:val="en-US" w:eastAsia="en-GB"/>
        </w:rPr>
        <w:t xml:space="preserve">Since there </w:t>
      </w:r>
      <w:r w:rsidR="007135E0" w:rsidRPr="00ED4D49">
        <w:rPr>
          <w:lang w:val="en-US" w:eastAsia="en-GB"/>
        </w:rPr>
        <w:t>were</w:t>
      </w:r>
      <w:r w:rsidRPr="00ED4D49">
        <w:rPr>
          <w:lang w:val="en-US" w:eastAsia="en-GB"/>
        </w:rPr>
        <w:t xml:space="preserve"> no further questions,</w:t>
      </w:r>
      <w:r w:rsidRPr="00ED4D49">
        <w:rPr>
          <w:color w:val="35679A"/>
          <w:lang w:val="en-US" w:eastAsia="en-GB"/>
        </w:rPr>
        <w:t xml:space="preserve"> </w:t>
      </w:r>
      <w:proofErr w:type="spellStart"/>
      <w:r w:rsidRPr="00ED4D49">
        <w:rPr>
          <w:color w:val="35679A"/>
          <w:lang w:val="en-US" w:eastAsia="en-GB"/>
        </w:rPr>
        <w:t>Ms</w:t>
      </w:r>
      <w:proofErr w:type="spellEnd"/>
      <w:r w:rsidRPr="00ED4D49">
        <w:rPr>
          <w:color w:val="35679A"/>
          <w:lang w:val="en-US" w:eastAsia="en-GB"/>
        </w:rPr>
        <w:t xml:space="preserve"> Irem Silajdžić </w:t>
      </w:r>
      <w:r w:rsidRPr="00ED4D49">
        <w:rPr>
          <w:lang w:val="en-US" w:eastAsia="en-GB"/>
        </w:rPr>
        <w:t xml:space="preserve">once more underlined the importance of the framework procedures that </w:t>
      </w:r>
      <w:r w:rsidR="007135E0" w:rsidRPr="00ED4D49">
        <w:rPr>
          <w:lang w:val="en-US" w:eastAsia="en-GB"/>
        </w:rPr>
        <w:t>were</w:t>
      </w:r>
      <w:r w:rsidRPr="00ED4D49">
        <w:rPr>
          <w:lang w:val="en-US" w:eastAsia="en-GB"/>
        </w:rPr>
        <w:t xml:space="preserve"> presented today and invited</w:t>
      </w:r>
      <w:r w:rsidR="007135E0" w:rsidRPr="00ED4D49">
        <w:rPr>
          <w:lang w:val="en-US" w:eastAsia="en-GB"/>
        </w:rPr>
        <w:t xml:space="preserve"> the</w:t>
      </w:r>
      <w:r w:rsidRPr="00ED4D49">
        <w:rPr>
          <w:lang w:val="en-US" w:eastAsia="en-GB"/>
        </w:rPr>
        <w:t xml:space="preserve"> representatives of 6 municipalities present to carefully study the procedures that also reflect on their role in the process, especially </w:t>
      </w:r>
      <w:r w:rsidR="00426EBD" w:rsidRPr="00ED4D49">
        <w:rPr>
          <w:rFonts w:asciiTheme="minorHAnsi" w:hAnsiTheme="minorHAnsi" w:cstheme="minorHAnsi"/>
          <w:lang w:val="en-US" w:eastAsia="en-GB"/>
        </w:rPr>
        <w:t xml:space="preserve">concerning </w:t>
      </w:r>
      <w:r w:rsidRPr="00ED4D49">
        <w:rPr>
          <w:lang w:val="en-US" w:eastAsia="en-GB"/>
        </w:rPr>
        <w:t xml:space="preserve">resettlement and land acquisition. </w:t>
      </w:r>
    </w:p>
    <w:p w14:paraId="59870812" w14:textId="77777777" w:rsidR="00A05261" w:rsidRPr="00ED4D49" w:rsidRDefault="00A05261" w:rsidP="00A05261">
      <w:pPr>
        <w:jc w:val="both"/>
        <w:rPr>
          <w:lang w:val="en-US" w:eastAsia="en-GB"/>
        </w:rPr>
      </w:pPr>
      <w:r w:rsidRPr="00ED4D49">
        <w:rPr>
          <w:lang w:val="en-US" w:eastAsia="en-GB"/>
        </w:rPr>
        <w:t>The meeting ended at 14:00.</w:t>
      </w:r>
    </w:p>
    <w:p w14:paraId="2C4D79D9" w14:textId="77777777" w:rsidR="00A05261" w:rsidRPr="00ED4D49" w:rsidRDefault="00A05261" w:rsidP="00A05261">
      <w:pPr>
        <w:jc w:val="both"/>
        <w:rPr>
          <w:b/>
          <w:bCs/>
          <w:lang w:val="en-US" w:eastAsia="en-GB"/>
        </w:rPr>
      </w:pPr>
      <w:r w:rsidRPr="00ED4D49">
        <w:rPr>
          <w:b/>
          <w:bCs/>
          <w:lang w:val="en-US" w:eastAsia="en-GB"/>
        </w:rPr>
        <w:br w:type="page"/>
      </w:r>
      <w:r w:rsidRPr="00ED4D49">
        <w:rPr>
          <w:b/>
          <w:bCs/>
          <w:lang w:val="en-US" w:eastAsia="en-GB"/>
        </w:rPr>
        <w:lastRenderedPageBreak/>
        <w:t xml:space="preserve">Photographs </w:t>
      </w:r>
    </w:p>
    <w:p w14:paraId="33485578" w14:textId="767A1587" w:rsidR="00A05261" w:rsidRPr="00ED4D49" w:rsidRDefault="00BB1969" w:rsidP="00A05261">
      <w:pPr>
        <w:jc w:val="both"/>
        <w:rPr>
          <w:lang w:val="en-US" w:eastAsia="en-GB"/>
        </w:rPr>
      </w:pPr>
      <w:r w:rsidRPr="00ED4D49">
        <w:rPr>
          <w:noProof/>
          <w:lang w:val="bs-Latn-BA" w:eastAsia="bs-Latn-BA"/>
        </w:rPr>
        <w:drawing>
          <wp:inline distT="0" distB="0" distL="0" distR="0" wp14:anchorId="585DB281" wp14:editId="34F5EC34">
            <wp:extent cx="5727065" cy="3395207"/>
            <wp:effectExtent l="0" t="0" r="635" b="0"/>
            <wp:docPr id="10" name="Picture 10" descr="A room filled with furniture and a flat screen tv&#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viber_image_2020-02-04_15-28-13.jpg"/>
                    <pic:cNvPicPr/>
                  </pic:nvPicPr>
                  <pic:blipFill rotWithShape="1">
                    <a:blip r:embed="rId53" cstate="screen">
                      <a:extLst>
                        <a:ext uri="{28A0092B-C50C-407E-A947-70E740481C1C}">
                          <a14:useLocalDpi xmlns:a14="http://schemas.microsoft.com/office/drawing/2010/main"/>
                        </a:ext>
                      </a:extLst>
                    </a:blip>
                    <a:srcRect/>
                    <a:stretch/>
                  </pic:blipFill>
                  <pic:spPr bwMode="auto">
                    <a:xfrm>
                      <a:off x="0" y="0"/>
                      <a:ext cx="5730253" cy="3397097"/>
                    </a:xfrm>
                    <a:prstGeom prst="rect">
                      <a:avLst/>
                    </a:prstGeom>
                    <a:ln>
                      <a:noFill/>
                    </a:ln>
                    <a:extLst>
                      <a:ext uri="{53640926-AAD7-44D8-BBD7-CCE9431645EC}">
                        <a14:shadowObscured xmlns:a14="http://schemas.microsoft.com/office/drawing/2010/main"/>
                      </a:ext>
                    </a:extLst>
                  </pic:spPr>
                </pic:pic>
              </a:graphicData>
            </a:graphic>
          </wp:inline>
        </w:drawing>
      </w:r>
    </w:p>
    <w:p w14:paraId="4498D700" w14:textId="4DCB78FE" w:rsidR="00BB1969" w:rsidRPr="00ED4D49" w:rsidRDefault="00BB1969" w:rsidP="00A05261">
      <w:pPr>
        <w:jc w:val="both"/>
        <w:rPr>
          <w:lang w:val="en-US" w:eastAsia="en-GB"/>
        </w:rPr>
      </w:pPr>
    </w:p>
    <w:p w14:paraId="11ED74DA" w14:textId="47804B10" w:rsidR="00BB1969" w:rsidRPr="00ED4D49" w:rsidRDefault="00BB1969" w:rsidP="00A05261">
      <w:pPr>
        <w:jc w:val="both"/>
        <w:rPr>
          <w:lang w:val="en-US" w:eastAsia="en-GB"/>
        </w:rPr>
      </w:pPr>
      <w:r w:rsidRPr="00ED4D49">
        <w:rPr>
          <w:noProof/>
          <w:lang w:val="bs-Latn-BA" w:eastAsia="bs-Latn-BA"/>
        </w:rPr>
        <w:drawing>
          <wp:inline distT="0" distB="0" distL="0" distR="0" wp14:anchorId="1FCC736A" wp14:editId="128A2167">
            <wp:extent cx="5727700" cy="3283889"/>
            <wp:effectExtent l="0" t="0" r="0" b="5715"/>
            <wp:docPr id="11" name="Picture 11" descr="A group of peop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viber_image_2020-02-04_15-28-12.jpg"/>
                    <pic:cNvPicPr/>
                  </pic:nvPicPr>
                  <pic:blipFill rotWithShape="1">
                    <a:blip r:embed="rId54" cstate="screen">
                      <a:extLst>
                        <a:ext uri="{28A0092B-C50C-407E-A947-70E740481C1C}">
                          <a14:useLocalDpi xmlns:a14="http://schemas.microsoft.com/office/drawing/2010/main"/>
                        </a:ext>
                      </a:extLst>
                    </a:blip>
                    <a:srcRect/>
                    <a:stretch/>
                  </pic:blipFill>
                  <pic:spPr bwMode="auto">
                    <a:xfrm>
                      <a:off x="0" y="0"/>
                      <a:ext cx="5727700" cy="3283889"/>
                    </a:xfrm>
                    <a:prstGeom prst="rect">
                      <a:avLst/>
                    </a:prstGeom>
                    <a:ln>
                      <a:noFill/>
                    </a:ln>
                    <a:extLst>
                      <a:ext uri="{53640926-AAD7-44D8-BBD7-CCE9431645EC}">
                        <a14:shadowObscured xmlns:a14="http://schemas.microsoft.com/office/drawing/2010/main"/>
                      </a:ext>
                    </a:extLst>
                  </pic:spPr>
                </pic:pic>
              </a:graphicData>
            </a:graphic>
          </wp:inline>
        </w:drawing>
      </w:r>
    </w:p>
    <w:p w14:paraId="7903BC0D" w14:textId="77777777" w:rsidR="00A05261" w:rsidRPr="00ED4D49" w:rsidRDefault="00A05261" w:rsidP="00A05261">
      <w:pPr>
        <w:jc w:val="both"/>
        <w:rPr>
          <w:lang w:val="en-US" w:eastAsia="en-GB"/>
        </w:rPr>
      </w:pPr>
    </w:p>
    <w:p w14:paraId="1F52284D" w14:textId="4D3D2370" w:rsidR="00A05261" w:rsidRPr="00ED4D49" w:rsidRDefault="00A05261" w:rsidP="00A05261">
      <w:pPr>
        <w:jc w:val="both"/>
        <w:rPr>
          <w:lang w:val="en-US"/>
        </w:rPr>
        <w:sectPr w:rsidR="00A05261" w:rsidRPr="00ED4D49" w:rsidSect="00A05261">
          <w:headerReference w:type="default" r:id="rId55"/>
          <w:headerReference w:type="first" r:id="rId56"/>
          <w:pgSz w:w="11900" w:h="16840"/>
          <w:pgMar w:top="1440" w:right="1440" w:bottom="1440" w:left="1440" w:header="720" w:footer="720" w:gutter="0"/>
          <w:cols w:space="720"/>
          <w:titlePg/>
          <w:docGrid w:linePitch="360"/>
        </w:sectPr>
      </w:pPr>
    </w:p>
    <w:p w14:paraId="2DE0C2E7" w14:textId="77777777" w:rsidR="00A05261" w:rsidRPr="00ED4D49" w:rsidRDefault="00A05261" w:rsidP="00A05261">
      <w:pPr>
        <w:jc w:val="both"/>
        <w:rPr>
          <w:b/>
          <w:bCs/>
          <w:lang w:val="en-US"/>
        </w:rPr>
      </w:pPr>
      <w:r w:rsidRPr="00ED4D49">
        <w:rPr>
          <w:b/>
          <w:bCs/>
          <w:lang w:val="en-US"/>
        </w:rPr>
        <w:lastRenderedPageBreak/>
        <w:t>List of participants</w:t>
      </w:r>
    </w:p>
    <w:p w14:paraId="60512A51" w14:textId="5C3DF548" w:rsidR="001D71BE" w:rsidRPr="00ED4D49" w:rsidRDefault="00CC4909" w:rsidP="00BB1969">
      <w:pPr>
        <w:jc w:val="center"/>
        <w:rPr>
          <w:sz w:val="16"/>
          <w:szCs w:val="16"/>
          <w:lang w:val="en-US"/>
        </w:rPr>
      </w:pPr>
      <w:r w:rsidRPr="00ED4D49">
        <w:rPr>
          <w:noProof/>
          <w:sz w:val="16"/>
          <w:szCs w:val="16"/>
          <w:lang w:val="bs-Latn-BA" w:eastAsia="bs-Latn-BA"/>
        </w:rPr>
        <mc:AlternateContent>
          <mc:Choice Requires="wps">
            <w:drawing>
              <wp:anchor distT="0" distB="0" distL="114300" distR="114300" simplePos="0" relativeHeight="251662336" behindDoc="0" locked="0" layoutInCell="1" allowOverlap="1" wp14:anchorId="60FFCFE0" wp14:editId="170B34C0">
                <wp:simplePos x="0" y="0"/>
                <wp:positionH relativeFrom="column">
                  <wp:posOffset>5035138</wp:posOffset>
                </wp:positionH>
                <wp:positionV relativeFrom="paragraph">
                  <wp:posOffset>2061053</wp:posOffset>
                </wp:positionV>
                <wp:extent cx="1116280" cy="2422567"/>
                <wp:effectExtent l="0" t="0" r="27305" b="15875"/>
                <wp:wrapNone/>
                <wp:docPr id="27" name="Rectangle 27"/>
                <wp:cNvGraphicFramePr/>
                <a:graphic xmlns:a="http://schemas.openxmlformats.org/drawingml/2006/main">
                  <a:graphicData uri="http://schemas.microsoft.com/office/word/2010/wordprocessingShape">
                    <wps:wsp>
                      <wps:cNvSpPr/>
                      <wps:spPr>
                        <a:xfrm>
                          <a:off x="0" y="0"/>
                          <a:ext cx="1116280" cy="2422567"/>
                        </a:xfrm>
                        <a:prstGeom prst="rect">
                          <a:avLst/>
                        </a:prstGeom>
                        <a:blipFill>
                          <a:blip r:embed="rId57"/>
                          <a:tile tx="0" ty="0" sx="100000" sy="100000" flip="none" algn="tl"/>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8406D0A" id="Rectangle 27" o:spid="_x0000_s1026" style="position:absolute;margin-left:396.45pt;margin-top:162.3pt;width:87.9pt;height:190.7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" strokecolor="#1f3763 [1604]" strokeweight="1pt">
                <v:fill r:id="rId59" o:title="" recolor="t" rotate="t" type="tile"/>
              </v:rect>
            </w:pict>
          </mc:Fallback>
        </mc:AlternateContent>
      </w:r>
      <w:r w:rsidR="00BB1969" w:rsidRPr="00ED4D49">
        <w:rPr>
          <w:noProof/>
          <w:sz w:val="16"/>
          <w:szCs w:val="16"/>
          <w:lang w:val="bs-Latn-BA" w:eastAsia="bs-Latn-BA"/>
        </w:rPr>
        <w:drawing>
          <wp:inline distT="0" distB="0" distL="0" distR="0" wp14:anchorId="4D4DAB28" wp14:editId="451E6282">
            <wp:extent cx="5307015" cy="7501013"/>
            <wp:effectExtent l="7938" t="0" r="0" b="0"/>
            <wp:docPr id="12" name="Picture 12"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0001 (1).jpg"/>
                    <pic:cNvPicPr/>
                  </pic:nvPicPr>
                  <pic:blipFill>
                    <a:blip r:embed="rId60" cstate="screen">
                      <a:extLst>
                        <a:ext uri="{28A0092B-C50C-407E-A947-70E740481C1C}">
                          <a14:useLocalDpi xmlns:a14="http://schemas.microsoft.com/office/drawing/2010/main"/>
                        </a:ext>
                      </a:extLst>
                    </a:blip>
                    <a:stretch>
                      <a:fillRect/>
                    </a:stretch>
                  </pic:blipFill>
                  <pic:spPr>
                    <a:xfrm rot="5400000">
                      <a:off x="0" y="0"/>
                      <a:ext cx="5310488" cy="7505922"/>
                    </a:xfrm>
                    <a:prstGeom prst="rect">
                      <a:avLst/>
                    </a:prstGeom>
                  </pic:spPr>
                </pic:pic>
              </a:graphicData>
            </a:graphic>
          </wp:inline>
        </w:drawing>
      </w:r>
    </w:p>
    <w:bookmarkEnd w:id="297"/>
    <w:p w14:paraId="1AF80781" w14:textId="4FF7C0DE" w:rsidR="00BB1969" w:rsidRPr="00ED4D49" w:rsidRDefault="006F3B00" w:rsidP="00ED4D49">
      <w:pPr>
        <w:spacing w:before="0" w:after="0" w:line="240" w:lineRule="auto"/>
        <w:rPr>
          <w:sz w:val="16"/>
          <w:szCs w:val="16"/>
          <w:lang w:val="en-US"/>
        </w:rPr>
      </w:pPr>
      <w:r w:rsidRPr="00ED4D49">
        <w:rPr>
          <w:sz w:val="16"/>
          <w:szCs w:val="16"/>
          <w:lang w:val="en-US"/>
        </w:rPr>
        <w:br w:type="page"/>
      </w:r>
      <w:r w:rsidR="00F122A6" w:rsidRPr="00ED4D49">
        <w:rPr>
          <w:noProof/>
          <w:sz w:val="16"/>
          <w:szCs w:val="16"/>
          <w:lang w:val="bs-Latn-BA" w:eastAsia="bs-Latn-BA"/>
        </w:rPr>
        <w:lastRenderedPageBreak/>
        <mc:AlternateContent>
          <mc:Choice Requires="wps">
            <w:drawing>
              <wp:anchor distT="0" distB="0" distL="114300" distR="114300" simplePos="0" relativeHeight="251664384" behindDoc="0" locked="0" layoutInCell="1" allowOverlap="1" wp14:anchorId="7E7A08C0" wp14:editId="0CE6E0B5">
                <wp:simplePos x="0" y="0"/>
                <wp:positionH relativeFrom="column">
                  <wp:posOffset>4453247</wp:posOffset>
                </wp:positionH>
                <wp:positionV relativeFrom="paragraph">
                  <wp:posOffset>427513</wp:posOffset>
                </wp:positionV>
                <wp:extent cx="1116280" cy="1258784"/>
                <wp:effectExtent l="0" t="0" r="27305" b="17780"/>
                <wp:wrapNone/>
                <wp:docPr id="28" name="Rectangle 28"/>
                <wp:cNvGraphicFramePr/>
                <a:graphic xmlns:a="http://schemas.openxmlformats.org/drawingml/2006/main">
                  <a:graphicData uri="http://schemas.microsoft.com/office/word/2010/wordprocessingShape">
                    <wps:wsp>
                      <wps:cNvSpPr/>
                      <wps:spPr>
                        <a:xfrm>
                          <a:off x="0" y="0"/>
                          <a:ext cx="1116280" cy="1258784"/>
                        </a:xfrm>
                        <a:prstGeom prst="rect">
                          <a:avLst/>
                        </a:prstGeom>
                        <a:blipFill>
                          <a:blip r:embed="rId57"/>
                          <a:tile tx="0" ty="0" sx="100000" sy="100000" flip="none" algn="tl"/>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6BBA83D" id="Rectangle 28" o:spid="_x0000_s1026" style="position:absolute;margin-left:350.65pt;margin-top:33.65pt;width:87.9pt;height:99.1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" strokecolor="#1f3763 [1604]" strokeweight="1pt">
                <v:fill r:id="rId59" o:title="" recolor="t" rotate="t" type="tile"/>
              </v:rect>
            </w:pict>
          </mc:Fallback>
        </mc:AlternateContent>
      </w:r>
      <w:r w:rsidR="00BB1969" w:rsidRPr="00ED4D49">
        <w:rPr>
          <w:noProof/>
          <w:sz w:val="16"/>
          <w:szCs w:val="16"/>
          <w:lang w:val="bs-Latn-BA" w:eastAsia="bs-Latn-BA"/>
        </w:rPr>
        <w:drawing>
          <wp:inline distT="0" distB="0" distL="0" distR="0" wp14:anchorId="05EE6163" wp14:editId="509D80DF">
            <wp:extent cx="5413184" cy="7651073"/>
            <wp:effectExtent l="0" t="1270" r="0" b="0"/>
            <wp:docPr id="13" name="Picture 1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0002 (1).jpg"/>
                    <pic:cNvPicPr/>
                  </pic:nvPicPr>
                  <pic:blipFill>
                    <a:blip r:embed="rId61" cstate="screen">
                      <a:extLst>
                        <a:ext uri="{28A0092B-C50C-407E-A947-70E740481C1C}">
                          <a14:useLocalDpi xmlns:a14="http://schemas.microsoft.com/office/drawing/2010/main"/>
                        </a:ext>
                      </a:extLst>
                    </a:blip>
                    <a:stretch>
                      <a:fillRect/>
                    </a:stretch>
                  </pic:blipFill>
                  <pic:spPr>
                    <a:xfrm rot="5400000">
                      <a:off x="0" y="0"/>
                      <a:ext cx="5416075" cy="7655160"/>
                    </a:xfrm>
                    <a:prstGeom prst="rect">
                      <a:avLst/>
                    </a:prstGeom>
                  </pic:spPr>
                </pic:pic>
              </a:graphicData>
            </a:graphic>
          </wp:inline>
        </w:drawing>
      </w:r>
    </w:p>
    <w:p w14:paraId="75533097" w14:textId="77777777" w:rsidR="006F3B00" w:rsidRPr="00ED4D49" w:rsidRDefault="006F3B00" w:rsidP="00BB1969">
      <w:pPr>
        <w:jc w:val="center"/>
        <w:rPr>
          <w:sz w:val="16"/>
          <w:szCs w:val="16"/>
          <w:lang w:val="en-US"/>
        </w:rPr>
        <w:sectPr w:rsidR="006F3B00" w:rsidRPr="00ED4D49" w:rsidSect="00BB1969">
          <w:pgSz w:w="16840" w:h="11900" w:orient="landscape"/>
          <w:pgMar w:top="1440" w:right="1440" w:bottom="1440" w:left="1440" w:header="720" w:footer="720" w:gutter="0"/>
          <w:cols w:space="720"/>
          <w:titlePg/>
          <w:docGrid w:linePitch="360"/>
        </w:sectPr>
      </w:pPr>
    </w:p>
    <w:p w14:paraId="374FBF7E" w14:textId="5A7E4A72" w:rsidR="00583A7F" w:rsidRPr="00ED4D49" w:rsidRDefault="00583A7F" w:rsidP="00583A7F">
      <w:pPr>
        <w:rPr>
          <w:lang w:val="en-US" w:eastAsia="en-GB"/>
        </w:rPr>
      </w:pPr>
      <w:r w:rsidRPr="00ED4D49">
        <w:rPr>
          <w:b/>
          <w:bCs/>
          <w:lang w:val="en-US" w:eastAsia="en-GB"/>
        </w:rPr>
        <w:lastRenderedPageBreak/>
        <w:t>Venue:</w:t>
      </w:r>
      <w:r w:rsidRPr="00ED4D49">
        <w:rPr>
          <w:lang w:val="en-US" w:eastAsia="en-GB"/>
        </w:rPr>
        <w:t xml:space="preserve"> </w:t>
      </w:r>
      <w:r w:rsidRPr="00ED4D49">
        <w:rPr>
          <w:lang w:val="en-US" w:eastAsia="en-GB"/>
        </w:rPr>
        <w:tab/>
      </w:r>
      <w:r w:rsidRPr="00ED4D49">
        <w:rPr>
          <w:lang w:val="en-US" w:eastAsia="en-GB"/>
        </w:rPr>
        <w:tab/>
      </w:r>
      <w:r w:rsidRPr="00ED4D49">
        <w:rPr>
          <w:rFonts w:cstheme="minorHAnsi"/>
          <w:color w:val="000000" w:themeColor="text1"/>
          <w:szCs w:val="20"/>
        </w:rPr>
        <w:t xml:space="preserve">Online soliciting of comments </w:t>
      </w:r>
    </w:p>
    <w:p w14:paraId="097213C0" w14:textId="77777777" w:rsidR="00583A7F" w:rsidRPr="00ED4D49" w:rsidRDefault="00583A7F" w:rsidP="00583A7F">
      <w:pPr>
        <w:rPr>
          <w:b/>
          <w:bCs/>
          <w:lang w:val="en-US" w:eastAsia="en-GB"/>
        </w:rPr>
      </w:pPr>
      <w:r w:rsidRPr="00ED4D49">
        <w:rPr>
          <w:b/>
          <w:bCs/>
          <w:lang w:val="en-US" w:eastAsia="en-GB"/>
        </w:rPr>
        <w:t xml:space="preserve">Date: </w:t>
      </w:r>
      <w:r w:rsidRPr="00ED4D49">
        <w:rPr>
          <w:b/>
          <w:bCs/>
          <w:lang w:val="en-US" w:eastAsia="en-GB"/>
        </w:rPr>
        <w:tab/>
      </w:r>
      <w:r w:rsidRPr="00ED4D49">
        <w:rPr>
          <w:b/>
          <w:bCs/>
          <w:lang w:val="en-US" w:eastAsia="en-GB"/>
        </w:rPr>
        <w:tab/>
      </w:r>
      <w:r w:rsidRPr="00ED4D49">
        <w:rPr>
          <w:rFonts w:asciiTheme="minorHAnsi" w:hAnsiTheme="minorHAnsi" w:cstheme="minorHAnsi"/>
          <w:color w:val="000000" w:themeColor="text1"/>
          <w:szCs w:val="20"/>
        </w:rPr>
        <w:t>March</w:t>
      </w:r>
      <w:r w:rsidRPr="00ED4D49">
        <w:rPr>
          <w:rFonts w:cstheme="minorHAnsi"/>
          <w:color w:val="000000" w:themeColor="text1"/>
          <w:szCs w:val="20"/>
        </w:rPr>
        <w:t xml:space="preserve"> </w:t>
      </w:r>
      <w:r w:rsidRPr="00ED4D49">
        <w:rPr>
          <w:rFonts w:asciiTheme="minorHAnsi" w:hAnsiTheme="minorHAnsi" w:cstheme="minorHAnsi"/>
          <w:color w:val="000000" w:themeColor="text1"/>
          <w:szCs w:val="20"/>
        </w:rPr>
        <w:t>6, 2023</w:t>
      </w:r>
      <w:r w:rsidRPr="00ED4D49">
        <w:rPr>
          <w:rFonts w:cstheme="minorHAnsi"/>
          <w:color w:val="000000" w:themeColor="text1"/>
          <w:szCs w:val="20"/>
        </w:rPr>
        <w:t xml:space="preserve"> until March 20, 2023 (3 weeks)</w:t>
      </w:r>
    </w:p>
    <w:p w14:paraId="786C7175" w14:textId="77777777" w:rsidR="00583A7F" w:rsidRPr="00ED4D49" w:rsidRDefault="00583A7F" w:rsidP="00583A7F">
      <w:pPr>
        <w:ind w:left="1440" w:hanging="1440"/>
        <w:rPr>
          <w:lang w:val="en-US" w:eastAsia="en-GB"/>
        </w:rPr>
      </w:pPr>
      <w:r w:rsidRPr="00ED4D49">
        <w:rPr>
          <w:b/>
          <w:bCs/>
          <w:lang w:val="en-US" w:eastAsia="en-GB"/>
        </w:rPr>
        <w:t>Organizer:</w:t>
      </w:r>
      <w:r w:rsidRPr="00ED4D49">
        <w:rPr>
          <w:lang w:val="en-US" w:eastAsia="en-GB"/>
        </w:rPr>
        <w:t xml:space="preserve"> </w:t>
      </w:r>
      <w:r w:rsidRPr="00ED4D49">
        <w:rPr>
          <w:lang w:val="en-US" w:eastAsia="en-GB"/>
        </w:rPr>
        <w:tab/>
      </w:r>
      <w:r w:rsidRPr="00ED4D49">
        <w:rPr>
          <w:rFonts w:cstheme="minorHAnsi"/>
          <w:color w:val="000000" w:themeColor="text1"/>
          <w:szCs w:val="20"/>
        </w:rPr>
        <w:t xml:space="preserve">Project Implementation Unit of the FBIH Ministry of Agriculture, Water Management and Forestry </w:t>
      </w:r>
    </w:p>
    <w:p w14:paraId="734984FF" w14:textId="77777777" w:rsidR="00583A7F" w:rsidRPr="00ED4D49" w:rsidRDefault="00583A7F" w:rsidP="00583A7F"/>
    <w:p w14:paraId="66800F43" w14:textId="77777777" w:rsidR="00583A7F" w:rsidRPr="00ED4D49" w:rsidRDefault="00583A7F" w:rsidP="00583A7F">
      <w:pPr>
        <w:jc w:val="both"/>
      </w:pPr>
      <w:r w:rsidRPr="00ED4D49">
        <w:t>The package of ESF documentation was disclosed on March 6</w:t>
      </w:r>
      <w:r w:rsidRPr="00ED4D49">
        <w:rPr>
          <w:vertAlign w:val="superscript"/>
        </w:rPr>
        <w:t>th</w:t>
      </w:r>
      <w:r w:rsidRPr="00ED4D49">
        <w:t xml:space="preserve">, 2023 on FMAWF website within special tab referring the World Bank projects and PIU activities in line with pre-defined procedures. Invitation for submission of comments to the published documents was advertised in local daily magazines with clearly quoted e-mail address, and deadline for the comments submission. Very next day letters were sent to 9  stakeholder  Municipalities/ Towns (Vogošća, Novi Grad Sarajevo, Ilidža, Tuzla, Lukavac, Odžak, Orašje, Goražde, Foča in FBIH) stating brief information on the Project itself, its status, as the commitments that Borrowers have to respect at this point including the publishing/advertising  the set of “environment-social” documentation on municipalities/towns websites. Deadline for comments submission was 3 weeks and no comments have been received during this time-period. </w:t>
      </w:r>
    </w:p>
    <w:p w14:paraId="59D67B71" w14:textId="77777777" w:rsidR="00583A7F" w:rsidRPr="00ED4D49" w:rsidRDefault="00583A7F" w:rsidP="00583A7F">
      <w:pPr>
        <w:jc w:val="both"/>
      </w:pPr>
      <w:r w:rsidRPr="00ED4D49">
        <w:t>Taking into consideration the fact that proposed applications for Drina river catchment were planned within the now closed Drina river Flood Protection Project and that Public Consultations were conducted for Environment Management Plan and social issues on January 16</w:t>
      </w:r>
      <w:r w:rsidRPr="00ED4D49">
        <w:rPr>
          <w:vertAlign w:val="superscript"/>
        </w:rPr>
        <w:t>th</w:t>
      </w:r>
      <w:r w:rsidRPr="00ED4D49">
        <w:t xml:space="preserve">, 2014, our stakeholder municipalities and cities are already aware of the consultations process and the framework documents. All site specific due diligence will be disclosed with planned and detailed public consultations including meetings in the specific project areas. </w:t>
      </w:r>
    </w:p>
    <w:p w14:paraId="144A92CB" w14:textId="77777777" w:rsidR="00583A7F" w:rsidRPr="00ED4D49" w:rsidRDefault="00583A7F" w:rsidP="00583A7F"/>
    <w:p w14:paraId="0BEE2913" w14:textId="77777777" w:rsidR="00583A7F" w:rsidRPr="00ED4D49" w:rsidRDefault="00583A7F" w:rsidP="00583A7F">
      <w:r w:rsidRPr="00ED4D49">
        <w:rPr>
          <w:noProof/>
        </w:rPr>
        <w:drawing>
          <wp:inline distT="0" distB="0" distL="0" distR="0" wp14:anchorId="6CB1FDAD" wp14:editId="035DB4A3">
            <wp:extent cx="5760720" cy="328422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760720" cy="3284220"/>
                    </a:xfrm>
                    <a:prstGeom prst="rect">
                      <a:avLst/>
                    </a:prstGeom>
                  </pic:spPr>
                </pic:pic>
              </a:graphicData>
            </a:graphic>
          </wp:inline>
        </w:drawing>
      </w:r>
    </w:p>
    <w:p w14:paraId="4AAA81A3" w14:textId="77777777" w:rsidR="00583A7F" w:rsidRPr="00ED4D49" w:rsidRDefault="00583A7F" w:rsidP="00583A7F"/>
    <w:p w14:paraId="0A3C2BDA" w14:textId="77777777" w:rsidR="00583A7F" w:rsidRPr="00ED4D49" w:rsidRDefault="00583A7F" w:rsidP="00583A7F"/>
    <w:p w14:paraId="416AF14F" w14:textId="77777777" w:rsidR="00583A7F" w:rsidRPr="00ED4D49" w:rsidRDefault="00583A7F" w:rsidP="00583A7F">
      <w:r w:rsidRPr="00ED4D49">
        <w:rPr>
          <w:noProof/>
        </w:rPr>
        <w:lastRenderedPageBreak/>
        <w:drawing>
          <wp:inline distT="0" distB="0" distL="0" distR="0" wp14:anchorId="3CE77C26" wp14:editId="17929AB8">
            <wp:extent cx="5760720" cy="3140710"/>
            <wp:effectExtent l="0" t="0" r="0"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760720" cy="3140710"/>
                    </a:xfrm>
                    <a:prstGeom prst="rect">
                      <a:avLst/>
                    </a:prstGeom>
                  </pic:spPr>
                </pic:pic>
              </a:graphicData>
            </a:graphic>
          </wp:inline>
        </w:drawing>
      </w:r>
    </w:p>
    <w:p w14:paraId="3EB8367F" w14:textId="77777777" w:rsidR="00583A7F" w:rsidRPr="00ED4D49" w:rsidRDefault="00583A7F" w:rsidP="00583A7F">
      <w:pPr>
        <w:pStyle w:val="ListParagraph"/>
        <w:ind w:left="1110"/>
      </w:pPr>
    </w:p>
    <w:p w14:paraId="3C0F74F6" w14:textId="77777777" w:rsidR="00583A7F" w:rsidRPr="00ED4D49" w:rsidRDefault="00583A7F" w:rsidP="00583A7F"/>
    <w:p w14:paraId="3806DE81" w14:textId="77777777" w:rsidR="00583A7F" w:rsidRPr="00ED4D49" w:rsidRDefault="00583A7F" w:rsidP="00583A7F">
      <w:r w:rsidRPr="00ED4D49">
        <w:rPr>
          <w:noProof/>
        </w:rPr>
        <w:lastRenderedPageBreak/>
        <w:drawing>
          <wp:inline distT="0" distB="0" distL="0" distR="0" wp14:anchorId="6E46414F" wp14:editId="184463F2">
            <wp:extent cx="5760720" cy="706945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760720" cy="7069455"/>
                    </a:xfrm>
                    <a:prstGeom prst="rect">
                      <a:avLst/>
                    </a:prstGeom>
                  </pic:spPr>
                </pic:pic>
              </a:graphicData>
            </a:graphic>
          </wp:inline>
        </w:drawing>
      </w:r>
    </w:p>
    <w:p w14:paraId="3FA2955A" w14:textId="05FB68AF" w:rsidR="00764425" w:rsidRPr="00ED4D49" w:rsidRDefault="00764425">
      <w:pPr>
        <w:spacing w:before="0" w:after="0" w:line="240" w:lineRule="auto"/>
        <w:rPr>
          <w:b/>
          <w:bCs/>
          <w:lang w:val="en-US" w:eastAsia="en-GB"/>
        </w:rPr>
      </w:pPr>
      <w:r w:rsidRPr="00ED4D49">
        <w:rPr>
          <w:b/>
          <w:bCs/>
          <w:lang w:val="en-US" w:eastAsia="en-GB"/>
        </w:rPr>
        <w:br w:type="page"/>
      </w:r>
    </w:p>
    <w:p w14:paraId="18EBA6BE" w14:textId="77777777" w:rsidR="006B19C8" w:rsidRPr="00ED4D49" w:rsidRDefault="006B19C8">
      <w:pPr>
        <w:spacing w:before="0" w:after="0" w:line="240" w:lineRule="auto"/>
        <w:rPr>
          <w:b/>
          <w:bCs/>
          <w:lang w:val="en-US" w:eastAsia="en-GB"/>
        </w:rPr>
      </w:pPr>
    </w:p>
    <w:p w14:paraId="01A9F4F0" w14:textId="7132A9A2" w:rsidR="00E020EA" w:rsidRPr="00ED4D49" w:rsidRDefault="00E020EA" w:rsidP="00E020EA">
      <w:pPr>
        <w:rPr>
          <w:lang w:val="en-US" w:eastAsia="en-GB"/>
        </w:rPr>
      </w:pPr>
      <w:r w:rsidRPr="00ED4D49">
        <w:rPr>
          <w:b/>
          <w:bCs/>
          <w:lang w:val="en-US" w:eastAsia="en-GB"/>
        </w:rPr>
        <w:t>Venue:</w:t>
      </w:r>
      <w:r w:rsidRPr="00ED4D49">
        <w:rPr>
          <w:lang w:val="en-US" w:eastAsia="en-GB"/>
        </w:rPr>
        <w:t xml:space="preserve"> </w:t>
      </w:r>
      <w:r w:rsidRPr="00ED4D49">
        <w:rPr>
          <w:lang w:val="en-US" w:eastAsia="en-GB"/>
        </w:rPr>
        <w:tab/>
      </w:r>
      <w:r w:rsidRPr="00ED4D49">
        <w:rPr>
          <w:lang w:val="en-US" w:eastAsia="en-GB"/>
        </w:rPr>
        <w:tab/>
      </w:r>
      <w:r w:rsidR="00F353F2" w:rsidRPr="00ED4D49">
        <w:rPr>
          <w:rFonts w:asciiTheme="minorHAnsi" w:hAnsiTheme="minorHAnsi" w:cstheme="minorHAnsi"/>
          <w:color w:val="000000" w:themeColor="text1"/>
          <w:szCs w:val="20"/>
        </w:rPr>
        <w:t>Hall of the Assembly of the Brčko District of BiH</w:t>
      </w:r>
    </w:p>
    <w:p w14:paraId="7026563A" w14:textId="2E2C40DB" w:rsidR="00E020EA" w:rsidRPr="00ED4D49" w:rsidRDefault="00E020EA" w:rsidP="00E020EA">
      <w:pPr>
        <w:rPr>
          <w:b/>
          <w:bCs/>
          <w:lang w:val="en-US" w:eastAsia="en-GB"/>
        </w:rPr>
      </w:pPr>
      <w:r w:rsidRPr="00ED4D49">
        <w:rPr>
          <w:b/>
          <w:bCs/>
          <w:lang w:val="en-US" w:eastAsia="en-GB"/>
        </w:rPr>
        <w:t xml:space="preserve">Date: </w:t>
      </w:r>
      <w:r w:rsidRPr="00ED4D49">
        <w:rPr>
          <w:b/>
          <w:bCs/>
          <w:lang w:val="en-US" w:eastAsia="en-GB"/>
        </w:rPr>
        <w:tab/>
      </w:r>
      <w:r w:rsidRPr="00ED4D49">
        <w:rPr>
          <w:b/>
          <w:bCs/>
          <w:lang w:val="en-US" w:eastAsia="en-GB"/>
        </w:rPr>
        <w:tab/>
      </w:r>
      <w:r w:rsidR="00F353F2" w:rsidRPr="00ED4D49">
        <w:rPr>
          <w:rFonts w:asciiTheme="minorHAnsi" w:hAnsiTheme="minorHAnsi" w:cstheme="minorHAnsi"/>
          <w:color w:val="000000" w:themeColor="text1"/>
          <w:szCs w:val="20"/>
        </w:rPr>
        <w:t>March 16, 2023</w:t>
      </w:r>
    </w:p>
    <w:p w14:paraId="09C6F45F" w14:textId="18FBC775" w:rsidR="00E020EA" w:rsidRPr="00ED4D49" w:rsidRDefault="00E020EA" w:rsidP="00E020EA">
      <w:pPr>
        <w:rPr>
          <w:lang w:val="en-US" w:eastAsia="en-GB"/>
        </w:rPr>
      </w:pPr>
      <w:r w:rsidRPr="00ED4D49">
        <w:rPr>
          <w:b/>
          <w:bCs/>
          <w:lang w:val="en-US" w:eastAsia="en-GB"/>
        </w:rPr>
        <w:t>Time:</w:t>
      </w:r>
      <w:r w:rsidRPr="00ED4D49">
        <w:rPr>
          <w:lang w:val="en-US" w:eastAsia="en-GB"/>
        </w:rPr>
        <w:t xml:space="preserve"> </w:t>
      </w:r>
      <w:r w:rsidRPr="00ED4D49">
        <w:rPr>
          <w:lang w:val="en-US" w:eastAsia="en-GB"/>
        </w:rPr>
        <w:tab/>
      </w:r>
      <w:r w:rsidRPr="00ED4D49">
        <w:rPr>
          <w:lang w:val="en-US" w:eastAsia="en-GB"/>
        </w:rPr>
        <w:tab/>
        <w:t>1</w:t>
      </w:r>
      <w:r w:rsidR="00F353F2" w:rsidRPr="00ED4D49">
        <w:rPr>
          <w:lang w:val="en-US" w:eastAsia="en-GB"/>
        </w:rPr>
        <w:t>0</w:t>
      </w:r>
      <w:r w:rsidRPr="00ED4D49">
        <w:rPr>
          <w:lang w:val="en-US" w:eastAsia="en-GB"/>
        </w:rPr>
        <w:t xml:space="preserve">:00 </w:t>
      </w:r>
      <w:proofErr w:type="spellStart"/>
      <w:r w:rsidRPr="00ED4D49">
        <w:rPr>
          <w:lang w:val="en-US" w:eastAsia="en-GB"/>
        </w:rPr>
        <w:t>hr</w:t>
      </w:r>
      <w:proofErr w:type="spellEnd"/>
      <w:r w:rsidRPr="00ED4D49">
        <w:rPr>
          <w:lang w:val="en-US" w:eastAsia="en-GB"/>
        </w:rPr>
        <w:t xml:space="preserve"> </w:t>
      </w:r>
    </w:p>
    <w:p w14:paraId="3099A4EC" w14:textId="067AD68C" w:rsidR="00E020EA" w:rsidRPr="00ED4D49" w:rsidRDefault="00E020EA" w:rsidP="00E020EA">
      <w:pPr>
        <w:ind w:left="1440" w:hanging="1440"/>
        <w:rPr>
          <w:lang w:val="en-US" w:eastAsia="en-GB"/>
        </w:rPr>
      </w:pPr>
      <w:r w:rsidRPr="00ED4D49">
        <w:rPr>
          <w:b/>
          <w:bCs/>
          <w:lang w:val="en-US" w:eastAsia="en-GB"/>
        </w:rPr>
        <w:t>Organizer:</w:t>
      </w:r>
      <w:r w:rsidRPr="00ED4D49">
        <w:rPr>
          <w:lang w:val="en-US" w:eastAsia="en-GB"/>
        </w:rPr>
        <w:t xml:space="preserve"> </w:t>
      </w:r>
      <w:r w:rsidRPr="00ED4D49">
        <w:rPr>
          <w:lang w:val="en-US" w:eastAsia="en-GB"/>
        </w:rPr>
        <w:tab/>
      </w:r>
      <w:r w:rsidR="009B5EBE" w:rsidRPr="00ED4D49">
        <w:rPr>
          <w:rFonts w:asciiTheme="minorHAnsi" w:hAnsiTheme="minorHAnsi" w:cstheme="minorHAnsi"/>
          <w:color w:val="000000" w:themeColor="text1"/>
          <w:szCs w:val="20"/>
        </w:rPr>
        <w:t>The unit for the implementation of projects financed from international funds of the Development and Guarantee Fund of the Brčko District of BiH</w:t>
      </w:r>
    </w:p>
    <w:p w14:paraId="3DDAB096" w14:textId="77777777" w:rsidR="00E020EA" w:rsidRPr="00ED4D49" w:rsidRDefault="00E020EA" w:rsidP="00E020EA">
      <w:pPr>
        <w:rPr>
          <w:rFonts w:asciiTheme="minorHAnsi" w:hAnsiTheme="minorHAnsi" w:cstheme="minorHAnsi"/>
          <w:color w:val="000000" w:themeColor="text1"/>
          <w:szCs w:val="20"/>
        </w:rPr>
      </w:pPr>
    </w:p>
    <w:p w14:paraId="09B54A2E" w14:textId="77777777" w:rsidR="00E020EA" w:rsidRPr="00ED4D49" w:rsidRDefault="00E020EA" w:rsidP="00E020EA">
      <w:pPr>
        <w:rPr>
          <w:rFonts w:asciiTheme="minorHAnsi" w:hAnsiTheme="minorHAnsi" w:cstheme="minorHAnsi"/>
          <w:color w:val="000000" w:themeColor="text1"/>
          <w:szCs w:val="20"/>
        </w:rPr>
      </w:pPr>
      <w:r w:rsidRPr="00ED4D49">
        <w:rPr>
          <w:rFonts w:asciiTheme="minorHAnsi" w:hAnsiTheme="minorHAnsi" w:cstheme="minorHAnsi"/>
          <w:color w:val="000000" w:themeColor="text1"/>
          <w:szCs w:val="20"/>
        </w:rPr>
        <w:t>REPORT ON THE PUBLIC HEARING</w:t>
      </w:r>
    </w:p>
    <w:p w14:paraId="0AEB7878" w14:textId="77777777" w:rsidR="00E020EA" w:rsidRPr="00ED4D49" w:rsidRDefault="00E020EA" w:rsidP="00E020EA">
      <w:pPr>
        <w:rPr>
          <w:rFonts w:asciiTheme="minorHAnsi" w:hAnsiTheme="minorHAnsi" w:cstheme="minorHAnsi"/>
          <w:color w:val="000000" w:themeColor="text1"/>
          <w:szCs w:val="20"/>
        </w:rPr>
      </w:pPr>
    </w:p>
    <w:p w14:paraId="06793816" w14:textId="77777777" w:rsidR="00E020EA" w:rsidRPr="00ED4D49" w:rsidRDefault="00E020EA" w:rsidP="00ED4D49">
      <w:pPr>
        <w:jc w:val="both"/>
        <w:rPr>
          <w:rFonts w:asciiTheme="minorHAnsi" w:hAnsiTheme="minorHAnsi" w:cstheme="minorHAnsi"/>
          <w:color w:val="000000" w:themeColor="text1"/>
          <w:szCs w:val="20"/>
        </w:rPr>
      </w:pPr>
      <w:r w:rsidRPr="00ED4D49">
        <w:rPr>
          <w:rFonts w:asciiTheme="minorHAnsi" w:hAnsiTheme="minorHAnsi" w:cstheme="minorHAnsi"/>
          <w:color w:val="000000" w:themeColor="text1"/>
          <w:szCs w:val="20"/>
        </w:rPr>
        <w:t>The unit for the implementation of projects financed from international funds of the Development and Guarantee Fund of the Brčko District of BiH, for the needs of the "Project of Integrated Development of the Sava and Drina River Corridor", financed by the World Bank, is on March 16, 2023, from 10:00 a.m. to 12:00 p.m., in hall of the Assembly of the Brčko District of BiH, organized a public debate on the framework as follows:</w:t>
      </w:r>
    </w:p>
    <w:p w14:paraId="73696913" w14:textId="77777777" w:rsidR="00E020EA" w:rsidRPr="00ED4D49" w:rsidRDefault="00E020EA" w:rsidP="00E020EA">
      <w:pPr>
        <w:pStyle w:val="ListParagraph"/>
        <w:numPr>
          <w:ilvl w:val="0"/>
          <w:numId w:val="37"/>
        </w:numPr>
        <w:spacing w:before="0" w:after="0" w:line="240" w:lineRule="auto"/>
        <w:rPr>
          <w:rFonts w:asciiTheme="minorHAnsi" w:hAnsiTheme="minorHAnsi" w:cstheme="minorHAnsi"/>
          <w:color w:val="000000" w:themeColor="text1"/>
          <w:kern w:val="24"/>
          <w:sz w:val="20"/>
          <w:szCs w:val="20"/>
        </w:rPr>
      </w:pPr>
      <w:r w:rsidRPr="00ED4D49">
        <w:rPr>
          <w:rFonts w:asciiTheme="minorHAnsi" w:hAnsiTheme="minorHAnsi" w:cstheme="minorHAnsi"/>
          <w:color w:val="000000" w:themeColor="text1"/>
          <w:kern w:val="24"/>
          <w:sz w:val="20"/>
          <w:szCs w:val="20"/>
        </w:rPr>
        <w:t>Environmental and Social Management Framework – ESMF</w:t>
      </w:r>
    </w:p>
    <w:p w14:paraId="2DF0E9E0" w14:textId="77777777" w:rsidR="00E020EA" w:rsidRPr="00ED4D49" w:rsidRDefault="00E020EA" w:rsidP="00E020EA">
      <w:pPr>
        <w:pStyle w:val="ListParagraph"/>
        <w:numPr>
          <w:ilvl w:val="0"/>
          <w:numId w:val="37"/>
        </w:numPr>
        <w:spacing w:before="0" w:after="0" w:line="240" w:lineRule="auto"/>
        <w:rPr>
          <w:rFonts w:asciiTheme="minorHAnsi" w:hAnsiTheme="minorHAnsi" w:cstheme="minorHAnsi"/>
          <w:color w:val="000000" w:themeColor="text1"/>
          <w:kern w:val="24"/>
          <w:sz w:val="20"/>
          <w:szCs w:val="20"/>
        </w:rPr>
      </w:pPr>
      <w:r w:rsidRPr="00ED4D49">
        <w:rPr>
          <w:rFonts w:asciiTheme="minorHAnsi" w:hAnsiTheme="minorHAnsi" w:cstheme="minorHAnsi"/>
          <w:color w:val="000000" w:themeColor="text1"/>
          <w:kern w:val="24"/>
          <w:sz w:val="20"/>
          <w:szCs w:val="20"/>
        </w:rPr>
        <w:t>Resettlement Framework – RPF</w:t>
      </w:r>
    </w:p>
    <w:p w14:paraId="0E49067A" w14:textId="77777777" w:rsidR="00E020EA" w:rsidRPr="00ED4D49" w:rsidRDefault="00E020EA" w:rsidP="00E020EA">
      <w:pPr>
        <w:pStyle w:val="ListParagraph"/>
        <w:numPr>
          <w:ilvl w:val="0"/>
          <w:numId w:val="37"/>
        </w:numPr>
        <w:spacing w:before="0" w:after="0" w:line="240" w:lineRule="auto"/>
        <w:rPr>
          <w:rFonts w:asciiTheme="minorHAnsi" w:hAnsiTheme="minorHAnsi" w:cstheme="minorHAnsi"/>
          <w:color w:val="000000" w:themeColor="text1"/>
          <w:kern w:val="24"/>
          <w:sz w:val="20"/>
          <w:szCs w:val="20"/>
        </w:rPr>
      </w:pPr>
      <w:r w:rsidRPr="00ED4D49">
        <w:rPr>
          <w:rFonts w:asciiTheme="minorHAnsi" w:hAnsiTheme="minorHAnsi" w:cstheme="minorHAnsi"/>
          <w:color w:val="000000" w:themeColor="text1"/>
          <w:kern w:val="24"/>
          <w:sz w:val="20"/>
          <w:szCs w:val="20"/>
        </w:rPr>
        <w:t>Stakeholder Engagement Plan – SEP</w:t>
      </w:r>
    </w:p>
    <w:p w14:paraId="228A3077" w14:textId="77777777" w:rsidR="00E020EA" w:rsidRPr="00ED4D49" w:rsidRDefault="00E020EA" w:rsidP="00E020EA">
      <w:pPr>
        <w:pStyle w:val="ListParagraph"/>
        <w:numPr>
          <w:ilvl w:val="0"/>
          <w:numId w:val="37"/>
        </w:numPr>
        <w:spacing w:before="0" w:after="0" w:line="240" w:lineRule="auto"/>
        <w:rPr>
          <w:rFonts w:asciiTheme="minorHAnsi" w:hAnsiTheme="minorHAnsi" w:cstheme="minorHAnsi"/>
          <w:color w:val="000000" w:themeColor="text1"/>
          <w:kern w:val="24"/>
          <w:sz w:val="20"/>
          <w:szCs w:val="20"/>
        </w:rPr>
      </w:pPr>
      <w:r w:rsidRPr="00ED4D49">
        <w:rPr>
          <w:rFonts w:asciiTheme="minorHAnsi" w:hAnsiTheme="minorHAnsi" w:cstheme="minorHAnsi"/>
          <w:color w:val="000000" w:themeColor="text1"/>
          <w:kern w:val="24"/>
          <w:sz w:val="20"/>
          <w:szCs w:val="20"/>
        </w:rPr>
        <w:t xml:space="preserve">Environmental and social commitment plan ESCP </w:t>
      </w:r>
    </w:p>
    <w:p w14:paraId="2A721D46" w14:textId="77777777" w:rsidR="00E020EA" w:rsidRPr="00ED4D49" w:rsidRDefault="00E020EA" w:rsidP="00E020EA">
      <w:pPr>
        <w:pStyle w:val="ListParagraph"/>
        <w:numPr>
          <w:ilvl w:val="0"/>
          <w:numId w:val="37"/>
        </w:numPr>
        <w:spacing w:before="0" w:after="0" w:line="240" w:lineRule="auto"/>
        <w:rPr>
          <w:rFonts w:asciiTheme="minorHAnsi" w:hAnsiTheme="minorHAnsi" w:cstheme="minorHAnsi"/>
          <w:color w:val="000000" w:themeColor="text1"/>
          <w:kern w:val="24"/>
          <w:sz w:val="20"/>
          <w:szCs w:val="20"/>
        </w:rPr>
      </w:pPr>
      <w:r w:rsidRPr="00ED4D49">
        <w:rPr>
          <w:rFonts w:asciiTheme="minorHAnsi" w:hAnsiTheme="minorHAnsi" w:cstheme="minorHAnsi"/>
          <w:color w:val="000000" w:themeColor="text1"/>
          <w:kern w:val="24"/>
          <w:sz w:val="20"/>
          <w:szCs w:val="20"/>
        </w:rPr>
        <w:t>Labor Management Procedure – LMP</w:t>
      </w:r>
    </w:p>
    <w:p w14:paraId="76D9CA50" w14:textId="77777777" w:rsidR="00E020EA" w:rsidRPr="00ED4D49" w:rsidRDefault="00E020EA" w:rsidP="00E020EA">
      <w:pPr>
        <w:pStyle w:val="ListParagraph"/>
        <w:rPr>
          <w:rFonts w:asciiTheme="minorHAnsi" w:hAnsiTheme="minorHAnsi" w:cstheme="minorHAnsi"/>
          <w:color w:val="000000" w:themeColor="text1"/>
          <w:kern w:val="24"/>
          <w:sz w:val="20"/>
          <w:szCs w:val="20"/>
        </w:rPr>
      </w:pPr>
    </w:p>
    <w:p w14:paraId="1C334EA2" w14:textId="77777777" w:rsidR="00E020EA" w:rsidRPr="00ED4D49" w:rsidRDefault="00E020EA" w:rsidP="00E020EA">
      <w:pPr>
        <w:pStyle w:val="ListParagraph"/>
        <w:rPr>
          <w:rFonts w:asciiTheme="minorHAnsi" w:hAnsiTheme="minorHAnsi" w:cstheme="minorHAnsi"/>
          <w:color w:val="000000" w:themeColor="text1"/>
          <w:kern w:val="24"/>
          <w:sz w:val="20"/>
          <w:szCs w:val="20"/>
        </w:rPr>
      </w:pPr>
    </w:p>
    <w:p w14:paraId="775C6228" w14:textId="77777777" w:rsidR="00E020EA" w:rsidRPr="00ED4D49" w:rsidRDefault="00E020EA" w:rsidP="00ED4D49">
      <w:pPr>
        <w:jc w:val="both"/>
        <w:rPr>
          <w:rFonts w:asciiTheme="minorHAnsi" w:hAnsiTheme="minorHAnsi" w:cstheme="minorHAnsi"/>
          <w:color w:val="000000" w:themeColor="text1"/>
          <w:szCs w:val="20"/>
        </w:rPr>
      </w:pPr>
      <w:r w:rsidRPr="00ED4D49">
        <w:rPr>
          <w:rFonts w:asciiTheme="minorHAnsi" w:hAnsiTheme="minorHAnsi" w:cstheme="minorHAnsi"/>
          <w:color w:val="000000" w:themeColor="text1"/>
          <w:szCs w:val="20"/>
        </w:rPr>
        <w:t>The aforementioned documents were available to citizens and interest groups on the website of the Government of Brčko District BiH and on the website of the Development and Guarantee Fund of Brčko District BiH www.rgfbd.com from 02.03.2023. years. until March 16, 2023, i.e. 14 days.</w:t>
      </w:r>
    </w:p>
    <w:p w14:paraId="2E2E9969" w14:textId="77777777" w:rsidR="00E020EA" w:rsidRPr="00ED4D49" w:rsidRDefault="00E020EA" w:rsidP="00ED4D49">
      <w:pPr>
        <w:jc w:val="both"/>
        <w:rPr>
          <w:rFonts w:asciiTheme="minorHAnsi" w:hAnsiTheme="minorHAnsi" w:cstheme="minorHAnsi"/>
          <w:color w:val="000000" w:themeColor="text1"/>
          <w:szCs w:val="20"/>
        </w:rPr>
      </w:pPr>
      <w:r w:rsidRPr="00ED4D49">
        <w:rPr>
          <w:rFonts w:asciiTheme="minorHAnsi" w:hAnsiTheme="minorHAnsi" w:cstheme="minorHAnsi"/>
          <w:color w:val="000000" w:themeColor="text1"/>
          <w:szCs w:val="20"/>
        </w:rPr>
        <w:t>Eleven citizens and representatives of institutions (1 woman and 10 men) participated in the public debate, who had suggestions and comments on the documents presented as follows:</w:t>
      </w:r>
    </w:p>
    <w:p w14:paraId="4CC014CE" w14:textId="77777777" w:rsidR="00E020EA" w:rsidRPr="00ED4D49" w:rsidRDefault="00E020EA" w:rsidP="00ED4D49">
      <w:pPr>
        <w:jc w:val="both"/>
        <w:rPr>
          <w:rFonts w:asciiTheme="minorHAnsi" w:hAnsiTheme="minorHAnsi" w:cstheme="minorHAnsi"/>
          <w:color w:val="000000" w:themeColor="text1"/>
          <w:szCs w:val="20"/>
        </w:rPr>
      </w:pPr>
      <w:r w:rsidRPr="00ED4D49">
        <w:rPr>
          <w:rFonts w:asciiTheme="minorHAnsi" w:hAnsiTheme="minorHAnsi" w:cstheme="minorHAnsi"/>
          <w:color w:val="5B9BD5" w:themeColor="accent5"/>
          <w:szCs w:val="20"/>
        </w:rPr>
        <w:t>1. From BiH MAC</w:t>
      </w:r>
      <w:r w:rsidRPr="00ED4D49">
        <w:rPr>
          <w:rFonts w:asciiTheme="minorHAnsi" w:hAnsiTheme="minorHAnsi" w:cstheme="minorHAnsi"/>
          <w:color w:val="000000" w:themeColor="text1"/>
          <w:szCs w:val="20"/>
        </w:rPr>
        <w:t>, they suggested the accuracy of the data on demined areas of the Sava bank. Of the 9.9 million square meters of mine-contaminated areas of the Sava coast, that area of the BiH coast now amounts to 6,534,000 square meters. The number of unrealized demining projects was reduced from 144 to 94. The area along the Sava coast through the Brčko district includes 7 projects, which cover an area of 553,333 square meters, and whose implementation is scheduled for 2024.</w:t>
      </w:r>
    </w:p>
    <w:p w14:paraId="7FEAFD7F" w14:textId="77777777" w:rsidR="00E020EA" w:rsidRPr="00ED4D49" w:rsidRDefault="00E020EA" w:rsidP="00ED4D49">
      <w:pPr>
        <w:jc w:val="both"/>
        <w:rPr>
          <w:rFonts w:asciiTheme="minorHAnsi" w:hAnsiTheme="minorHAnsi" w:cstheme="minorHAnsi"/>
          <w:color w:val="000000" w:themeColor="text1"/>
          <w:szCs w:val="20"/>
        </w:rPr>
      </w:pPr>
      <w:r w:rsidRPr="00ED4D49">
        <w:rPr>
          <w:rFonts w:asciiTheme="minorHAnsi" w:hAnsiTheme="minorHAnsi" w:cstheme="minorHAnsi"/>
          <w:color w:val="5B9BD5" w:themeColor="accent5"/>
          <w:szCs w:val="20"/>
        </w:rPr>
        <w:t xml:space="preserve">2. From the Institute for Planning, Projecting and Development of the Brčko District, </w:t>
      </w:r>
      <w:r w:rsidRPr="00ED4D49">
        <w:rPr>
          <w:rFonts w:asciiTheme="minorHAnsi" w:hAnsiTheme="minorHAnsi" w:cstheme="minorHAnsi"/>
          <w:color w:val="000000" w:themeColor="text1"/>
          <w:szCs w:val="20"/>
        </w:rPr>
        <w:t>they pointed out the need to clearly state in the documents, in accordance with the Laws in the Brčko District, what is whose jurisdiction. And that the Department for Urbanism and Spatial Planning is the "Worker", while the Institute for Planning, Designing and Development of the District is the "Producer of Spatial Planning Documentation".</w:t>
      </w:r>
    </w:p>
    <w:p w14:paraId="750BE918" w14:textId="484EB31E" w:rsidR="004E696B" w:rsidRPr="00ED4D49" w:rsidRDefault="00E020EA" w:rsidP="009B5EBE">
      <w:pPr>
        <w:jc w:val="both"/>
        <w:rPr>
          <w:rFonts w:asciiTheme="minorHAnsi" w:hAnsiTheme="minorHAnsi" w:cstheme="minorHAnsi"/>
          <w:color w:val="000000" w:themeColor="text1"/>
          <w:szCs w:val="20"/>
        </w:rPr>
      </w:pPr>
      <w:r w:rsidRPr="00ED4D49">
        <w:rPr>
          <w:rFonts w:asciiTheme="minorHAnsi" w:hAnsiTheme="minorHAnsi" w:cstheme="minorHAnsi"/>
          <w:color w:val="000000" w:themeColor="text1"/>
          <w:szCs w:val="20"/>
        </w:rPr>
        <w:t>The minutes were drawn up by the representatives of the Project Implementation Unit of the Brčko District of Bosnia and Herzegovina.</w:t>
      </w:r>
    </w:p>
    <w:p w14:paraId="0E3A6AAE" w14:textId="77777777" w:rsidR="004E696B" w:rsidRPr="00ED4D49" w:rsidRDefault="004E696B">
      <w:pPr>
        <w:spacing w:before="0" w:after="0" w:line="240" w:lineRule="auto"/>
        <w:rPr>
          <w:rFonts w:asciiTheme="minorHAnsi" w:hAnsiTheme="minorHAnsi" w:cstheme="minorHAnsi"/>
          <w:color w:val="000000" w:themeColor="text1"/>
          <w:szCs w:val="20"/>
        </w:rPr>
      </w:pPr>
      <w:r w:rsidRPr="00ED4D49">
        <w:rPr>
          <w:rFonts w:asciiTheme="minorHAnsi" w:hAnsiTheme="minorHAnsi" w:cstheme="minorHAnsi"/>
          <w:color w:val="000000" w:themeColor="text1"/>
          <w:szCs w:val="20"/>
        </w:rPr>
        <w:br w:type="page"/>
      </w:r>
    </w:p>
    <w:p w14:paraId="6DDC1F74" w14:textId="0980220E" w:rsidR="004E696B" w:rsidRPr="00ED4D49" w:rsidRDefault="00B939DC" w:rsidP="004E696B">
      <w:pPr>
        <w:rPr>
          <w:noProof/>
        </w:rPr>
      </w:pPr>
      <w:r w:rsidRPr="00ED4D49">
        <w:rPr>
          <w:noProof/>
        </w:rPr>
        <w:lastRenderedPageBreak/>
        <mc:AlternateContent>
          <mc:Choice Requires="wps">
            <w:drawing>
              <wp:anchor distT="0" distB="0" distL="114300" distR="114300" simplePos="0" relativeHeight="251659264" behindDoc="0" locked="0" layoutInCell="1" allowOverlap="1" wp14:anchorId="13A73746" wp14:editId="6332DC50">
                <wp:simplePos x="0" y="0"/>
                <wp:positionH relativeFrom="column">
                  <wp:posOffset>3816350</wp:posOffset>
                </wp:positionH>
                <wp:positionV relativeFrom="paragraph">
                  <wp:posOffset>2266950</wp:posOffset>
                </wp:positionV>
                <wp:extent cx="857250" cy="1117600"/>
                <wp:effectExtent l="0" t="0" r="19050" b="25400"/>
                <wp:wrapNone/>
                <wp:docPr id="21" name="Rectangle 21"/>
                <wp:cNvGraphicFramePr/>
                <a:graphic xmlns:a="http://schemas.openxmlformats.org/drawingml/2006/main">
                  <a:graphicData uri="http://schemas.microsoft.com/office/word/2010/wordprocessingShape">
                    <wps:wsp>
                      <wps:cNvSpPr/>
                      <wps:spPr>
                        <a:xfrm>
                          <a:off x="0" y="0"/>
                          <a:ext cx="857250" cy="1117600"/>
                        </a:xfrm>
                        <a:prstGeom prst="rect">
                          <a:avLst/>
                        </a:prstGeom>
                        <a:solidFill>
                          <a:schemeClr val="bg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A838E42" id="Rectangle 21" o:spid="_x0000_s1026" style="position:absolute;margin-left:300.5pt;margin-top:178.5pt;width:67.5pt;height:88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" fillcolor="#e7e6e6 [3214]" strokecolor="#1f3763 [1604]" strokeweight="1pt"/>
            </w:pict>
          </mc:Fallback>
        </mc:AlternateContent>
      </w:r>
      <w:r w:rsidR="004E696B" w:rsidRPr="00ED4D49">
        <w:rPr>
          <w:noProof/>
        </w:rPr>
        <w:drawing>
          <wp:inline distT="0" distB="0" distL="0" distR="0" wp14:anchorId="34CC4271" wp14:editId="0526FE88">
            <wp:extent cx="5943600" cy="44608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rot="10800000">
                      <a:off x="0" y="0"/>
                      <a:ext cx="5943600" cy="4460875"/>
                    </a:xfrm>
                    <a:prstGeom prst="rect">
                      <a:avLst/>
                    </a:prstGeom>
                    <a:noFill/>
                    <a:ln>
                      <a:noFill/>
                    </a:ln>
                  </pic:spPr>
                </pic:pic>
              </a:graphicData>
            </a:graphic>
          </wp:inline>
        </w:drawing>
      </w:r>
      <w:r w:rsidR="004E696B" w:rsidRPr="00ED4D49">
        <w:t xml:space="preserve"> </w:t>
      </w:r>
    </w:p>
    <w:p w14:paraId="30AF8E7E" w14:textId="0C7A81BE" w:rsidR="004E696B" w:rsidRPr="00ED4D49" w:rsidRDefault="00523FC3" w:rsidP="004E696B">
      <w:r w:rsidRPr="00ED4D49">
        <w:rPr>
          <w:noProof/>
        </w:rPr>
        <mc:AlternateContent>
          <mc:Choice Requires="wps">
            <w:drawing>
              <wp:anchor distT="0" distB="0" distL="114300" distR="114300" simplePos="0" relativeHeight="251661312" behindDoc="0" locked="0" layoutInCell="1" allowOverlap="1" wp14:anchorId="5EF383DA" wp14:editId="62C681B4">
                <wp:simplePos x="0" y="0"/>
                <wp:positionH relativeFrom="margin">
                  <wp:posOffset>3873500</wp:posOffset>
                </wp:positionH>
                <wp:positionV relativeFrom="paragraph">
                  <wp:posOffset>1495425</wp:posOffset>
                </wp:positionV>
                <wp:extent cx="857250" cy="241300"/>
                <wp:effectExtent l="0" t="0" r="19050" b="25400"/>
                <wp:wrapNone/>
                <wp:docPr id="22" name="Rectangle 22"/>
                <wp:cNvGraphicFramePr/>
                <a:graphic xmlns:a="http://schemas.openxmlformats.org/drawingml/2006/main">
                  <a:graphicData uri="http://schemas.microsoft.com/office/word/2010/wordprocessingShape">
                    <wps:wsp>
                      <wps:cNvSpPr/>
                      <wps:spPr>
                        <a:xfrm>
                          <a:off x="0" y="0"/>
                          <a:ext cx="857250" cy="241300"/>
                        </a:xfrm>
                        <a:prstGeom prst="rect">
                          <a:avLst/>
                        </a:prstGeom>
                        <a:solidFill>
                          <a:schemeClr val="bg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A49331" id="Rectangle 22" o:spid="_x0000_s1026" style="position:absolute;margin-left:305pt;margin-top:117.75pt;width:67.5pt;height:19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" fillcolor="#e7e6e6 [3214]" strokecolor="#1f3763 [1604]" strokeweight="1pt">
                <w10:wrap anchorx="margin"/>
              </v:rect>
            </w:pict>
          </mc:Fallback>
        </mc:AlternateContent>
      </w:r>
      <w:r w:rsidR="004E696B" w:rsidRPr="00ED4D49">
        <w:rPr>
          <w:noProof/>
        </w:rPr>
        <w:drawing>
          <wp:inline distT="0" distB="0" distL="0" distR="0" wp14:anchorId="5DC7EDA6" wp14:editId="46DC1BE5">
            <wp:extent cx="5943600" cy="2081552"/>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6" cstate="print">
                      <a:extLst>
                        <a:ext uri="{28A0092B-C50C-407E-A947-70E740481C1C}">
                          <a14:useLocalDpi xmlns:a14="http://schemas.microsoft.com/office/drawing/2010/main" val="0"/>
                        </a:ext>
                      </a:extLst>
                    </a:blip>
                    <a:srcRect t="53351"/>
                    <a:stretch/>
                  </pic:blipFill>
                  <pic:spPr bwMode="auto">
                    <a:xfrm rot="10800000">
                      <a:off x="0" y="0"/>
                      <a:ext cx="5943600" cy="2081552"/>
                    </a:xfrm>
                    <a:prstGeom prst="rect">
                      <a:avLst/>
                    </a:prstGeom>
                    <a:noFill/>
                    <a:ln>
                      <a:noFill/>
                    </a:ln>
                    <a:extLst>
                      <a:ext uri="{53640926-AAD7-44D8-BBD7-CCE9431645EC}">
                        <a14:shadowObscured xmlns:a14="http://schemas.microsoft.com/office/drawing/2010/main"/>
                      </a:ext>
                    </a:extLst>
                  </pic:spPr>
                </pic:pic>
              </a:graphicData>
            </a:graphic>
          </wp:inline>
        </w:drawing>
      </w:r>
    </w:p>
    <w:p w14:paraId="59FA3A3C" w14:textId="05AF0B4A" w:rsidR="004E696B" w:rsidRPr="00ED4D49" w:rsidRDefault="004E696B" w:rsidP="004E696B"/>
    <w:p w14:paraId="6F98EE0E" w14:textId="77777777" w:rsidR="004E696B" w:rsidRPr="00ED4D49" w:rsidRDefault="004E696B" w:rsidP="004E696B"/>
    <w:p w14:paraId="58F17C41" w14:textId="0528E233" w:rsidR="004E696B" w:rsidRPr="00ED4D49" w:rsidRDefault="004E696B" w:rsidP="004E696B"/>
    <w:p w14:paraId="4338BC7A" w14:textId="703E273E" w:rsidR="004E696B" w:rsidRPr="00ED4D49" w:rsidRDefault="004E696B" w:rsidP="004E696B"/>
    <w:p w14:paraId="72A37F9D" w14:textId="405B80E7" w:rsidR="004E696B" w:rsidRPr="00ED4D49" w:rsidRDefault="004E696B" w:rsidP="004E696B"/>
    <w:p w14:paraId="0563AE70" w14:textId="77777777" w:rsidR="004E696B" w:rsidRPr="00ED4D49" w:rsidRDefault="004E696B" w:rsidP="004E696B"/>
    <w:p w14:paraId="5C27B0AA" w14:textId="77777777" w:rsidR="004E696B" w:rsidRPr="00ED4D49" w:rsidRDefault="004E696B" w:rsidP="004E696B">
      <w:pPr>
        <w:jc w:val="center"/>
      </w:pPr>
      <w:r w:rsidRPr="00ED4D49">
        <w:rPr>
          <w:noProof/>
        </w:rPr>
        <w:lastRenderedPageBreak/>
        <w:drawing>
          <wp:inline distT="0" distB="0" distL="0" distR="0" wp14:anchorId="219415C3" wp14:editId="285E5B2A">
            <wp:extent cx="4445876" cy="3333457"/>
            <wp:effectExtent l="0" t="0" r="0"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4452684" cy="3338562"/>
                    </a:xfrm>
                    <a:prstGeom prst="rect">
                      <a:avLst/>
                    </a:prstGeom>
                    <a:noFill/>
                    <a:ln>
                      <a:noFill/>
                    </a:ln>
                  </pic:spPr>
                </pic:pic>
              </a:graphicData>
            </a:graphic>
          </wp:inline>
        </w:drawing>
      </w:r>
    </w:p>
    <w:p w14:paraId="79B14983" w14:textId="77777777" w:rsidR="004E696B" w:rsidRPr="00ED4D49" w:rsidRDefault="004E696B" w:rsidP="004E696B"/>
    <w:p w14:paraId="215E2C0A" w14:textId="77777777" w:rsidR="004E696B" w:rsidRDefault="004E696B" w:rsidP="004E696B">
      <w:pPr>
        <w:jc w:val="center"/>
      </w:pPr>
      <w:r w:rsidRPr="00ED4D49">
        <w:rPr>
          <w:noProof/>
        </w:rPr>
        <w:drawing>
          <wp:inline distT="0" distB="0" distL="0" distR="0" wp14:anchorId="0E8009D5" wp14:editId="498903AA">
            <wp:extent cx="4493172" cy="3368919"/>
            <wp:effectExtent l="0" t="0" r="3175" b="31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4508934" cy="3380737"/>
                    </a:xfrm>
                    <a:prstGeom prst="rect">
                      <a:avLst/>
                    </a:prstGeom>
                    <a:noFill/>
                    <a:ln>
                      <a:noFill/>
                    </a:ln>
                  </pic:spPr>
                </pic:pic>
              </a:graphicData>
            </a:graphic>
          </wp:inline>
        </w:drawing>
      </w:r>
    </w:p>
    <w:p w14:paraId="77065097" w14:textId="77777777" w:rsidR="00E020EA" w:rsidRPr="00ED4D49" w:rsidRDefault="00E020EA" w:rsidP="00ED4D49">
      <w:pPr>
        <w:jc w:val="both"/>
        <w:rPr>
          <w:rFonts w:asciiTheme="minorHAnsi" w:hAnsiTheme="minorHAnsi" w:cstheme="minorHAnsi"/>
          <w:color w:val="000000" w:themeColor="text1"/>
          <w:szCs w:val="20"/>
        </w:rPr>
      </w:pPr>
    </w:p>
    <w:p w14:paraId="031C5C1D" w14:textId="77777777" w:rsidR="006F3B00" w:rsidRPr="00ED4D49" w:rsidRDefault="006F3B00" w:rsidP="00BB1969">
      <w:pPr>
        <w:jc w:val="center"/>
        <w:rPr>
          <w:rFonts w:asciiTheme="minorHAnsi" w:hAnsiTheme="minorHAnsi" w:cstheme="minorHAnsi"/>
          <w:sz w:val="16"/>
          <w:szCs w:val="16"/>
          <w:lang w:val="en-US"/>
        </w:rPr>
      </w:pPr>
    </w:p>
    <w:p w14:paraId="56E43B4F" w14:textId="77777777" w:rsidR="006F3B00" w:rsidRPr="00DF7957" w:rsidRDefault="006F3B00" w:rsidP="00BB1969">
      <w:pPr>
        <w:jc w:val="center"/>
        <w:rPr>
          <w:sz w:val="16"/>
          <w:szCs w:val="16"/>
          <w:lang w:val="en-US"/>
        </w:rPr>
      </w:pPr>
    </w:p>
    <w:sectPr w:rsidR="006F3B00" w:rsidRPr="00DF7957" w:rsidSect="00ED4D49">
      <w:pgSz w:w="11900" w:h="16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44B9A95" w14:textId="77777777" w:rsidR="00092640" w:rsidRDefault="00092640" w:rsidP="00183222">
      <w:pPr>
        <w:spacing w:after="0" w:line="240" w:lineRule="auto"/>
      </w:pPr>
      <w:r>
        <w:separator/>
      </w:r>
    </w:p>
    <w:p w14:paraId="13762E6F" w14:textId="77777777" w:rsidR="00092640" w:rsidRDefault="00092640"/>
    <w:p w14:paraId="37E005CE" w14:textId="77777777" w:rsidR="00092640" w:rsidRDefault="00092640" w:rsidP="00857724"/>
  </w:endnote>
  <w:endnote w:type="continuationSeparator" w:id="0">
    <w:p w14:paraId="76661293" w14:textId="77777777" w:rsidR="00092640" w:rsidRDefault="00092640" w:rsidP="00183222">
      <w:pPr>
        <w:spacing w:after="0" w:line="240" w:lineRule="auto"/>
      </w:pPr>
      <w:r>
        <w:continuationSeparator/>
      </w:r>
    </w:p>
    <w:p w14:paraId="44E38E62" w14:textId="77777777" w:rsidR="00092640" w:rsidRDefault="00092640"/>
    <w:p w14:paraId="68DA1E8A" w14:textId="77777777" w:rsidR="00092640" w:rsidRDefault="00092640" w:rsidP="0085772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imes New Roman Bold">
    <w:altName w:val="Times New Roman"/>
    <w:panose1 w:val="02020803070505020304"/>
    <w:charset w:val="00"/>
    <w:family w:val="roman"/>
    <w:notTrueType/>
    <w:pitch w:val="default"/>
  </w:font>
  <w:font w:name="Corbel">
    <w:panose1 w:val="020B0503020204020204"/>
    <w:charset w:val="00"/>
    <w:family w:val="swiss"/>
    <w:pitch w:val="variable"/>
    <w:sig w:usb0="A00002EF" w:usb1="4000A44B"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ヒラギノ角ゴ Pro W3">
    <w:charset w:val="80"/>
    <w:family w:val="swiss"/>
    <w:pitch w:val="variable"/>
    <w:sig w:usb0="00000000" w:usb1="7AC7FFFF" w:usb2="00000012" w:usb3="00000000" w:csb0="0002000D" w:csb1="00000000"/>
  </w:font>
  <w:font w:name="Trebuchet MS">
    <w:panose1 w:val="020B0603020202020204"/>
    <w:charset w:val="00"/>
    <w:family w:val="swiss"/>
    <w:pitch w:val="variable"/>
    <w:sig w:usb0="00000687" w:usb1="00000000" w:usb2="00000000" w:usb3="00000000" w:csb0="0000009F" w:csb1="00000000"/>
  </w:font>
  <w:font w:name="Segoe">
    <w:altName w:val="Calibri"/>
    <w:charset w:val="EE"/>
    <w:family w:val="swiss"/>
    <w:pitch w:val="variable"/>
    <w:sig w:usb0="00000087" w:usb1="00000000" w:usb2="00000000" w:usb3="00000000" w:csb0="0000009B" w:csb1="00000000"/>
  </w:font>
  <w:font w:name="Arial Narrow">
    <w:altName w:val="Arial"/>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Latha">
    <w:panose1 w:val="02000400000000000000"/>
    <w:charset w:val="00"/>
    <w:family w:val="swiss"/>
    <w:pitch w:val="variable"/>
    <w:sig w:usb0="00100003" w:usb1="00000000" w:usb2="00000000" w:usb3="00000000" w:csb0="00000001" w:csb1="00000000"/>
  </w:font>
  <w:font w:name="Tw Cen MT">
    <w:panose1 w:val="020B0602020104020603"/>
    <w:charset w:val="00"/>
    <w:family w:val="swiss"/>
    <w:pitch w:val="variable"/>
    <w:sig w:usb0="00000007" w:usb1="00000000" w:usb2="00000000" w:usb3="00000000" w:csb0="00000003" w:csb1="00000000"/>
  </w:font>
  <w:font w:name="@µ'3BÀ˛">
    <w:altName w:val="Calibri"/>
    <w:panose1 w:val="00000000000000000000"/>
    <w:charset w:val="4D"/>
    <w:family w:val="auto"/>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MT">
    <w:altName w:val="Times New Roman"/>
    <w:panose1 w:val="00000000000000000000"/>
    <w:charset w:val="4D"/>
    <w:family w:val="swiss"/>
    <w:notTrueType/>
    <w:pitch w:val="default"/>
    <w:sig w:usb0="03000000"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3F3131" w14:textId="77777777" w:rsidR="00E95CFA" w:rsidRDefault="00E95CF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E821D3" w14:textId="25578F35" w:rsidR="007E7168" w:rsidRPr="00FC7A72" w:rsidRDefault="007E7168" w:rsidP="00804724">
    <w:pPr>
      <w:pStyle w:val="Footer"/>
      <w:jc w:val="right"/>
      <w:rPr>
        <w:color w:val="006600"/>
        <w:sz w:val="14"/>
      </w:rPr>
    </w:pPr>
  </w:p>
  <w:p w14:paraId="00666C94" w14:textId="77777777" w:rsidR="007E7168" w:rsidRDefault="007E7168"/>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975D85" w14:textId="77777777" w:rsidR="007E7168" w:rsidRPr="00FC7A72" w:rsidRDefault="007E7168" w:rsidP="000B2E9A">
    <w:pPr>
      <w:pStyle w:val="Footer"/>
      <w:jc w:val="right"/>
      <w:rPr>
        <w:color w:val="006600"/>
        <w:sz w:val="14"/>
      </w:rPr>
    </w:pPr>
    <w:r w:rsidRPr="00FC7A72">
      <w:rPr>
        <w:color w:val="4F6228"/>
        <w:sz w:val="16"/>
      </w:rPr>
      <w:fldChar w:fldCharType="begin"/>
    </w:r>
    <w:r w:rsidRPr="00FC7A72">
      <w:rPr>
        <w:color w:val="4F6228"/>
        <w:sz w:val="16"/>
      </w:rPr>
      <w:instrText xml:space="preserve"> PAGE   \* MERGEFORMAT </w:instrText>
    </w:r>
    <w:r w:rsidRPr="00FC7A72">
      <w:rPr>
        <w:color w:val="4F6228"/>
        <w:sz w:val="16"/>
      </w:rPr>
      <w:fldChar w:fldCharType="separate"/>
    </w:r>
    <w:r w:rsidR="00B91C11">
      <w:rPr>
        <w:noProof/>
        <w:color w:val="4F6228"/>
        <w:sz w:val="16"/>
      </w:rPr>
      <w:t>99</w:t>
    </w:r>
    <w:r w:rsidRPr="00FC7A72">
      <w:rPr>
        <w:noProof/>
        <w:color w:val="4F6228"/>
        <w:sz w:val="16"/>
      </w:rPr>
      <w:fldChar w:fldCharType="end"/>
    </w:r>
  </w:p>
  <w:p w14:paraId="2801A006" w14:textId="77777777" w:rsidR="007E7168" w:rsidRDefault="007E716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F4C1B1" w14:textId="77777777" w:rsidR="007E7168" w:rsidRPr="00FC7A72" w:rsidRDefault="007E7168" w:rsidP="00804724">
    <w:pPr>
      <w:pStyle w:val="Footer"/>
      <w:jc w:val="right"/>
      <w:rPr>
        <w:color w:val="006600"/>
        <w:sz w:val="14"/>
      </w:rPr>
    </w:pPr>
    <w:r w:rsidRPr="00FC7A72">
      <w:rPr>
        <w:color w:val="4F6228"/>
        <w:sz w:val="16"/>
      </w:rPr>
      <w:fldChar w:fldCharType="begin"/>
    </w:r>
    <w:r w:rsidRPr="00FC7A72">
      <w:rPr>
        <w:color w:val="4F6228"/>
        <w:sz w:val="16"/>
      </w:rPr>
      <w:instrText xml:space="preserve"> PAGE   \* MERGEFORMAT </w:instrText>
    </w:r>
    <w:r w:rsidRPr="00FC7A72">
      <w:rPr>
        <w:color w:val="4F6228"/>
        <w:sz w:val="16"/>
      </w:rPr>
      <w:fldChar w:fldCharType="separate"/>
    </w:r>
    <w:r w:rsidR="00B91C11">
      <w:rPr>
        <w:noProof/>
        <w:color w:val="4F6228"/>
        <w:sz w:val="16"/>
      </w:rPr>
      <w:t>iv</w:t>
    </w:r>
    <w:r w:rsidRPr="00FC7A72">
      <w:rPr>
        <w:noProof/>
        <w:color w:val="4F6228"/>
        <w:sz w:val="16"/>
      </w:rPr>
      <w:fldChar w:fldCharType="end"/>
    </w:r>
  </w:p>
  <w:p w14:paraId="20B77A5F" w14:textId="77777777" w:rsidR="007E7168" w:rsidRDefault="007E7168"/>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CB58D7" w14:textId="77777777" w:rsidR="007E7168" w:rsidRPr="00FC7A72" w:rsidRDefault="007E7168" w:rsidP="00804724">
    <w:pPr>
      <w:pStyle w:val="Footer"/>
      <w:jc w:val="right"/>
      <w:rPr>
        <w:color w:val="006600"/>
        <w:sz w:val="14"/>
      </w:rPr>
    </w:pPr>
    <w:r w:rsidRPr="00FC7A72">
      <w:rPr>
        <w:color w:val="4F6228"/>
        <w:sz w:val="16"/>
      </w:rPr>
      <w:fldChar w:fldCharType="begin"/>
    </w:r>
    <w:r w:rsidRPr="00FC7A72">
      <w:rPr>
        <w:color w:val="4F6228"/>
        <w:sz w:val="16"/>
      </w:rPr>
      <w:instrText xml:space="preserve"> PAGE   \* MERGEFORMAT </w:instrText>
    </w:r>
    <w:r w:rsidRPr="00FC7A72">
      <w:rPr>
        <w:color w:val="4F6228"/>
        <w:sz w:val="16"/>
      </w:rPr>
      <w:fldChar w:fldCharType="separate"/>
    </w:r>
    <w:r w:rsidR="00B91C11">
      <w:rPr>
        <w:noProof/>
        <w:color w:val="4F6228"/>
        <w:sz w:val="16"/>
      </w:rPr>
      <w:t>100</w:t>
    </w:r>
    <w:r w:rsidRPr="00FC7A72">
      <w:rPr>
        <w:noProof/>
        <w:color w:val="4F6228"/>
        <w:sz w:val="16"/>
      </w:rPr>
      <w:fldChar w:fldCharType="end"/>
    </w:r>
  </w:p>
  <w:p w14:paraId="0E1C1A0F" w14:textId="77777777" w:rsidR="007E7168" w:rsidRDefault="007E716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E1E500C" w14:textId="77777777" w:rsidR="00092640" w:rsidRDefault="00092640" w:rsidP="00183222">
      <w:pPr>
        <w:spacing w:after="0" w:line="240" w:lineRule="auto"/>
      </w:pPr>
      <w:r>
        <w:separator/>
      </w:r>
    </w:p>
  </w:footnote>
  <w:footnote w:type="continuationSeparator" w:id="0">
    <w:p w14:paraId="4CBD7B33" w14:textId="77777777" w:rsidR="00092640" w:rsidRDefault="00092640" w:rsidP="00183222">
      <w:pPr>
        <w:spacing w:after="0" w:line="240" w:lineRule="auto"/>
      </w:pPr>
      <w:r>
        <w:continuationSeparator/>
      </w:r>
    </w:p>
    <w:p w14:paraId="1C2C2BF2" w14:textId="77777777" w:rsidR="00092640" w:rsidRDefault="00092640"/>
    <w:p w14:paraId="659EA347" w14:textId="77777777" w:rsidR="00092640" w:rsidRDefault="00092640" w:rsidP="00857724"/>
  </w:footnote>
  <w:footnote w:id="1">
    <w:p w14:paraId="32122D0C" w14:textId="5C95A6F9" w:rsidR="007E7168" w:rsidRPr="003263DC" w:rsidRDefault="007E7168" w:rsidP="001B5262">
      <w:pPr>
        <w:pStyle w:val="FootnoteText"/>
        <w:jc w:val="both"/>
        <w:rPr>
          <w:rFonts w:asciiTheme="minorHAnsi" w:hAnsiTheme="minorHAnsi" w:cstheme="minorHAnsi"/>
          <w:sz w:val="16"/>
          <w:szCs w:val="16"/>
          <w:lang w:val="en-US"/>
        </w:rPr>
      </w:pPr>
      <w:r w:rsidRPr="003263DC">
        <w:rPr>
          <w:rStyle w:val="FootnoteReference"/>
          <w:rFonts w:asciiTheme="minorHAnsi" w:hAnsiTheme="minorHAnsi" w:cstheme="minorHAnsi"/>
          <w:sz w:val="16"/>
          <w:szCs w:val="16"/>
          <w:lang w:val="en-US"/>
        </w:rPr>
        <w:footnoteRef/>
      </w:r>
      <w:r w:rsidRPr="003263DC">
        <w:rPr>
          <w:rFonts w:asciiTheme="minorHAnsi" w:hAnsiTheme="minorHAnsi" w:cstheme="minorHAnsi"/>
          <w:sz w:val="16"/>
          <w:szCs w:val="16"/>
          <w:lang w:val="en-US"/>
        </w:rPr>
        <w:t xml:space="preserve"> A Representative Concentration Pathway (RCP) is a greenhouse gas concentration (not emissions) trajectory adopted by the IPCC for its fifth Assessment Report (AR5) in 2014.</w:t>
      </w:r>
    </w:p>
  </w:footnote>
  <w:footnote w:id="2">
    <w:p w14:paraId="12200151" w14:textId="6FB1156C" w:rsidR="007E7168" w:rsidRPr="003263DC" w:rsidRDefault="007E7168" w:rsidP="001B5262">
      <w:pPr>
        <w:pStyle w:val="FootnoteTextCharChar2CharChar1"/>
        <w:spacing w:before="0"/>
        <w:rPr>
          <w:rFonts w:asciiTheme="minorHAnsi" w:hAnsiTheme="minorHAnsi" w:cstheme="minorHAnsi"/>
          <w:szCs w:val="16"/>
          <w:lang w:val="en-US"/>
        </w:rPr>
      </w:pPr>
      <w:r w:rsidRPr="003263DC">
        <w:rPr>
          <w:rStyle w:val="FootnoteReference"/>
          <w:rFonts w:asciiTheme="minorHAnsi" w:hAnsiTheme="minorHAnsi" w:cstheme="minorHAnsi"/>
          <w:szCs w:val="16"/>
          <w:lang w:val="en-US"/>
        </w:rPr>
        <w:footnoteRef/>
      </w:r>
      <w:r w:rsidRPr="003263DC">
        <w:rPr>
          <w:rFonts w:asciiTheme="minorHAnsi" w:hAnsiTheme="minorHAnsi" w:cstheme="minorHAnsi"/>
          <w:szCs w:val="16"/>
          <w:lang w:val="en-US"/>
        </w:rPr>
        <w:t xml:space="preserve"> The Sava River Basin Management Plan in FBiH (2016-2021), Sava River Basin District Agency, Sarajevo, November, 2016; Sava River Basin Management Plan in RS (2017-2021), </w:t>
      </w:r>
      <w:r w:rsidRPr="003263DC">
        <w:rPr>
          <w:rFonts w:asciiTheme="minorHAnsi" w:eastAsia="Calibri" w:hAnsiTheme="minorHAnsi" w:cstheme="minorHAnsi"/>
          <w:szCs w:val="16"/>
          <w:lang w:val="en-US"/>
        </w:rPr>
        <w:t>Public Institution "Vode Srpske", November, 2017</w:t>
      </w:r>
    </w:p>
  </w:footnote>
  <w:footnote w:id="3">
    <w:p w14:paraId="70DF2B22" w14:textId="77777777" w:rsidR="007E7168" w:rsidRPr="003263DC" w:rsidRDefault="007E7168" w:rsidP="001B5262">
      <w:pPr>
        <w:pStyle w:val="FootnoteTextCharChar2CharChar1"/>
        <w:spacing w:before="0"/>
        <w:rPr>
          <w:rFonts w:asciiTheme="minorHAnsi" w:hAnsiTheme="minorHAnsi" w:cstheme="minorHAnsi"/>
          <w:szCs w:val="16"/>
          <w:lang w:val="en-US"/>
        </w:rPr>
      </w:pPr>
      <w:r w:rsidRPr="003263DC">
        <w:rPr>
          <w:rStyle w:val="FootnoteReference"/>
          <w:rFonts w:asciiTheme="minorHAnsi" w:hAnsiTheme="minorHAnsi" w:cstheme="minorHAnsi"/>
          <w:szCs w:val="16"/>
          <w:lang w:val="en-US"/>
        </w:rPr>
        <w:footnoteRef/>
      </w:r>
      <w:r w:rsidRPr="003263DC">
        <w:rPr>
          <w:rFonts w:asciiTheme="minorHAnsi" w:hAnsiTheme="minorHAnsi" w:cstheme="minorHAnsi"/>
          <w:szCs w:val="16"/>
          <w:lang w:val="en-US"/>
        </w:rPr>
        <w:t xml:space="preserve"> The European Environmental Agency website. Oxygen consuming substances in rivers - code for this indicator is WAT 002, CSI 019 (</w:t>
      </w:r>
      <w:hyperlink r:id="rId1" w:history="1">
        <w:r w:rsidRPr="003263DC">
          <w:rPr>
            <w:rStyle w:val="Hyperlink"/>
            <w:rFonts w:asciiTheme="minorHAnsi" w:hAnsiTheme="minorHAnsi" w:cstheme="minorHAnsi"/>
            <w:szCs w:val="16"/>
            <w:lang w:val="en-US"/>
          </w:rPr>
          <w:t>https://www.eea.europa.eu/data-and-maps/indicators/oxygen-consuming-substances-in-rivers/oxygen-consuming-substances-in-rivers-7</w:t>
        </w:r>
      </w:hyperlink>
      <w:r w:rsidRPr="003263DC">
        <w:rPr>
          <w:rFonts w:asciiTheme="minorHAnsi" w:hAnsiTheme="minorHAnsi" w:cstheme="minorHAnsi"/>
          <w:szCs w:val="16"/>
          <w:lang w:val="en-US"/>
        </w:rPr>
        <w:t xml:space="preserve">) Nutrients in Fresh Water - indicator code WAT 003, CSI 020 </w:t>
      </w:r>
      <w:hyperlink r:id="rId2" w:history="1">
        <w:r w:rsidRPr="003263DC">
          <w:rPr>
            <w:rStyle w:val="Hyperlink1"/>
            <w:rFonts w:asciiTheme="minorHAnsi" w:hAnsiTheme="minorHAnsi" w:cstheme="minorHAnsi"/>
            <w:szCs w:val="16"/>
            <w:lang w:val="en-US"/>
          </w:rPr>
          <w:t>(https://www.eea.europa.eu/data-and-maps/indicators/nutrients-in-freshwater/nutrients-in-freshwater-assessment-published-6)</w:t>
        </w:r>
      </w:hyperlink>
    </w:p>
    <w:p w14:paraId="3C86A5B9" w14:textId="77777777" w:rsidR="007E7168" w:rsidRPr="003263DC" w:rsidRDefault="007E7168" w:rsidP="001B5262">
      <w:pPr>
        <w:pStyle w:val="FootnoteText"/>
        <w:jc w:val="both"/>
        <w:rPr>
          <w:rFonts w:asciiTheme="minorHAnsi" w:hAnsiTheme="minorHAnsi" w:cstheme="minorHAnsi"/>
          <w:sz w:val="16"/>
          <w:szCs w:val="16"/>
          <w:lang w:val="en-US"/>
        </w:rPr>
      </w:pPr>
    </w:p>
  </w:footnote>
  <w:footnote w:id="4">
    <w:p w14:paraId="2B9661EF" w14:textId="4A13C570" w:rsidR="007E7168" w:rsidRPr="003263DC" w:rsidRDefault="007E7168" w:rsidP="001B5262">
      <w:pPr>
        <w:pStyle w:val="FootnoteText"/>
        <w:jc w:val="both"/>
        <w:rPr>
          <w:rFonts w:asciiTheme="minorHAnsi" w:hAnsiTheme="minorHAnsi" w:cstheme="minorHAnsi"/>
          <w:sz w:val="16"/>
          <w:szCs w:val="16"/>
          <w:lang w:val="en-US"/>
        </w:rPr>
      </w:pPr>
      <w:r w:rsidRPr="003263DC">
        <w:rPr>
          <w:rStyle w:val="FootnoteReference"/>
          <w:rFonts w:asciiTheme="minorHAnsi" w:hAnsiTheme="minorHAnsi" w:cstheme="minorHAnsi"/>
          <w:color w:val="auto"/>
          <w:sz w:val="16"/>
          <w:szCs w:val="16"/>
          <w:lang w:val="en-US"/>
        </w:rPr>
        <w:footnoteRef/>
      </w:r>
      <w:r w:rsidRPr="003263DC">
        <w:rPr>
          <w:rFonts w:asciiTheme="minorHAnsi" w:hAnsiTheme="minorHAnsi" w:cstheme="minorHAnsi"/>
          <w:sz w:val="16"/>
          <w:szCs w:val="16"/>
          <w:vertAlign w:val="superscript"/>
          <w:lang w:val="en-US"/>
        </w:rPr>
        <w:t xml:space="preserve"> </w:t>
      </w:r>
      <w:r w:rsidRPr="003263DC">
        <w:rPr>
          <w:rFonts w:asciiTheme="minorHAnsi" w:hAnsiTheme="minorHAnsi" w:cstheme="minorHAnsi"/>
          <w:sz w:val="16"/>
          <w:szCs w:val="16"/>
          <w:lang w:val="en-US"/>
        </w:rPr>
        <w:t>World Bank (2007). Drina River Basin – Roof Report</w:t>
      </w:r>
    </w:p>
  </w:footnote>
  <w:footnote w:id="5">
    <w:p w14:paraId="4337C7BE" w14:textId="77777777" w:rsidR="007E7168" w:rsidRPr="003263DC" w:rsidRDefault="007E7168" w:rsidP="001B5262">
      <w:pPr>
        <w:pStyle w:val="FootnoteText"/>
        <w:jc w:val="both"/>
        <w:rPr>
          <w:rFonts w:asciiTheme="minorHAnsi" w:hAnsiTheme="minorHAnsi" w:cstheme="minorHAnsi"/>
          <w:sz w:val="16"/>
          <w:szCs w:val="16"/>
          <w:lang w:val="en-US"/>
        </w:rPr>
      </w:pPr>
      <w:r w:rsidRPr="003263DC">
        <w:rPr>
          <w:rStyle w:val="FootnoteReference"/>
          <w:rFonts w:asciiTheme="minorHAnsi" w:hAnsiTheme="minorHAnsi" w:cstheme="minorHAnsi"/>
          <w:sz w:val="16"/>
          <w:szCs w:val="16"/>
          <w:lang w:val="en-US"/>
        </w:rPr>
        <w:footnoteRef/>
      </w:r>
      <w:r w:rsidRPr="003263DC">
        <w:rPr>
          <w:rFonts w:asciiTheme="minorHAnsi" w:hAnsiTheme="minorHAnsi" w:cstheme="minorHAnsi"/>
          <w:sz w:val="16"/>
          <w:szCs w:val="16"/>
          <w:lang w:val="en-US"/>
        </w:rPr>
        <w:t xml:space="preserve"> Bibanović Z., Grujičić S., Vujović D. (2018). Cultural and natural heritage of Srebrenica Drina Region</w:t>
      </w:r>
    </w:p>
  </w:footnote>
  <w:footnote w:id="6">
    <w:p w14:paraId="020209C6" w14:textId="0F4F1022" w:rsidR="007E7168" w:rsidRPr="003263DC" w:rsidRDefault="007E7168" w:rsidP="001B5262">
      <w:pPr>
        <w:pStyle w:val="FootnoteText"/>
        <w:jc w:val="both"/>
        <w:rPr>
          <w:rFonts w:asciiTheme="minorHAnsi" w:hAnsiTheme="minorHAnsi" w:cstheme="minorHAnsi"/>
          <w:sz w:val="16"/>
          <w:szCs w:val="16"/>
          <w:lang w:val="en-US"/>
        </w:rPr>
      </w:pPr>
      <w:r w:rsidRPr="003263DC">
        <w:rPr>
          <w:rStyle w:val="FootnoteReference"/>
          <w:rFonts w:asciiTheme="minorHAnsi" w:hAnsiTheme="minorHAnsi" w:cstheme="minorHAnsi"/>
          <w:sz w:val="16"/>
          <w:szCs w:val="16"/>
          <w:lang w:val="en-US"/>
        </w:rPr>
        <w:footnoteRef/>
      </w:r>
      <w:r w:rsidRPr="003263DC">
        <w:rPr>
          <w:rStyle w:val="FootnoteReference"/>
          <w:rFonts w:asciiTheme="minorHAnsi" w:hAnsiTheme="minorHAnsi" w:cstheme="minorHAnsi"/>
          <w:sz w:val="16"/>
          <w:szCs w:val="16"/>
          <w:lang w:val="en-US"/>
        </w:rPr>
        <w:t xml:space="preserve"> </w:t>
      </w:r>
      <w:r w:rsidRPr="003263DC">
        <w:rPr>
          <w:rFonts w:asciiTheme="minorHAnsi" w:hAnsiTheme="minorHAnsi" w:cstheme="minorHAnsi"/>
          <w:sz w:val="16"/>
          <w:szCs w:val="16"/>
          <w:lang w:val="en-US"/>
        </w:rPr>
        <w:t>Wikipedia. Sava. (30.09.2019) Retrieved from https://en.wikipedia.org/wiki/Sava#cite_note-FOOTNOTEPlacer2008207-81</w:t>
      </w:r>
    </w:p>
  </w:footnote>
  <w:footnote w:id="7">
    <w:p w14:paraId="3E75C48E" w14:textId="731191B6" w:rsidR="007E7168" w:rsidRPr="003263DC" w:rsidRDefault="007E7168" w:rsidP="001B5262">
      <w:pPr>
        <w:pStyle w:val="FootnoteText"/>
        <w:jc w:val="both"/>
        <w:rPr>
          <w:rFonts w:asciiTheme="minorHAnsi" w:hAnsiTheme="minorHAnsi" w:cstheme="minorHAnsi"/>
          <w:sz w:val="16"/>
          <w:szCs w:val="16"/>
          <w:lang w:val="en-US"/>
        </w:rPr>
      </w:pPr>
      <w:r w:rsidRPr="003263DC">
        <w:rPr>
          <w:rStyle w:val="FootnoteReference"/>
          <w:rFonts w:asciiTheme="minorHAnsi" w:hAnsiTheme="minorHAnsi" w:cstheme="minorHAnsi"/>
          <w:sz w:val="16"/>
          <w:szCs w:val="16"/>
          <w:lang w:val="en-US"/>
        </w:rPr>
        <w:footnoteRef/>
      </w:r>
      <w:r w:rsidRPr="003263DC">
        <w:rPr>
          <w:rFonts w:asciiTheme="minorHAnsi" w:hAnsiTheme="minorHAnsi" w:cstheme="minorHAnsi"/>
          <w:sz w:val="16"/>
          <w:szCs w:val="16"/>
          <w:lang w:val="en-US"/>
        </w:rPr>
        <w:t xml:space="preserve"> Sava River Basin Management Plan Background Paper No. 10 Climate change and RBM planning (March 2013) http://www.savacommission.org/dms/docs/dokumenti/srbmp_micro_web/backgroundpapers_approved/no_10_background_paper_climate_change_and_rbm_planning_.pdf</w:t>
      </w:r>
    </w:p>
  </w:footnote>
  <w:footnote w:id="8">
    <w:p w14:paraId="5C37DD6C" w14:textId="77777777" w:rsidR="007E7168" w:rsidRPr="003263DC" w:rsidRDefault="007E7168" w:rsidP="001B5262">
      <w:pPr>
        <w:pStyle w:val="FootnoteText"/>
        <w:jc w:val="both"/>
        <w:rPr>
          <w:rFonts w:asciiTheme="minorHAnsi" w:hAnsiTheme="minorHAnsi" w:cstheme="minorHAnsi"/>
          <w:sz w:val="16"/>
          <w:szCs w:val="16"/>
          <w:lang w:val="en-US"/>
        </w:rPr>
      </w:pPr>
      <w:r w:rsidRPr="003263DC">
        <w:rPr>
          <w:rStyle w:val="FootnoteReference"/>
          <w:rFonts w:asciiTheme="minorHAnsi" w:hAnsiTheme="minorHAnsi" w:cstheme="minorHAnsi"/>
          <w:sz w:val="16"/>
          <w:szCs w:val="16"/>
          <w:lang w:val="en-US"/>
        </w:rPr>
        <w:footnoteRef/>
      </w:r>
      <w:r w:rsidRPr="003263DC">
        <w:rPr>
          <w:rFonts w:asciiTheme="minorHAnsi" w:hAnsiTheme="minorHAnsi" w:cstheme="minorHAnsi"/>
          <w:sz w:val="16"/>
          <w:szCs w:val="16"/>
          <w:lang w:val="en-US"/>
        </w:rPr>
        <w:t xml:space="preserve"> Schwarz, U. 2016. Sava White Book. The River Sava: Threats and Restoration Potential. Radolfzell/Wien: EuroNatur/Riverwatch.</w:t>
      </w:r>
    </w:p>
  </w:footnote>
  <w:footnote w:id="9">
    <w:p w14:paraId="51193751" w14:textId="53181F2D" w:rsidR="007E7168" w:rsidRPr="003263DC" w:rsidRDefault="007E7168" w:rsidP="001B5262">
      <w:pPr>
        <w:pStyle w:val="FootnoteTextCharChar2CharChar1"/>
        <w:spacing w:before="0"/>
        <w:rPr>
          <w:rFonts w:asciiTheme="minorHAnsi" w:hAnsiTheme="minorHAnsi" w:cstheme="minorHAnsi"/>
          <w:szCs w:val="16"/>
          <w:lang w:val="en-US"/>
        </w:rPr>
      </w:pPr>
      <w:r w:rsidRPr="003263DC">
        <w:rPr>
          <w:rStyle w:val="FootnoteReference"/>
          <w:rFonts w:asciiTheme="minorHAnsi" w:hAnsiTheme="minorHAnsi" w:cstheme="minorHAnsi"/>
          <w:szCs w:val="16"/>
          <w:lang w:val="en-US"/>
        </w:rPr>
        <w:footnoteRef/>
      </w:r>
      <w:r w:rsidRPr="003263DC">
        <w:rPr>
          <w:rFonts w:asciiTheme="minorHAnsi" w:hAnsiTheme="minorHAnsi" w:cstheme="minorHAnsi"/>
          <w:szCs w:val="16"/>
          <w:lang w:val="en-US"/>
        </w:rPr>
        <w:t xml:space="preserve"> Sava River Basin Management Plan in FBiH (2016-2021), Sava River Basin District Agency, Sarajevo, November, 2016, Sava River Basin Management Plan in RS (2017-2021), </w:t>
      </w:r>
      <w:r w:rsidRPr="003263DC">
        <w:rPr>
          <w:rFonts w:asciiTheme="minorHAnsi" w:eastAsia="Calibri" w:hAnsiTheme="minorHAnsi" w:cstheme="minorHAnsi"/>
          <w:szCs w:val="16"/>
          <w:lang w:val="en-US"/>
        </w:rPr>
        <w:t>Public Institution "Vode Srpske", November, 2017</w:t>
      </w:r>
    </w:p>
  </w:footnote>
  <w:footnote w:id="10">
    <w:p w14:paraId="7F4AB5E7" w14:textId="1955B723" w:rsidR="007E7168" w:rsidRPr="003263DC" w:rsidRDefault="007E7168" w:rsidP="001B5262">
      <w:pPr>
        <w:pStyle w:val="FootnoteTextCharChar2CharChar1"/>
        <w:spacing w:before="0"/>
        <w:rPr>
          <w:rFonts w:asciiTheme="minorHAnsi" w:hAnsiTheme="minorHAnsi" w:cstheme="minorHAnsi"/>
          <w:szCs w:val="16"/>
          <w:lang w:val="en-US"/>
        </w:rPr>
      </w:pPr>
      <w:r w:rsidRPr="003263DC">
        <w:rPr>
          <w:rStyle w:val="FootnoteReference"/>
          <w:rFonts w:asciiTheme="minorHAnsi" w:hAnsiTheme="minorHAnsi" w:cstheme="minorHAnsi"/>
          <w:szCs w:val="16"/>
          <w:lang w:val="en-US"/>
        </w:rPr>
        <w:footnoteRef/>
      </w:r>
      <w:r w:rsidRPr="003263DC">
        <w:rPr>
          <w:rFonts w:asciiTheme="minorHAnsi" w:hAnsiTheme="minorHAnsi" w:cstheme="minorHAnsi"/>
          <w:szCs w:val="16"/>
          <w:lang w:val="en-US"/>
        </w:rPr>
        <w:t xml:space="preserve"> The EEA website. Oxygen consuming substances in rivers - code for this indicator is WAT 002, CSI 019 (</w:t>
      </w:r>
      <w:hyperlink r:id="rId3" w:history="1">
        <w:r w:rsidRPr="003263DC">
          <w:rPr>
            <w:rStyle w:val="Hyperlink"/>
            <w:rFonts w:asciiTheme="minorHAnsi" w:hAnsiTheme="minorHAnsi" w:cstheme="minorHAnsi"/>
            <w:szCs w:val="16"/>
            <w:lang w:val="en-US"/>
          </w:rPr>
          <w:t>https://www.eea.europa.eu/data-and-maps/indicators/oxygen-consuming-substances-in-rivers/oxygen-consuming-substances-in-rivers-7</w:t>
        </w:r>
      </w:hyperlink>
      <w:r w:rsidRPr="003263DC">
        <w:rPr>
          <w:rFonts w:asciiTheme="minorHAnsi" w:hAnsiTheme="minorHAnsi" w:cstheme="minorHAnsi"/>
          <w:szCs w:val="16"/>
          <w:lang w:val="en-US"/>
        </w:rPr>
        <w:t xml:space="preserve">) Nutrients in Fresh Water - indicator code WAT 003, CSI 020 </w:t>
      </w:r>
      <w:hyperlink r:id="rId4" w:history="1">
        <w:r w:rsidRPr="003263DC">
          <w:rPr>
            <w:rStyle w:val="Hyperlink1"/>
            <w:rFonts w:asciiTheme="minorHAnsi" w:hAnsiTheme="minorHAnsi" w:cstheme="minorHAnsi"/>
            <w:szCs w:val="16"/>
            <w:lang w:val="en-US"/>
          </w:rPr>
          <w:t>(https://www.eea.europa.eu/data-and-maps/indicators/nutrients-in-freshwater/nutrients-in-freshwater-assessment-published-6)</w:t>
        </w:r>
      </w:hyperlink>
    </w:p>
  </w:footnote>
  <w:footnote w:id="11">
    <w:p w14:paraId="67CDE2BA" w14:textId="77777777" w:rsidR="007E7168" w:rsidRPr="003263DC" w:rsidRDefault="007E7168" w:rsidP="001B5262">
      <w:pPr>
        <w:pStyle w:val="FootnoteText"/>
        <w:jc w:val="both"/>
        <w:rPr>
          <w:rFonts w:asciiTheme="minorHAnsi" w:hAnsiTheme="minorHAnsi" w:cstheme="minorHAnsi"/>
          <w:sz w:val="16"/>
          <w:szCs w:val="16"/>
          <w:lang w:val="en-US"/>
        </w:rPr>
      </w:pPr>
      <w:r w:rsidRPr="003263DC">
        <w:rPr>
          <w:rStyle w:val="FootnoteReference"/>
          <w:rFonts w:asciiTheme="minorHAnsi" w:hAnsiTheme="minorHAnsi" w:cstheme="minorHAnsi"/>
          <w:sz w:val="16"/>
          <w:szCs w:val="16"/>
          <w:lang w:val="en-US"/>
        </w:rPr>
        <w:footnoteRef/>
      </w:r>
      <w:r w:rsidRPr="003263DC">
        <w:rPr>
          <w:rStyle w:val="FootnoteReference"/>
          <w:rFonts w:asciiTheme="minorHAnsi" w:hAnsiTheme="minorHAnsi" w:cstheme="minorHAnsi"/>
          <w:sz w:val="16"/>
          <w:szCs w:val="16"/>
          <w:lang w:val="en-US"/>
        </w:rPr>
        <w:t xml:space="preserve"> </w:t>
      </w:r>
      <w:r w:rsidRPr="003263DC">
        <w:rPr>
          <w:rFonts w:asciiTheme="minorHAnsi" w:hAnsiTheme="minorHAnsi" w:cstheme="minorHAnsi"/>
          <w:sz w:val="16"/>
          <w:szCs w:val="16"/>
          <w:lang w:val="en-US"/>
        </w:rPr>
        <w:t>Eco-regions present the regions of similar geographical distribution of plant and animal species</w:t>
      </w:r>
    </w:p>
  </w:footnote>
  <w:footnote w:id="12">
    <w:p w14:paraId="607FDC53" w14:textId="77777777" w:rsidR="007E7168" w:rsidRPr="003263DC" w:rsidRDefault="007E7168" w:rsidP="001B5262">
      <w:pPr>
        <w:pStyle w:val="FootnoteText"/>
        <w:jc w:val="both"/>
        <w:rPr>
          <w:rFonts w:asciiTheme="minorHAnsi" w:hAnsiTheme="minorHAnsi" w:cstheme="minorHAnsi"/>
          <w:sz w:val="16"/>
          <w:szCs w:val="16"/>
          <w:lang w:val="en-US"/>
        </w:rPr>
      </w:pPr>
      <w:r w:rsidRPr="003263DC">
        <w:rPr>
          <w:rStyle w:val="FootnoteReference"/>
          <w:rFonts w:asciiTheme="minorHAnsi" w:hAnsiTheme="minorHAnsi" w:cstheme="minorHAnsi"/>
          <w:sz w:val="16"/>
          <w:szCs w:val="16"/>
          <w:lang w:val="en-US"/>
        </w:rPr>
        <w:footnoteRef/>
      </w:r>
      <w:r w:rsidRPr="003263DC">
        <w:rPr>
          <w:rStyle w:val="FootnoteReference"/>
          <w:rFonts w:asciiTheme="minorHAnsi" w:hAnsiTheme="minorHAnsi" w:cstheme="minorHAnsi"/>
          <w:sz w:val="16"/>
          <w:szCs w:val="16"/>
          <w:lang w:val="en-US"/>
        </w:rPr>
        <w:t xml:space="preserve"> </w:t>
      </w:r>
      <w:r w:rsidRPr="003263DC">
        <w:rPr>
          <w:rFonts w:asciiTheme="minorHAnsi" w:hAnsiTheme="minorHAnsi" w:cstheme="minorHAnsi"/>
          <w:sz w:val="16"/>
          <w:szCs w:val="16"/>
          <w:lang w:val="en-US"/>
        </w:rPr>
        <w:t>International Sava River Basin Commission in cooperation with the Parties to the Framework Agreement on the Sava River Basin (2009). First Sava River Basin Analysis, Zagreb</w:t>
      </w:r>
    </w:p>
  </w:footnote>
  <w:footnote w:id="13">
    <w:p w14:paraId="2434456E" w14:textId="77777777" w:rsidR="007E7168" w:rsidRPr="003263DC" w:rsidRDefault="007E7168" w:rsidP="001B5262">
      <w:pPr>
        <w:pStyle w:val="FootnoteText"/>
        <w:jc w:val="both"/>
        <w:rPr>
          <w:rFonts w:asciiTheme="minorHAnsi" w:hAnsiTheme="minorHAnsi" w:cstheme="minorHAnsi"/>
          <w:sz w:val="16"/>
          <w:szCs w:val="16"/>
          <w:lang w:val="en-US"/>
        </w:rPr>
      </w:pPr>
      <w:r w:rsidRPr="003263DC">
        <w:rPr>
          <w:rStyle w:val="FootnoteReference"/>
          <w:rFonts w:asciiTheme="minorHAnsi" w:hAnsiTheme="minorHAnsi" w:cstheme="minorHAnsi"/>
          <w:sz w:val="16"/>
          <w:szCs w:val="16"/>
          <w:lang w:val="en-US"/>
        </w:rPr>
        <w:footnoteRef/>
      </w:r>
      <w:r w:rsidRPr="003263DC">
        <w:rPr>
          <w:rStyle w:val="FootnoteReference"/>
          <w:rFonts w:asciiTheme="minorHAnsi" w:hAnsiTheme="minorHAnsi" w:cstheme="minorHAnsi"/>
          <w:sz w:val="16"/>
          <w:szCs w:val="16"/>
          <w:lang w:val="en-US"/>
        </w:rPr>
        <w:t xml:space="preserve"> </w:t>
      </w:r>
      <w:r w:rsidRPr="003263DC">
        <w:rPr>
          <w:rFonts w:asciiTheme="minorHAnsi" w:hAnsiTheme="minorHAnsi" w:cstheme="minorHAnsi"/>
          <w:sz w:val="16"/>
          <w:szCs w:val="16"/>
          <w:lang w:val="en-US"/>
        </w:rPr>
        <w:t>International Sava River Basin Commission in cooperation with the Parties to the Framework Agreement on the Sava River Basin (2016). Second Sava River Basin Analysis, Zagreb</w:t>
      </w:r>
    </w:p>
  </w:footnote>
  <w:footnote w:id="14">
    <w:p w14:paraId="0458484F" w14:textId="42B9FB39" w:rsidR="007E7168" w:rsidRPr="003263DC" w:rsidRDefault="007E7168" w:rsidP="001B5262">
      <w:pPr>
        <w:pStyle w:val="FootnoteText"/>
        <w:jc w:val="both"/>
        <w:rPr>
          <w:rFonts w:asciiTheme="minorHAnsi" w:hAnsiTheme="minorHAnsi" w:cstheme="minorHAnsi"/>
          <w:sz w:val="16"/>
          <w:szCs w:val="16"/>
          <w:lang w:val="en-US"/>
        </w:rPr>
      </w:pPr>
      <w:r w:rsidRPr="003263DC">
        <w:rPr>
          <w:rStyle w:val="FootnoteReference"/>
          <w:rFonts w:asciiTheme="minorHAnsi" w:hAnsiTheme="minorHAnsi" w:cstheme="minorHAnsi"/>
          <w:sz w:val="16"/>
          <w:szCs w:val="16"/>
          <w:lang w:val="en-US"/>
        </w:rPr>
        <w:footnoteRef/>
      </w:r>
      <w:r w:rsidRPr="003263DC">
        <w:rPr>
          <w:rFonts w:asciiTheme="minorHAnsi" w:hAnsiTheme="minorHAnsi" w:cstheme="minorHAnsi"/>
          <w:sz w:val="16"/>
          <w:szCs w:val="16"/>
          <w:lang w:val="en-US"/>
        </w:rPr>
        <w:t xml:space="preserve"> WWAP (UN World Water Assessment Programme)/UN-Water (2018): The UN World Water Development Report (2018). Nature-Based Solutions for Water. Paris, UNESCO</w:t>
      </w:r>
    </w:p>
  </w:footnote>
  <w:footnote w:id="15">
    <w:p w14:paraId="49DAACC8" w14:textId="77777777" w:rsidR="007E7168" w:rsidRPr="003263DC" w:rsidRDefault="007E7168" w:rsidP="001B5262">
      <w:pPr>
        <w:pStyle w:val="FootnoteText"/>
        <w:jc w:val="both"/>
        <w:rPr>
          <w:rFonts w:asciiTheme="minorHAnsi" w:hAnsiTheme="minorHAnsi" w:cstheme="minorHAnsi"/>
          <w:sz w:val="16"/>
          <w:szCs w:val="16"/>
          <w:lang w:val="en-US"/>
        </w:rPr>
      </w:pPr>
      <w:r w:rsidRPr="003263DC">
        <w:rPr>
          <w:rStyle w:val="FootnoteReference"/>
          <w:rFonts w:asciiTheme="minorHAnsi" w:hAnsiTheme="minorHAnsi" w:cstheme="minorHAnsi"/>
          <w:sz w:val="16"/>
          <w:szCs w:val="16"/>
          <w:lang w:val="en-US"/>
        </w:rPr>
        <w:footnoteRef/>
      </w:r>
      <w:r w:rsidRPr="003263DC">
        <w:rPr>
          <w:rStyle w:val="FootnoteReference"/>
          <w:rFonts w:asciiTheme="minorHAnsi" w:hAnsiTheme="minorHAnsi" w:cstheme="minorHAnsi"/>
          <w:sz w:val="16"/>
          <w:szCs w:val="16"/>
          <w:lang w:val="en-US"/>
        </w:rPr>
        <w:t xml:space="preserve"> </w:t>
      </w:r>
      <w:r w:rsidRPr="003263DC">
        <w:rPr>
          <w:rFonts w:asciiTheme="minorHAnsi" w:hAnsiTheme="minorHAnsi" w:cstheme="minorHAnsi"/>
          <w:sz w:val="16"/>
          <w:szCs w:val="16"/>
          <w:lang w:val="en-US"/>
        </w:rPr>
        <w:t>Blumenfeld, S., Lu, C., Christophersen, T. and Coates, D. (2009). Water, Wetlands and Forests. A Review of Ecological, Economic and Policy Linkages. Secretariat of the Convention on Biological Diversity and Secretariat of the Ramsar Convention on Wetlands, Montreal and Gland. CBD Technical Series No. 47</w:t>
      </w:r>
    </w:p>
  </w:footnote>
  <w:footnote w:id="16">
    <w:p w14:paraId="65234354" w14:textId="77777777" w:rsidR="007E7168" w:rsidRPr="003263DC" w:rsidRDefault="007E7168" w:rsidP="001B5262">
      <w:pPr>
        <w:pStyle w:val="FootnoteText"/>
        <w:jc w:val="both"/>
        <w:rPr>
          <w:rFonts w:asciiTheme="minorHAnsi" w:hAnsiTheme="minorHAnsi" w:cstheme="minorHAnsi"/>
          <w:sz w:val="16"/>
          <w:szCs w:val="16"/>
          <w:lang w:val="en-US"/>
        </w:rPr>
      </w:pPr>
      <w:r w:rsidRPr="003263DC">
        <w:rPr>
          <w:rStyle w:val="FootnoteReference"/>
          <w:rFonts w:asciiTheme="minorHAnsi" w:hAnsiTheme="minorHAnsi" w:cstheme="minorHAnsi"/>
          <w:sz w:val="16"/>
          <w:szCs w:val="16"/>
          <w:lang w:val="en-US"/>
        </w:rPr>
        <w:footnoteRef/>
      </w:r>
      <w:r w:rsidRPr="003263DC">
        <w:rPr>
          <w:rStyle w:val="FootnoteReference"/>
          <w:rFonts w:asciiTheme="minorHAnsi" w:hAnsiTheme="minorHAnsi" w:cstheme="minorHAnsi"/>
          <w:sz w:val="16"/>
          <w:szCs w:val="16"/>
          <w:lang w:val="en-US"/>
        </w:rPr>
        <w:t xml:space="preserve"> </w:t>
      </w:r>
      <w:r w:rsidRPr="003263DC">
        <w:rPr>
          <w:rFonts w:asciiTheme="minorHAnsi" w:hAnsiTheme="minorHAnsi" w:cstheme="minorHAnsi"/>
          <w:sz w:val="16"/>
          <w:szCs w:val="16"/>
          <w:lang w:val="en-US"/>
        </w:rPr>
        <w:t>Schwarz, U. (2016). Sava White Book. The River Sava: Threats and Restoration Potential. Radolfzell/Wien: EuroNatur/Riverwatch</w:t>
      </w:r>
    </w:p>
  </w:footnote>
  <w:footnote w:id="17">
    <w:p w14:paraId="14DAE315" w14:textId="636750E1" w:rsidR="007E7168" w:rsidRPr="003263DC" w:rsidRDefault="007E7168" w:rsidP="001B5262">
      <w:pPr>
        <w:pStyle w:val="FootnoteText"/>
        <w:jc w:val="both"/>
        <w:rPr>
          <w:rFonts w:asciiTheme="minorHAnsi" w:hAnsiTheme="minorHAnsi" w:cstheme="minorHAnsi"/>
          <w:sz w:val="16"/>
          <w:szCs w:val="16"/>
          <w:lang w:val="en-US"/>
        </w:rPr>
      </w:pPr>
      <w:r w:rsidRPr="003263DC">
        <w:rPr>
          <w:rStyle w:val="FootnoteReference"/>
          <w:rFonts w:asciiTheme="minorHAnsi" w:hAnsiTheme="minorHAnsi" w:cstheme="minorHAnsi"/>
          <w:sz w:val="16"/>
          <w:szCs w:val="16"/>
          <w:lang w:val="en-US"/>
        </w:rPr>
        <w:footnoteRef/>
      </w:r>
      <w:r w:rsidRPr="003263DC">
        <w:rPr>
          <w:rStyle w:val="FootnoteReference"/>
          <w:rFonts w:asciiTheme="minorHAnsi" w:hAnsiTheme="minorHAnsi" w:cstheme="minorHAnsi"/>
          <w:sz w:val="16"/>
          <w:szCs w:val="16"/>
          <w:lang w:val="en-US"/>
        </w:rPr>
        <w:t xml:space="preserve"> </w:t>
      </w:r>
      <w:r w:rsidRPr="003263DC">
        <w:rPr>
          <w:rFonts w:asciiTheme="minorHAnsi" w:hAnsiTheme="minorHAnsi" w:cstheme="minorHAnsi"/>
          <w:sz w:val="16"/>
          <w:szCs w:val="16"/>
          <w:lang w:val="en-US"/>
        </w:rPr>
        <w:t>Federal Ministry of Environment and Tourism (2008). BiH – Land of Diversity, First national Report of BiH for the Convention on Biodiversity, Sarajevo</w:t>
      </w:r>
      <w:r w:rsidRPr="003263DC">
        <w:rPr>
          <w:rFonts w:asciiTheme="minorHAnsi" w:hAnsiTheme="minorHAnsi" w:cstheme="minorHAnsi"/>
          <w:color w:val="191917"/>
          <w:sz w:val="16"/>
          <w:szCs w:val="16"/>
          <w:shd w:val="clear" w:color="auto" w:fill="FFFFFF"/>
          <w:lang w:val="en-US"/>
        </w:rPr>
        <w:t xml:space="preserve"> </w:t>
      </w:r>
    </w:p>
  </w:footnote>
  <w:footnote w:id="18">
    <w:p w14:paraId="2C464FE2" w14:textId="0F0FB0B8" w:rsidR="007E7168" w:rsidRPr="003263DC" w:rsidRDefault="007E7168" w:rsidP="001B5262">
      <w:pPr>
        <w:pStyle w:val="FootnoteText"/>
        <w:jc w:val="both"/>
        <w:rPr>
          <w:rFonts w:asciiTheme="minorHAnsi" w:hAnsiTheme="minorHAnsi" w:cstheme="minorHAnsi"/>
          <w:sz w:val="16"/>
          <w:szCs w:val="16"/>
          <w:lang w:val="en-US"/>
        </w:rPr>
      </w:pPr>
      <w:r w:rsidRPr="003263DC">
        <w:rPr>
          <w:rStyle w:val="FootnoteReference"/>
          <w:rFonts w:asciiTheme="minorHAnsi" w:hAnsiTheme="minorHAnsi" w:cstheme="minorHAnsi"/>
          <w:sz w:val="16"/>
          <w:szCs w:val="16"/>
          <w:lang w:val="en-US"/>
        </w:rPr>
        <w:footnoteRef/>
      </w:r>
      <w:r w:rsidRPr="003263DC">
        <w:rPr>
          <w:rStyle w:val="FootnoteReference"/>
          <w:rFonts w:asciiTheme="minorHAnsi" w:hAnsiTheme="minorHAnsi" w:cstheme="minorHAnsi"/>
          <w:sz w:val="16"/>
          <w:szCs w:val="16"/>
          <w:lang w:val="en-US"/>
        </w:rPr>
        <w:t xml:space="preserve"> </w:t>
      </w:r>
      <w:r w:rsidRPr="003263DC">
        <w:rPr>
          <w:rFonts w:asciiTheme="minorHAnsi" w:hAnsiTheme="minorHAnsi" w:cstheme="minorHAnsi"/>
          <w:sz w:val="16"/>
          <w:szCs w:val="16"/>
          <w:lang w:val="en-US"/>
        </w:rPr>
        <w:t>Reedbeds, tall sedges and vegetation of Phragmito-Magnocaricetea are here defined as a separate habitat type, since it is not possible to include under existing Natura 2000 habitat type definitions and at the same time these nationally defined plant associations are valuable and representative for the Sava River floodplains</w:t>
      </w:r>
    </w:p>
  </w:footnote>
  <w:footnote w:id="19">
    <w:p w14:paraId="20734DDF" w14:textId="12B19DAE" w:rsidR="007E7168" w:rsidRPr="003263DC" w:rsidRDefault="007E7168" w:rsidP="001B5262">
      <w:pPr>
        <w:pStyle w:val="FootnoteText"/>
        <w:jc w:val="both"/>
        <w:rPr>
          <w:rFonts w:asciiTheme="minorHAnsi" w:hAnsiTheme="minorHAnsi" w:cstheme="minorHAnsi"/>
          <w:sz w:val="16"/>
          <w:szCs w:val="16"/>
          <w:lang w:val="en-US"/>
        </w:rPr>
      </w:pPr>
      <w:r w:rsidRPr="003263DC">
        <w:rPr>
          <w:rStyle w:val="FootnoteReference"/>
          <w:rFonts w:asciiTheme="minorHAnsi" w:hAnsiTheme="minorHAnsi" w:cstheme="minorHAnsi"/>
          <w:sz w:val="16"/>
          <w:szCs w:val="16"/>
          <w:lang w:val="en-US"/>
        </w:rPr>
        <w:footnoteRef/>
      </w:r>
      <w:r w:rsidRPr="003263DC">
        <w:rPr>
          <w:rStyle w:val="FootnoteReference"/>
          <w:rFonts w:asciiTheme="minorHAnsi" w:hAnsiTheme="minorHAnsi" w:cstheme="minorHAnsi"/>
          <w:sz w:val="16"/>
          <w:szCs w:val="16"/>
          <w:lang w:val="en-US"/>
        </w:rPr>
        <w:t xml:space="preserve"> </w:t>
      </w:r>
      <w:r w:rsidRPr="003263DC">
        <w:rPr>
          <w:rFonts w:asciiTheme="minorHAnsi" w:hAnsiTheme="minorHAnsi" w:cstheme="minorHAnsi"/>
          <w:sz w:val="16"/>
          <w:szCs w:val="16"/>
          <w:lang w:val="en-US"/>
        </w:rPr>
        <w:t>Drešković N., Đug S., Stupar V., Hamzić A., Lelo S., Muratović E., Lukić-Bilela L., Brujić J., Milanović Đ., Kotrošan D. (2011). Natura 2000 - BiH. Center for Environmentally Sustainable Development, Sarajevo</w:t>
      </w:r>
    </w:p>
  </w:footnote>
  <w:footnote w:id="20">
    <w:p w14:paraId="027F2368" w14:textId="0C28834E" w:rsidR="007E7168" w:rsidRPr="003263DC" w:rsidRDefault="007E7168" w:rsidP="001B5262">
      <w:pPr>
        <w:pStyle w:val="FootnoteText"/>
        <w:jc w:val="both"/>
        <w:rPr>
          <w:rFonts w:asciiTheme="minorHAnsi" w:hAnsiTheme="minorHAnsi" w:cstheme="minorHAnsi"/>
          <w:sz w:val="16"/>
          <w:szCs w:val="16"/>
          <w:lang w:val="en-US" w:eastAsia="bs-Latn-BA"/>
        </w:rPr>
      </w:pPr>
      <w:r w:rsidRPr="003263DC">
        <w:rPr>
          <w:rStyle w:val="FootnoteReference"/>
          <w:rFonts w:asciiTheme="minorHAnsi" w:hAnsiTheme="minorHAnsi" w:cstheme="minorHAnsi"/>
          <w:color w:val="auto"/>
          <w:sz w:val="16"/>
          <w:szCs w:val="16"/>
          <w:lang w:val="en-US"/>
        </w:rPr>
        <w:footnoteRef/>
      </w:r>
      <w:r w:rsidRPr="003263DC">
        <w:rPr>
          <w:rFonts w:asciiTheme="minorHAnsi" w:hAnsiTheme="minorHAnsi" w:cstheme="minorHAnsi"/>
          <w:sz w:val="16"/>
          <w:szCs w:val="16"/>
          <w:lang w:val="en-US"/>
        </w:rPr>
        <w:t xml:space="preserve"> Nedić, Z., Begović, S., Dogan, M., Hadžiahmetovic Jurida E., Ferizbegovic, J., Terzic, R., (2014). Decreasing of biodiversity of fish population from the Sava River in BiH</w:t>
      </w:r>
      <w:r w:rsidRPr="003263DC">
        <w:rPr>
          <w:rFonts w:asciiTheme="minorHAnsi" w:hAnsiTheme="minorHAnsi" w:cstheme="minorHAnsi"/>
          <w:i/>
          <w:sz w:val="16"/>
          <w:szCs w:val="16"/>
          <w:lang w:val="en-US"/>
        </w:rPr>
        <w:t xml:space="preserve">, </w:t>
      </w:r>
      <w:r w:rsidRPr="003263DC">
        <w:rPr>
          <w:rFonts w:asciiTheme="minorHAnsi" w:hAnsiTheme="minorHAnsi" w:cstheme="minorHAnsi"/>
          <w:sz w:val="16"/>
          <w:szCs w:val="16"/>
          <w:lang w:val="en-US" w:eastAsia="bs-Latn-BA"/>
        </w:rPr>
        <w:t>Basic Research Journal of Agricultural Science and Review ISSN 2315-6880 Vol. 3(5) pp. 35-40</w:t>
      </w:r>
    </w:p>
  </w:footnote>
  <w:footnote w:id="21">
    <w:p w14:paraId="627DF384" w14:textId="1A2BFA04" w:rsidR="007E7168" w:rsidRPr="003263DC" w:rsidRDefault="007E7168" w:rsidP="001B5262">
      <w:pPr>
        <w:pStyle w:val="FootnoteText"/>
        <w:jc w:val="both"/>
        <w:rPr>
          <w:rFonts w:asciiTheme="minorHAnsi" w:hAnsiTheme="minorHAnsi" w:cstheme="minorHAnsi"/>
          <w:sz w:val="16"/>
          <w:szCs w:val="16"/>
          <w:lang w:val="en-US"/>
        </w:rPr>
      </w:pPr>
      <w:r w:rsidRPr="003263DC">
        <w:rPr>
          <w:rStyle w:val="FootnoteReference"/>
          <w:rFonts w:asciiTheme="minorHAnsi" w:hAnsiTheme="minorHAnsi" w:cstheme="minorHAnsi"/>
          <w:color w:val="auto"/>
          <w:sz w:val="16"/>
          <w:szCs w:val="16"/>
          <w:lang w:val="en-US"/>
        </w:rPr>
        <w:footnoteRef/>
      </w:r>
      <w:r w:rsidRPr="003263DC">
        <w:rPr>
          <w:rFonts w:asciiTheme="minorHAnsi" w:hAnsiTheme="minorHAnsi" w:cstheme="minorHAnsi"/>
          <w:sz w:val="16"/>
          <w:szCs w:val="16"/>
          <w:lang w:val="en-US"/>
        </w:rPr>
        <w:t xml:space="preserve"> International Sava River Basin Commission (ISRBC) in cooperation with the Parties to the Framework Agreement on the SRB (2009). The Sava River Basin Analysis Report, Zagreb</w:t>
      </w:r>
    </w:p>
  </w:footnote>
  <w:footnote w:id="22">
    <w:p w14:paraId="14F40BA4" w14:textId="77777777" w:rsidR="007E7168" w:rsidRPr="003263DC" w:rsidRDefault="007E7168" w:rsidP="001B5262">
      <w:pPr>
        <w:pStyle w:val="FootnoteText"/>
        <w:jc w:val="both"/>
        <w:rPr>
          <w:rFonts w:asciiTheme="minorHAnsi" w:hAnsiTheme="minorHAnsi" w:cstheme="minorHAnsi"/>
          <w:sz w:val="16"/>
          <w:szCs w:val="16"/>
          <w:lang w:val="en-US"/>
        </w:rPr>
      </w:pPr>
      <w:r w:rsidRPr="003263DC">
        <w:rPr>
          <w:rStyle w:val="FootnoteReference"/>
          <w:rFonts w:asciiTheme="minorHAnsi" w:hAnsiTheme="minorHAnsi" w:cstheme="minorHAnsi"/>
          <w:color w:val="auto"/>
          <w:sz w:val="16"/>
          <w:szCs w:val="16"/>
          <w:lang w:val="en-US"/>
        </w:rPr>
        <w:footnoteRef/>
      </w:r>
      <w:r w:rsidRPr="003263DC">
        <w:rPr>
          <w:rFonts w:asciiTheme="minorHAnsi" w:hAnsiTheme="minorHAnsi" w:cstheme="minorHAnsi"/>
          <w:sz w:val="16"/>
          <w:szCs w:val="16"/>
          <w:lang w:val="en-US"/>
        </w:rPr>
        <w:t xml:space="preserve"> Schwarz, U. (2016). Sava White Book. The River Sava: Threats and Restoration Potential. Radolfzell/Wien: EuroNatur/Riverwatch.</w:t>
      </w:r>
    </w:p>
  </w:footnote>
  <w:footnote w:id="23">
    <w:p w14:paraId="716F4048" w14:textId="123164EF" w:rsidR="007E7168" w:rsidRPr="003263DC" w:rsidRDefault="007E7168" w:rsidP="001B5262">
      <w:pPr>
        <w:pStyle w:val="FootnoteText"/>
        <w:jc w:val="both"/>
        <w:rPr>
          <w:rFonts w:asciiTheme="minorHAnsi" w:hAnsiTheme="minorHAnsi" w:cstheme="minorHAnsi"/>
          <w:sz w:val="16"/>
          <w:szCs w:val="16"/>
          <w:lang w:val="en-US"/>
        </w:rPr>
      </w:pPr>
      <w:r w:rsidRPr="003263DC">
        <w:rPr>
          <w:rStyle w:val="FootnoteReference"/>
          <w:rFonts w:asciiTheme="minorHAnsi" w:hAnsiTheme="minorHAnsi" w:cstheme="minorHAnsi"/>
          <w:color w:val="auto"/>
          <w:sz w:val="16"/>
          <w:szCs w:val="16"/>
          <w:lang w:val="en-US"/>
        </w:rPr>
        <w:footnoteRef/>
      </w:r>
      <w:r w:rsidRPr="003263DC">
        <w:rPr>
          <w:rFonts w:asciiTheme="minorHAnsi" w:hAnsiTheme="minorHAnsi" w:cstheme="minorHAnsi"/>
          <w:sz w:val="16"/>
          <w:szCs w:val="16"/>
          <w:lang w:val="en-US"/>
        </w:rPr>
        <w:t xml:space="preserve"> International Sava River Basin Commission (ISRBC) in cooperation with the Parties to the Framework Agreement on the SRB (2009). The Sava River Basin Analysis Report, Zagreb</w:t>
      </w:r>
    </w:p>
  </w:footnote>
  <w:footnote w:id="24">
    <w:p w14:paraId="1BC31F1F" w14:textId="457A9257" w:rsidR="007E7168" w:rsidRPr="003263DC" w:rsidRDefault="007E7168" w:rsidP="001B5262">
      <w:pPr>
        <w:pStyle w:val="FootnoteText"/>
        <w:jc w:val="both"/>
        <w:rPr>
          <w:rFonts w:asciiTheme="minorHAnsi" w:hAnsiTheme="minorHAnsi" w:cstheme="minorHAnsi"/>
          <w:sz w:val="16"/>
          <w:szCs w:val="16"/>
          <w:lang w:val="en-US"/>
        </w:rPr>
      </w:pPr>
      <w:r w:rsidRPr="003263DC">
        <w:rPr>
          <w:rStyle w:val="FootnoteReference"/>
          <w:rFonts w:asciiTheme="minorHAnsi" w:hAnsiTheme="minorHAnsi" w:cstheme="minorHAnsi"/>
          <w:sz w:val="16"/>
          <w:szCs w:val="16"/>
          <w:lang w:val="en-US"/>
        </w:rPr>
        <w:footnoteRef/>
      </w:r>
      <w:r w:rsidRPr="003263DC">
        <w:rPr>
          <w:rFonts w:asciiTheme="minorHAnsi" w:hAnsiTheme="minorHAnsi" w:cstheme="minorHAnsi"/>
          <w:sz w:val="16"/>
          <w:szCs w:val="16"/>
          <w:lang w:val="en-US"/>
        </w:rPr>
        <w:t xml:space="preserve"> </w:t>
      </w:r>
      <w:r w:rsidRPr="003263DC">
        <w:rPr>
          <w:rFonts w:asciiTheme="minorHAnsi" w:hAnsiTheme="minorHAnsi" w:cstheme="minorHAnsi"/>
          <w:color w:val="222222"/>
          <w:sz w:val="16"/>
          <w:szCs w:val="16"/>
          <w:shd w:val="clear" w:color="auto" w:fill="FFFFFF"/>
          <w:lang w:val="en-US"/>
        </w:rPr>
        <w:t xml:space="preserve">Commission to Preserve National Monuments of BiH, </w:t>
      </w:r>
      <w:r w:rsidRPr="003263DC">
        <w:rPr>
          <w:rFonts w:asciiTheme="minorHAnsi" w:hAnsiTheme="minorHAnsi" w:cstheme="minorHAnsi"/>
          <w:sz w:val="16"/>
          <w:szCs w:val="16"/>
          <w:lang w:val="en-US"/>
        </w:rPr>
        <w:t xml:space="preserve">List of National Monuments of </w:t>
      </w:r>
      <w:r w:rsidRPr="003263DC">
        <w:rPr>
          <w:rFonts w:asciiTheme="minorHAnsi" w:hAnsiTheme="minorHAnsi" w:cstheme="minorHAnsi"/>
          <w:color w:val="222222"/>
          <w:sz w:val="16"/>
          <w:szCs w:val="16"/>
          <w:shd w:val="clear" w:color="auto" w:fill="FFFFFF"/>
          <w:lang w:val="en-US"/>
        </w:rPr>
        <w:t>BiH</w:t>
      </w:r>
      <w:r w:rsidRPr="003263DC">
        <w:rPr>
          <w:rFonts w:asciiTheme="minorHAnsi" w:hAnsiTheme="minorHAnsi" w:cstheme="minorHAnsi"/>
          <w:sz w:val="16"/>
          <w:szCs w:val="16"/>
          <w:lang w:val="en-US"/>
        </w:rPr>
        <w:t xml:space="preserve"> [accessed on: 21 October 2019]</w:t>
      </w:r>
    </w:p>
    <w:p w14:paraId="278DA8ED" w14:textId="77777777" w:rsidR="007E7168" w:rsidRPr="003263DC" w:rsidRDefault="007E7168" w:rsidP="001B5262">
      <w:pPr>
        <w:pStyle w:val="FootnoteText"/>
        <w:jc w:val="both"/>
        <w:rPr>
          <w:rFonts w:asciiTheme="minorHAnsi" w:hAnsiTheme="minorHAnsi" w:cstheme="minorHAnsi"/>
          <w:sz w:val="16"/>
          <w:szCs w:val="16"/>
          <w:lang w:val="en-US"/>
        </w:rPr>
      </w:pPr>
    </w:p>
  </w:footnote>
  <w:footnote w:id="25">
    <w:p w14:paraId="0761A4A3" w14:textId="4B4ED076" w:rsidR="007E7168" w:rsidRPr="003263DC" w:rsidRDefault="007E7168" w:rsidP="001B5262">
      <w:pPr>
        <w:pStyle w:val="FootnoteText"/>
        <w:jc w:val="both"/>
        <w:rPr>
          <w:rFonts w:asciiTheme="minorHAnsi" w:hAnsiTheme="minorHAnsi" w:cstheme="minorHAnsi"/>
          <w:sz w:val="16"/>
          <w:szCs w:val="16"/>
          <w:lang w:val="en-US"/>
        </w:rPr>
      </w:pPr>
      <w:r w:rsidRPr="003263DC">
        <w:rPr>
          <w:rFonts w:asciiTheme="minorHAnsi" w:hAnsiTheme="minorHAnsi" w:cstheme="minorHAnsi"/>
          <w:sz w:val="16"/>
          <w:szCs w:val="16"/>
          <w:vertAlign w:val="superscript"/>
          <w:lang w:val="en-US"/>
        </w:rPr>
        <w:footnoteRef/>
      </w:r>
      <w:r w:rsidRPr="003263DC">
        <w:rPr>
          <w:rFonts w:asciiTheme="minorHAnsi" w:hAnsiTheme="minorHAnsi" w:cstheme="minorHAnsi"/>
          <w:sz w:val="16"/>
          <w:szCs w:val="16"/>
          <w:lang w:val="en-US"/>
        </w:rPr>
        <w:t xml:space="preserve"> ICPDR (2010). 2010 Floods in the Danube river basin-brief overview of key events and lessons learned</w:t>
      </w:r>
    </w:p>
  </w:footnote>
  <w:footnote w:id="26">
    <w:p w14:paraId="1F2AE262" w14:textId="23947DDF" w:rsidR="007E7168" w:rsidRPr="003263DC" w:rsidRDefault="007E7168" w:rsidP="001B5262">
      <w:pPr>
        <w:pStyle w:val="FootnoteText"/>
        <w:jc w:val="both"/>
        <w:rPr>
          <w:rFonts w:asciiTheme="minorHAnsi" w:hAnsiTheme="minorHAnsi" w:cstheme="minorHAnsi"/>
          <w:sz w:val="16"/>
          <w:szCs w:val="16"/>
          <w:lang w:val="en-US"/>
        </w:rPr>
      </w:pPr>
      <w:r w:rsidRPr="003263DC">
        <w:rPr>
          <w:rFonts w:asciiTheme="minorHAnsi" w:hAnsiTheme="minorHAnsi" w:cstheme="minorHAnsi"/>
          <w:sz w:val="16"/>
          <w:szCs w:val="16"/>
          <w:vertAlign w:val="superscript"/>
          <w:lang w:val="en-US"/>
        </w:rPr>
        <w:footnoteRef/>
      </w:r>
      <w:r w:rsidRPr="003263DC">
        <w:rPr>
          <w:rFonts w:asciiTheme="minorHAnsi" w:hAnsiTheme="minorHAnsi" w:cstheme="minorHAnsi"/>
          <w:sz w:val="16"/>
          <w:szCs w:val="16"/>
          <w:lang w:val="en-US"/>
        </w:rPr>
        <w:t xml:space="preserve"> University of Nis (2016). Report on natural disasters in the Western Balkans, prepared in the framework of the EC funded project “Development of master curricula for natural disasters risk management in Western Balkan countries”</w:t>
      </w:r>
    </w:p>
  </w:footnote>
  <w:footnote w:id="27">
    <w:p w14:paraId="1AB72F97" w14:textId="68A30C1A" w:rsidR="007E7168" w:rsidRPr="003263DC" w:rsidRDefault="007E7168" w:rsidP="001B5262">
      <w:pPr>
        <w:pStyle w:val="FootnoteText"/>
        <w:jc w:val="both"/>
        <w:rPr>
          <w:rFonts w:asciiTheme="minorHAnsi" w:hAnsiTheme="minorHAnsi" w:cstheme="minorHAnsi"/>
          <w:sz w:val="16"/>
          <w:szCs w:val="16"/>
          <w:lang w:val="en-US"/>
        </w:rPr>
      </w:pPr>
      <w:r w:rsidRPr="003263DC">
        <w:rPr>
          <w:rStyle w:val="FootnoteReference"/>
          <w:rFonts w:asciiTheme="minorHAnsi" w:hAnsiTheme="minorHAnsi" w:cstheme="minorHAnsi"/>
          <w:sz w:val="16"/>
          <w:szCs w:val="16"/>
          <w:lang w:val="en-US"/>
        </w:rPr>
        <w:footnoteRef/>
      </w:r>
      <w:r w:rsidRPr="003263DC">
        <w:rPr>
          <w:rStyle w:val="FootnoteReference"/>
          <w:rFonts w:asciiTheme="minorHAnsi" w:hAnsiTheme="minorHAnsi" w:cstheme="minorHAnsi"/>
          <w:sz w:val="16"/>
          <w:szCs w:val="16"/>
          <w:lang w:val="en-US"/>
        </w:rPr>
        <w:t xml:space="preserve"> </w:t>
      </w:r>
      <w:r w:rsidRPr="003263DC">
        <w:rPr>
          <w:rFonts w:asciiTheme="minorHAnsi" w:hAnsiTheme="minorHAnsi" w:cstheme="minorHAnsi"/>
          <w:sz w:val="16"/>
          <w:szCs w:val="16"/>
          <w:lang w:val="en-US"/>
        </w:rPr>
        <w:t>BiH Floods. (2014) Recovery Needs Assessment, Ministry of Foreign Affairs of the Grand Duchy of Luxembourg, the EU, UN, WB, and the Global Facility for Disaster Reduction and Recovery</w:t>
      </w:r>
    </w:p>
  </w:footnote>
  <w:footnote w:id="28">
    <w:p w14:paraId="7560A63E" w14:textId="5326D445" w:rsidR="007E7168" w:rsidRPr="003263DC" w:rsidRDefault="007E7168" w:rsidP="001B5262">
      <w:pPr>
        <w:pStyle w:val="fusnota"/>
        <w:jc w:val="both"/>
        <w:rPr>
          <w:rFonts w:asciiTheme="minorHAnsi" w:hAnsiTheme="minorHAnsi" w:cstheme="minorHAnsi"/>
          <w:lang w:val="en-US"/>
        </w:rPr>
      </w:pPr>
      <w:r w:rsidRPr="003263DC">
        <w:rPr>
          <w:rStyle w:val="FootnoteReference"/>
          <w:rFonts w:asciiTheme="minorHAnsi" w:hAnsiTheme="minorHAnsi" w:cstheme="minorHAnsi"/>
          <w:lang w:val="en-US"/>
        </w:rPr>
        <w:footnoteRef/>
      </w:r>
      <w:r w:rsidRPr="003263DC">
        <w:rPr>
          <w:rFonts w:asciiTheme="minorHAnsi" w:hAnsiTheme="minorHAnsi" w:cstheme="minorHAnsi"/>
          <w:lang w:val="en-US"/>
        </w:rPr>
        <w:t xml:space="preserve"> Transport Sector Review: BiH - the road to Europe. Annex 5. Inland waterways transport -realizing the potential, May 2010, WB</w:t>
      </w:r>
    </w:p>
  </w:footnote>
  <w:footnote w:id="29">
    <w:p w14:paraId="00A961F1" w14:textId="03B6BA37" w:rsidR="007E7168" w:rsidRPr="003263DC" w:rsidRDefault="007E7168" w:rsidP="001B5262">
      <w:pPr>
        <w:pStyle w:val="FootnoteText"/>
        <w:jc w:val="both"/>
        <w:rPr>
          <w:rFonts w:asciiTheme="minorHAnsi" w:hAnsiTheme="minorHAnsi" w:cstheme="minorHAnsi"/>
          <w:sz w:val="16"/>
          <w:szCs w:val="16"/>
          <w:lang w:val="en-US"/>
        </w:rPr>
      </w:pPr>
      <w:r w:rsidRPr="003263DC">
        <w:rPr>
          <w:rStyle w:val="FootnoteReference"/>
          <w:rFonts w:asciiTheme="minorHAnsi" w:hAnsiTheme="minorHAnsi" w:cstheme="minorHAnsi"/>
          <w:sz w:val="16"/>
          <w:szCs w:val="16"/>
          <w:lang w:val="en-US"/>
        </w:rPr>
        <w:footnoteRef/>
      </w:r>
      <w:r w:rsidRPr="003263DC">
        <w:rPr>
          <w:rFonts w:asciiTheme="minorHAnsi" w:hAnsiTheme="minorHAnsi" w:cstheme="minorHAnsi"/>
          <w:sz w:val="16"/>
          <w:szCs w:val="16"/>
          <w:lang w:val="en-US"/>
        </w:rPr>
        <w:t xml:space="preserve"> Ibid.</w:t>
      </w:r>
    </w:p>
  </w:footnote>
  <w:footnote w:id="30">
    <w:p w14:paraId="29BDA77D" w14:textId="77777777" w:rsidR="007E7168" w:rsidRPr="003263DC" w:rsidRDefault="007E7168" w:rsidP="001B5262">
      <w:pPr>
        <w:pStyle w:val="FootnoteText"/>
        <w:spacing w:line="240" w:lineRule="auto"/>
        <w:jc w:val="both"/>
        <w:rPr>
          <w:rFonts w:asciiTheme="minorHAnsi" w:hAnsiTheme="minorHAnsi" w:cstheme="minorHAnsi"/>
          <w:sz w:val="16"/>
          <w:szCs w:val="16"/>
          <w:lang w:val="en-US"/>
        </w:rPr>
      </w:pPr>
      <w:r w:rsidRPr="003263DC">
        <w:rPr>
          <w:rStyle w:val="FootnoteReference"/>
          <w:rFonts w:asciiTheme="minorHAnsi" w:hAnsiTheme="minorHAnsi" w:cstheme="minorHAnsi"/>
          <w:sz w:val="16"/>
          <w:szCs w:val="16"/>
          <w:lang w:val="en-US"/>
        </w:rPr>
        <w:footnoteRef/>
      </w:r>
      <w:r w:rsidRPr="003263DC">
        <w:rPr>
          <w:rFonts w:asciiTheme="minorHAnsi" w:hAnsiTheme="minorHAnsi" w:cstheme="minorHAnsi"/>
          <w:sz w:val="16"/>
          <w:szCs w:val="16"/>
          <w:lang w:val="en-US"/>
        </w:rPr>
        <w:t xml:space="preserve"> 2017 Annual Report, Council of Ministers (Economic Planning Directorate), December 2018</w:t>
      </w:r>
    </w:p>
  </w:footnote>
  <w:footnote w:id="31">
    <w:p w14:paraId="6BCF2546" w14:textId="77777777" w:rsidR="007E7168" w:rsidRPr="003263DC" w:rsidRDefault="007E7168" w:rsidP="001B5262">
      <w:pPr>
        <w:pStyle w:val="FootnoteText"/>
        <w:spacing w:line="240" w:lineRule="auto"/>
        <w:jc w:val="both"/>
        <w:rPr>
          <w:rFonts w:asciiTheme="minorHAnsi" w:hAnsiTheme="minorHAnsi" w:cstheme="minorHAnsi"/>
          <w:sz w:val="16"/>
          <w:szCs w:val="16"/>
          <w:lang w:val="en-US"/>
        </w:rPr>
      </w:pPr>
      <w:r w:rsidRPr="003263DC">
        <w:rPr>
          <w:rStyle w:val="FootnoteReference"/>
          <w:rFonts w:asciiTheme="minorHAnsi" w:hAnsiTheme="minorHAnsi" w:cstheme="minorHAnsi"/>
          <w:sz w:val="16"/>
          <w:szCs w:val="16"/>
          <w:lang w:val="en-US"/>
        </w:rPr>
        <w:footnoteRef/>
      </w:r>
      <w:r w:rsidRPr="003263DC">
        <w:rPr>
          <w:rFonts w:asciiTheme="minorHAnsi" w:hAnsiTheme="minorHAnsi" w:cstheme="minorHAnsi"/>
          <w:sz w:val="16"/>
          <w:szCs w:val="16"/>
          <w:lang w:val="en-US"/>
        </w:rPr>
        <w:t xml:space="preserve"> 2017 Annual Report, Council of Ministers (Economic Planning Directorate), December 2018</w:t>
      </w:r>
    </w:p>
  </w:footnote>
  <w:footnote w:id="32">
    <w:p w14:paraId="04D5D77C" w14:textId="77777777" w:rsidR="007E7168" w:rsidRPr="003263DC" w:rsidRDefault="007E7168" w:rsidP="001B5262">
      <w:pPr>
        <w:pStyle w:val="FootnoteText"/>
        <w:spacing w:line="240" w:lineRule="auto"/>
        <w:jc w:val="both"/>
        <w:rPr>
          <w:rFonts w:asciiTheme="minorHAnsi" w:hAnsiTheme="minorHAnsi" w:cstheme="minorHAnsi"/>
          <w:sz w:val="16"/>
          <w:szCs w:val="16"/>
          <w:lang w:val="en-US"/>
        </w:rPr>
      </w:pPr>
      <w:r w:rsidRPr="003263DC">
        <w:rPr>
          <w:rStyle w:val="FootnoteReference"/>
          <w:rFonts w:asciiTheme="minorHAnsi" w:hAnsiTheme="minorHAnsi" w:cstheme="minorHAnsi"/>
          <w:sz w:val="16"/>
          <w:szCs w:val="16"/>
          <w:lang w:val="en-US"/>
        </w:rPr>
        <w:footnoteRef/>
      </w:r>
      <w:hyperlink r:id="rId5" w:history="1">
        <w:r w:rsidRPr="003263DC">
          <w:rPr>
            <w:rStyle w:val="Hyperlink"/>
            <w:rFonts w:asciiTheme="minorHAnsi" w:hAnsiTheme="minorHAnsi" w:cstheme="minorHAnsi"/>
            <w:sz w:val="16"/>
            <w:szCs w:val="16"/>
            <w:lang w:val="en-US"/>
          </w:rPr>
          <w:t>https://www.ilo.org/budapest/countries-covered/bosnia-herzegovina/WCMS_471903/lang--en/index.htm</w:t>
        </w:r>
      </w:hyperlink>
      <w:r w:rsidRPr="003263DC">
        <w:rPr>
          <w:rFonts w:asciiTheme="minorHAnsi" w:hAnsiTheme="minorHAnsi" w:cstheme="minorHAnsi"/>
          <w:sz w:val="16"/>
          <w:szCs w:val="16"/>
          <w:lang w:val="en-US"/>
        </w:rPr>
        <w:t xml:space="preserve"> [accessed on: 30 September 2019]</w:t>
      </w:r>
    </w:p>
  </w:footnote>
  <w:footnote w:id="33">
    <w:p w14:paraId="1807FE5B" w14:textId="77777777" w:rsidR="007E7168" w:rsidRPr="003263DC" w:rsidRDefault="007E7168" w:rsidP="001B5262">
      <w:pPr>
        <w:pStyle w:val="FootnoteText"/>
        <w:spacing w:line="240" w:lineRule="auto"/>
        <w:jc w:val="both"/>
        <w:rPr>
          <w:rFonts w:asciiTheme="minorHAnsi" w:hAnsiTheme="minorHAnsi" w:cstheme="minorHAnsi"/>
          <w:sz w:val="16"/>
          <w:szCs w:val="16"/>
          <w:lang w:val="en-US"/>
        </w:rPr>
      </w:pPr>
      <w:r w:rsidRPr="003263DC">
        <w:rPr>
          <w:rStyle w:val="FootnoteReference"/>
          <w:rFonts w:asciiTheme="minorHAnsi" w:hAnsiTheme="minorHAnsi" w:cstheme="minorHAnsi"/>
          <w:color w:val="auto"/>
          <w:sz w:val="16"/>
          <w:szCs w:val="16"/>
          <w:lang w:val="en-US"/>
        </w:rPr>
        <w:footnoteRef/>
      </w:r>
      <w:r w:rsidRPr="003263DC">
        <w:rPr>
          <w:rFonts w:asciiTheme="minorHAnsi" w:hAnsiTheme="minorHAnsi" w:cstheme="minorHAnsi"/>
          <w:sz w:val="16"/>
          <w:szCs w:val="16"/>
          <w:lang w:val="en-US"/>
        </w:rPr>
        <w:t xml:space="preserve"> Available in English at: </w:t>
      </w:r>
      <w:hyperlink r:id="rId6" w:history="1">
        <w:r w:rsidRPr="003263DC">
          <w:rPr>
            <w:rStyle w:val="Hyperlink"/>
            <w:rFonts w:asciiTheme="minorHAnsi" w:hAnsiTheme="minorHAnsi" w:cstheme="minorHAnsi"/>
            <w:color w:val="auto"/>
            <w:sz w:val="16"/>
            <w:szCs w:val="16"/>
            <w:lang w:val="en-US"/>
          </w:rPr>
          <w:t>http://pubdocs.worldbank.org/en/837721522762050108/Environmental-and-Social-Framework.pdf</w:t>
        </w:r>
      </w:hyperlink>
      <w:r w:rsidRPr="003263DC">
        <w:rPr>
          <w:rFonts w:asciiTheme="minorHAnsi" w:hAnsiTheme="minorHAnsi" w:cstheme="minorHAnsi"/>
          <w:sz w:val="16"/>
          <w:szCs w:val="16"/>
          <w:lang w:val="en-US"/>
        </w:rPr>
        <w:t xml:space="preserve"> </w:t>
      </w:r>
    </w:p>
  </w:footnote>
  <w:footnote w:id="34">
    <w:p w14:paraId="05B5AC7F" w14:textId="20848AB8" w:rsidR="007E7168" w:rsidRPr="003263DC" w:rsidRDefault="007E7168" w:rsidP="001B5262">
      <w:pPr>
        <w:pStyle w:val="FootnoteText"/>
        <w:spacing w:line="240" w:lineRule="auto"/>
        <w:jc w:val="both"/>
        <w:rPr>
          <w:rFonts w:asciiTheme="minorHAnsi" w:hAnsiTheme="minorHAnsi" w:cstheme="minorHAnsi"/>
          <w:sz w:val="16"/>
          <w:szCs w:val="16"/>
          <w:lang w:val="en-US"/>
        </w:rPr>
      </w:pPr>
      <w:r w:rsidRPr="003263DC">
        <w:rPr>
          <w:rStyle w:val="FootnoteReference"/>
          <w:rFonts w:asciiTheme="minorHAnsi" w:hAnsiTheme="minorHAnsi" w:cstheme="minorHAnsi"/>
          <w:color w:val="auto"/>
          <w:sz w:val="16"/>
          <w:szCs w:val="16"/>
          <w:lang w:val="en-US"/>
        </w:rPr>
        <w:footnoteRef/>
      </w:r>
      <w:r w:rsidRPr="003263DC">
        <w:rPr>
          <w:rFonts w:asciiTheme="minorHAnsi" w:hAnsiTheme="minorHAnsi" w:cstheme="minorHAnsi"/>
          <w:sz w:val="16"/>
          <w:szCs w:val="16"/>
          <w:lang w:val="en-US"/>
        </w:rPr>
        <w:t xml:space="preserve"> Available in English at: </w:t>
      </w:r>
      <w:hyperlink r:id="rId7" w:anchor="guidancenotes" w:history="1">
        <w:r w:rsidRPr="003263DC">
          <w:rPr>
            <w:rStyle w:val="Hyperlink"/>
            <w:rFonts w:asciiTheme="minorHAnsi" w:hAnsiTheme="minorHAnsi" w:cstheme="minorHAnsi"/>
            <w:color w:val="auto"/>
            <w:sz w:val="16"/>
            <w:szCs w:val="16"/>
            <w:lang w:val="en-US"/>
          </w:rPr>
          <w:t>http://www.worldbank.org/en/projects-operations/environmental-and-social-framework/brief/environmental-and-social-framework-resources#guidancenotes</w:t>
        </w:r>
      </w:hyperlink>
      <w:r w:rsidRPr="003263DC">
        <w:rPr>
          <w:rFonts w:asciiTheme="minorHAnsi" w:hAnsiTheme="minorHAnsi" w:cstheme="minorHAnsi"/>
          <w:sz w:val="16"/>
          <w:szCs w:val="16"/>
          <w:lang w:val="en-US"/>
        </w:rPr>
        <w:t xml:space="preserve"> </w:t>
      </w:r>
    </w:p>
  </w:footnote>
  <w:footnote w:id="35">
    <w:p w14:paraId="25A749E6" w14:textId="32A06EBB" w:rsidR="007E7168" w:rsidRPr="003263DC" w:rsidRDefault="007E7168" w:rsidP="001B5262">
      <w:pPr>
        <w:pStyle w:val="FootnoteText"/>
        <w:spacing w:line="240" w:lineRule="auto"/>
        <w:jc w:val="both"/>
        <w:rPr>
          <w:rFonts w:asciiTheme="minorHAnsi" w:hAnsiTheme="minorHAnsi" w:cstheme="minorHAnsi"/>
          <w:sz w:val="16"/>
          <w:szCs w:val="16"/>
          <w:lang w:val="en-US"/>
        </w:rPr>
      </w:pPr>
      <w:r w:rsidRPr="003263DC">
        <w:rPr>
          <w:rStyle w:val="FootnoteReference"/>
          <w:rFonts w:asciiTheme="minorHAnsi" w:hAnsiTheme="minorHAnsi" w:cstheme="minorHAnsi"/>
          <w:color w:val="auto"/>
          <w:sz w:val="16"/>
          <w:szCs w:val="16"/>
          <w:lang w:val="en-US"/>
        </w:rPr>
        <w:footnoteRef/>
      </w:r>
      <w:r w:rsidRPr="003263DC">
        <w:rPr>
          <w:rFonts w:asciiTheme="minorHAnsi" w:hAnsiTheme="minorHAnsi" w:cstheme="minorHAnsi"/>
          <w:sz w:val="16"/>
          <w:szCs w:val="16"/>
          <w:lang w:val="en-US"/>
        </w:rPr>
        <w:t xml:space="preserve"> </w:t>
      </w:r>
      <w:r w:rsidRPr="003263DC">
        <w:rPr>
          <w:rFonts w:asciiTheme="minorHAnsi" w:hAnsiTheme="minorHAnsi" w:cstheme="minorHAnsi"/>
          <w:sz w:val="16"/>
          <w:szCs w:val="16"/>
          <w:lang w:val="en-US" w:eastAsia="x-none"/>
        </w:rPr>
        <w:t xml:space="preserve">The term “Associated Facilities” means facilities or activities that are not funded as part of the project and are: (a) directly and significantly related to the project; (b) carried out, or planned to be carried out, contemporaneously with the project; and (c) necessary for the project to be viable and would not have been constructed, expanded or conducted if the project did not exist. For a facility or an activity to be defines as associated facility, all three criteria must be fulfilled. </w:t>
      </w:r>
    </w:p>
  </w:footnote>
  <w:footnote w:id="36">
    <w:p w14:paraId="1DCAB427" w14:textId="77777777" w:rsidR="007E7168" w:rsidRPr="003263DC" w:rsidRDefault="007E7168" w:rsidP="001B5262">
      <w:pPr>
        <w:pStyle w:val="FootnoteText"/>
        <w:spacing w:line="240" w:lineRule="auto"/>
        <w:jc w:val="both"/>
        <w:rPr>
          <w:rFonts w:asciiTheme="minorHAnsi" w:hAnsiTheme="minorHAnsi" w:cstheme="minorHAnsi"/>
          <w:sz w:val="16"/>
          <w:szCs w:val="16"/>
          <w:lang w:val="en-US" w:eastAsia="x-none"/>
        </w:rPr>
      </w:pPr>
      <w:r w:rsidRPr="003263DC">
        <w:rPr>
          <w:rStyle w:val="FootnoteReference"/>
          <w:rFonts w:asciiTheme="minorHAnsi" w:hAnsiTheme="minorHAnsi" w:cstheme="minorHAnsi"/>
          <w:color w:val="auto"/>
          <w:sz w:val="16"/>
          <w:szCs w:val="16"/>
          <w:lang w:val="en-US"/>
        </w:rPr>
        <w:footnoteRef/>
      </w:r>
      <w:r w:rsidRPr="003263DC">
        <w:rPr>
          <w:rFonts w:asciiTheme="minorHAnsi" w:hAnsiTheme="minorHAnsi" w:cstheme="minorHAnsi"/>
          <w:sz w:val="16"/>
          <w:szCs w:val="16"/>
          <w:lang w:val="en-US"/>
        </w:rPr>
        <w:t xml:space="preserve"> </w:t>
      </w:r>
      <w:r w:rsidRPr="003263DC">
        <w:rPr>
          <w:rFonts w:asciiTheme="minorHAnsi" w:hAnsiTheme="minorHAnsi" w:cstheme="minorHAnsi"/>
          <w:sz w:val="16"/>
          <w:szCs w:val="16"/>
          <w:lang w:val="en-US" w:eastAsia="x-none"/>
        </w:rPr>
        <w:t xml:space="preserve">World Bank Group Environmental, Health and Safety Guidelines (EHSG), available at: </w:t>
      </w:r>
      <w:hyperlink r:id="rId8" w:history="1">
        <w:r w:rsidRPr="003263DC">
          <w:rPr>
            <w:rStyle w:val="Hyperlink"/>
            <w:rFonts w:asciiTheme="minorHAnsi" w:hAnsiTheme="minorHAnsi" w:cstheme="minorHAnsi"/>
            <w:color w:val="auto"/>
            <w:sz w:val="16"/>
            <w:szCs w:val="16"/>
            <w:lang w:val="en-US" w:eastAsia="x-none"/>
          </w:rPr>
          <w:t>https://www.ifc.org/wps/wcm/connect/Topics_Ext_Content/IFC_External_Corporate_Site/Sustainability-At-IFC/Policies-Standards/EHS-Guidelines/</w:t>
        </w:r>
      </w:hyperlink>
      <w:r w:rsidRPr="003263DC">
        <w:rPr>
          <w:rFonts w:asciiTheme="minorHAnsi" w:hAnsiTheme="minorHAnsi" w:cstheme="minorHAnsi"/>
          <w:sz w:val="16"/>
          <w:szCs w:val="16"/>
          <w:lang w:val="en-US" w:eastAsia="x-none"/>
        </w:rPr>
        <w:t xml:space="preserve"> </w:t>
      </w:r>
    </w:p>
  </w:footnote>
  <w:footnote w:id="37">
    <w:p w14:paraId="046E0D78" w14:textId="77777777" w:rsidR="007E7168" w:rsidRPr="003263DC" w:rsidRDefault="007E7168" w:rsidP="001B5262">
      <w:pPr>
        <w:pStyle w:val="FootnoteText"/>
        <w:spacing w:line="240" w:lineRule="auto"/>
        <w:jc w:val="both"/>
        <w:rPr>
          <w:rFonts w:asciiTheme="minorHAnsi" w:hAnsiTheme="minorHAnsi" w:cstheme="minorHAnsi"/>
          <w:sz w:val="16"/>
          <w:szCs w:val="16"/>
          <w:lang w:val="en-US" w:eastAsia="x-none"/>
        </w:rPr>
      </w:pPr>
      <w:r w:rsidRPr="003263DC">
        <w:rPr>
          <w:rStyle w:val="FootnoteReference"/>
          <w:rFonts w:asciiTheme="minorHAnsi" w:hAnsiTheme="minorHAnsi" w:cstheme="minorHAnsi"/>
          <w:color w:val="auto"/>
          <w:sz w:val="16"/>
          <w:szCs w:val="16"/>
          <w:lang w:val="en-US"/>
        </w:rPr>
        <w:footnoteRef/>
      </w:r>
      <w:r w:rsidRPr="003263DC">
        <w:rPr>
          <w:rFonts w:asciiTheme="minorHAnsi" w:hAnsiTheme="minorHAnsi" w:cstheme="minorHAnsi"/>
          <w:sz w:val="16"/>
          <w:szCs w:val="16"/>
          <w:lang w:val="en-US"/>
        </w:rPr>
        <w:t xml:space="preserve"> </w:t>
      </w:r>
      <w:r w:rsidRPr="003263DC">
        <w:rPr>
          <w:rFonts w:asciiTheme="minorHAnsi" w:hAnsiTheme="minorHAnsi" w:cstheme="minorHAnsi"/>
          <w:sz w:val="16"/>
          <w:szCs w:val="16"/>
          <w:lang w:val="en-US" w:eastAsia="x-none"/>
        </w:rPr>
        <w:t>Harvesting of living natural resources, such as fish and all other types of aquatic and terrestrial organisms and timber, refers to productive activities that include extraction of these resources from natural and modified ecosystems and habitats.</w:t>
      </w:r>
    </w:p>
  </w:footnote>
  <w:footnote w:id="38">
    <w:p w14:paraId="0D076B25" w14:textId="77777777" w:rsidR="007E7168" w:rsidRPr="003263DC" w:rsidRDefault="007E7168" w:rsidP="001B5262">
      <w:pPr>
        <w:pStyle w:val="FootnoteText"/>
        <w:spacing w:line="240" w:lineRule="auto"/>
        <w:jc w:val="both"/>
        <w:rPr>
          <w:rFonts w:asciiTheme="minorHAnsi" w:hAnsiTheme="minorHAnsi" w:cstheme="minorHAnsi"/>
          <w:sz w:val="16"/>
          <w:szCs w:val="16"/>
          <w:lang w:val="en-US" w:eastAsia="x-none"/>
        </w:rPr>
      </w:pPr>
      <w:r w:rsidRPr="003263DC">
        <w:rPr>
          <w:rStyle w:val="FootnoteReference"/>
          <w:rFonts w:asciiTheme="minorHAnsi" w:hAnsiTheme="minorHAnsi" w:cstheme="minorHAnsi"/>
          <w:color w:val="auto"/>
          <w:sz w:val="16"/>
          <w:szCs w:val="16"/>
          <w:lang w:val="en-US"/>
        </w:rPr>
        <w:footnoteRef/>
      </w:r>
      <w:r w:rsidRPr="003263DC">
        <w:rPr>
          <w:rFonts w:asciiTheme="minorHAnsi" w:hAnsiTheme="minorHAnsi" w:cstheme="minorHAnsi"/>
          <w:sz w:val="16"/>
          <w:szCs w:val="16"/>
          <w:lang w:val="en-US"/>
        </w:rPr>
        <w:t xml:space="preserve"> </w:t>
      </w:r>
      <w:r w:rsidRPr="003263DC">
        <w:rPr>
          <w:rFonts w:asciiTheme="minorHAnsi" w:hAnsiTheme="minorHAnsi" w:cstheme="minorHAnsi"/>
          <w:sz w:val="16"/>
          <w:szCs w:val="16"/>
          <w:lang w:val="en-US" w:eastAsia="x-none"/>
        </w:rPr>
        <w:t>Depending on the nature and the scale of the risks and impacts, to address cultural heritage as an integral aspect of sustainable development</w:t>
      </w:r>
      <w:r w:rsidRPr="003263DC">
        <w:rPr>
          <w:rFonts w:asciiTheme="minorHAnsi" w:hAnsiTheme="minorHAnsi" w:cstheme="minorHAnsi"/>
          <w:sz w:val="16"/>
          <w:szCs w:val="16"/>
          <w:lang w:val="en-US"/>
        </w:rPr>
        <w:t xml:space="preserve"> </w:t>
      </w:r>
      <w:r w:rsidRPr="003263DC">
        <w:rPr>
          <w:rFonts w:asciiTheme="minorHAnsi" w:hAnsiTheme="minorHAnsi" w:cstheme="minorHAnsi"/>
          <w:sz w:val="16"/>
          <w:szCs w:val="16"/>
          <w:lang w:val="en-US" w:eastAsia="x-none"/>
        </w:rPr>
        <w:t>the project, the Biodiversity Management Plan may be a stand-alone document or it may be included as part of the Environmental and Social Commitment Plan prepared under ESS1.</w:t>
      </w:r>
    </w:p>
  </w:footnote>
  <w:footnote w:id="39">
    <w:p w14:paraId="0B3E8609" w14:textId="77777777" w:rsidR="007E7168" w:rsidRPr="003263DC" w:rsidRDefault="007E7168" w:rsidP="001B5262">
      <w:pPr>
        <w:pStyle w:val="FootnoteText"/>
        <w:spacing w:line="240" w:lineRule="auto"/>
        <w:jc w:val="both"/>
        <w:rPr>
          <w:rFonts w:asciiTheme="minorHAnsi" w:hAnsiTheme="minorHAnsi" w:cstheme="minorHAnsi"/>
          <w:sz w:val="16"/>
          <w:szCs w:val="16"/>
          <w:lang w:val="en-US"/>
        </w:rPr>
      </w:pPr>
      <w:r w:rsidRPr="003263DC">
        <w:rPr>
          <w:rStyle w:val="FootnoteReference"/>
          <w:rFonts w:asciiTheme="minorHAnsi" w:hAnsiTheme="minorHAnsi" w:cstheme="minorHAnsi"/>
          <w:color w:val="auto"/>
          <w:sz w:val="16"/>
          <w:szCs w:val="16"/>
          <w:lang w:val="en-US"/>
        </w:rPr>
        <w:footnoteRef/>
      </w:r>
      <w:r w:rsidRPr="003263DC">
        <w:rPr>
          <w:rFonts w:asciiTheme="minorHAnsi" w:hAnsiTheme="minorHAnsi" w:cstheme="minorHAnsi"/>
          <w:sz w:val="16"/>
          <w:szCs w:val="16"/>
          <w:lang w:val="en-US"/>
        </w:rPr>
        <w:t xml:space="preserve"> Official Gazette of FBiH, No. 33/03 and 38/09</w:t>
      </w:r>
    </w:p>
  </w:footnote>
  <w:footnote w:id="40">
    <w:p w14:paraId="78A8BECA" w14:textId="77777777" w:rsidR="007E7168" w:rsidRPr="003263DC" w:rsidRDefault="007E7168" w:rsidP="001B5262">
      <w:pPr>
        <w:pStyle w:val="FootnoteText"/>
        <w:spacing w:line="240" w:lineRule="auto"/>
        <w:jc w:val="both"/>
        <w:rPr>
          <w:rFonts w:asciiTheme="minorHAnsi" w:hAnsiTheme="minorHAnsi" w:cstheme="minorHAnsi"/>
          <w:sz w:val="16"/>
          <w:szCs w:val="16"/>
          <w:lang w:val="en-US"/>
        </w:rPr>
      </w:pPr>
      <w:r w:rsidRPr="003263DC">
        <w:rPr>
          <w:rStyle w:val="FootnoteReference"/>
          <w:rFonts w:asciiTheme="minorHAnsi" w:hAnsiTheme="minorHAnsi" w:cstheme="minorHAnsi"/>
          <w:color w:val="auto"/>
          <w:sz w:val="16"/>
          <w:szCs w:val="16"/>
          <w:lang w:val="en-US"/>
        </w:rPr>
        <w:footnoteRef/>
      </w:r>
      <w:r w:rsidRPr="003263DC">
        <w:rPr>
          <w:rFonts w:asciiTheme="minorHAnsi" w:hAnsiTheme="minorHAnsi" w:cstheme="minorHAnsi"/>
          <w:sz w:val="16"/>
          <w:szCs w:val="16"/>
          <w:lang w:val="en-US"/>
        </w:rPr>
        <w:t xml:space="preserve"> Official Gazette of FBiH, No. 19/04</w:t>
      </w:r>
    </w:p>
  </w:footnote>
  <w:footnote w:id="41">
    <w:p w14:paraId="7CAC3C12" w14:textId="77777777" w:rsidR="007E7168" w:rsidRPr="003263DC" w:rsidRDefault="007E7168" w:rsidP="001B5262">
      <w:pPr>
        <w:pStyle w:val="FootnoteText"/>
        <w:spacing w:line="240" w:lineRule="auto"/>
        <w:jc w:val="both"/>
        <w:rPr>
          <w:rFonts w:asciiTheme="minorHAnsi" w:hAnsiTheme="minorHAnsi" w:cstheme="minorHAnsi"/>
          <w:sz w:val="16"/>
          <w:szCs w:val="16"/>
          <w:lang w:val="en-US"/>
        </w:rPr>
      </w:pPr>
      <w:r w:rsidRPr="003263DC">
        <w:rPr>
          <w:rStyle w:val="FootnoteReference"/>
          <w:rFonts w:asciiTheme="minorHAnsi" w:hAnsiTheme="minorHAnsi" w:cstheme="minorHAnsi"/>
          <w:color w:val="auto"/>
          <w:sz w:val="16"/>
          <w:szCs w:val="16"/>
          <w:lang w:val="en-US"/>
        </w:rPr>
        <w:footnoteRef/>
      </w:r>
      <w:r w:rsidRPr="003263DC">
        <w:rPr>
          <w:rFonts w:asciiTheme="minorHAnsi" w:hAnsiTheme="minorHAnsi" w:cstheme="minorHAnsi"/>
          <w:sz w:val="16"/>
          <w:szCs w:val="16"/>
          <w:lang w:val="en-US"/>
        </w:rPr>
        <w:t xml:space="preserve"> Official Gazette of RS, No. 71/12 and 79/15</w:t>
      </w:r>
    </w:p>
  </w:footnote>
  <w:footnote w:id="42">
    <w:p w14:paraId="768985EE" w14:textId="77777777" w:rsidR="007E7168" w:rsidRPr="003263DC" w:rsidRDefault="007E7168" w:rsidP="001B5262">
      <w:pPr>
        <w:pStyle w:val="FootnoteText"/>
        <w:spacing w:line="240" w:lineRule="auto"/>
        <w:jc w:val="both"/>
        <w:rPr>
          <w:rFonts w:asciiTheme="minorHAnsi" w:hAnsiTheme="minorHAnsi" w:cstheme="minorHAnsi"/>
          <w:sz w:val="16"/>
          <w:szCs w:val="16"/>
          <w:lang w:val="en-US"/>
        </w:rPr>
      </w:pPr>
      <w:r w:rsidRPr="003263DC">
        <w:rPr>
          <w:rStyle w:val="FootnoteReference"/>
          <w:rFonts w:asciiTheme="minorHAnsi" w:hAnsiTheme="minorHAnsi" w:cstheme="minorHAnsi"/>
          <w:color w:val="auto"/>
          <w:sz w:val="16"/>
          <w:szCs w:val="16"/>
          <w:lang w:val="en-US"/>
        </w:rPr>
        <w:footnoteRef/>
      </w:r>
      <w:r w:rsidRPr="003263DC">
        <w:rPr>
          <w:rFonts w:asciiTheme="minorHAnsi" w:hAnsiTheme="minorHAnsi" w:cstheme="minorHAnsi"/>
          <w:sz w:val="16"/>
          <w:szCs w:val="16"/>
          <w:lang w:val="en-US"/>
        </w:rPr>
        <w:t xml:space="preserve"> Official Gazette of RS, No. 124/12</w:t>
      </w:r>
    </w:p>
  </w:footnote>
  <w:footnote w:id="43">
    <w:p w14:paraId="4BB1C961" w14:textId="77777777" w:rsidR="007E7168" w:rsidRPr="003263DC" w:rsidRDefault="007E7168" w:rsidP="001B5262">
      <w:pPr>
        <w:pStyle w:val="FootnoteText"/>
        <w:ind w:left="142" w:hanging="142"/>
        <w:jc w:val="both"/>
        <w:rPr>
          <w:rFonts w:asciiTheme="minorHAnsi" w:hAnsiTheme="minorHAnsi" w:cstheme="minorHAnsi"/>
          <w:sz w:val="16"/>
          <w:szCs w:val="16"/>
          <w:lang w:val="en-US"/>
        </w:rPr>
      </w:pPr>
      <w:r w:rsidRPr="003263DC">
        <w:rPr>
          <w:rStyle w:val="FootnoteReference"/>
          <w:rFonts w:asciiTheme="minorHAnsi" w:hAnsiTheme="minorHAnsi" w:cstheme="minorHAnsi"/>
          <w:sz w:val="16"/>
          <w:szCs w:val="16"/>
          <w:lang w:val="en-US"/>
        </w:rPr>
        <w:footnoteRef/>
      </w:r>
      <w:r w:rsidRPr="003263DC">
        <w:rPr>
          <w:rFonts w:asciiTheme="minorHAnsi" w:hAnsiTheme="minorHAnsi" w:cstheme="minorHAnsi"/>
          <w:sz w:val="16"/>
          <w:szCs w:val="16"/>
          <w:lang w:val="en-US"/>
        </w:rPr>
        <w:t>Official Gazette of RS, No. 124/12</w:t>
      </w:r>
    </w:p>
  </w:footnote>
  <w:footnote w:id="44">
    <w:p w14:paraId="14E4045C" w14:textId="77777777" w:rsidR="007E7168" w:rsidRPr="003263DC" w:rsidRDefault="007E7168" w:rsidP="001B5262">
      <w:pPr>
        <w:pStyle w:val="FootnoteText"/>
        <w:spacing w:line="240" w:lineRule="auto"/>
        <w:jc w:val="both"/>
        <w:rPr>
          <w:rFonts w:asciiTheme="minorHAnsi" w:hAnsiTheme="minorHAnsi" w:cstheme="minorHAnsi"/>
          <w:sz w:val="16"/>
          <w:szCs w:val="16"/>
          <w:lang w:val="en-US"/>
        </w:rPr>
      </w:pPr>
      <w:r w:rsidRPr="003263DC">
        <w:rPr>
          <w:rStyle w:val="FootnoteReference"/>
          <w:rFonts w:asciiTheme="minorHAnsi" w:hAnsiTheme="minorHAnsi" w:cstheme="minorHAnsi"/>
          <w:color w:val="auto"/>
          <w:sz w:val="16"/>
          <w:szCs w:val="16"/>
          <w:lang w:val="en-US"/>
        </w:rPr>
        <w:footnoteRef/>
      </w:r>
      <w:r w:rsidRPr="003263DC">
        <w:rPr>
          <w:rFonts w:asciiTheme="minorHAnsi" w:hAnsiTheme="minorHAnsi" w:cstheme="minorHAnsi"/>
          <w:sz w:val="16"/>
          <w:szCs w:val="16"/>
          <w:lang w:val="en-US"/>
        </w:rPr>
        <w:t xml:space="preserve"> In case the RS Ministry is responsible for issuing Site Requirements.</w:t>
      </w:r>
    </w:p>
  </w:footnote>
  <w:footnote w:id="45">
    <w:p w14:paraId="0A87EB82" w14:textId="77777777" w:rsidR="007E7168" w:rsidRPr="003263DC" w:rsidRDefault="007E7168" w:rsidP="001B5262">
      <w:pPr>
        <w:pStyle w:val="FootnoteText"/>
        <w:spacing w:line="240" w:lineRule="auto"/>
        <w:jc w:val="both"/>
        <w:rPr>
          <w:rFonts w:asciiTheme="minorHAnsi" w:hAnsiTheme="minorHAnsi" w:cstheme="minorHAnsi"/>
          <w:sz w:val="16"/>
          <w:szCs w:val="16"/>
          <w:lang w:val="en-US"/>
        </w:rPr>
      </w:pPr>
      <w:r w:rsidRPr="003263DC">
        <w:rPr>
          <w:rStyle w:val="FootnoteReference"/>
          <w:rFonts w:asciiTheme="minorHAnsi" w:hAnsiTheme="minorHAnsi" w:cstheme="minorHAnsi"/>
          <w:color w:val="auto"/>
          <w:sz w:val="16"/>
          <w:szCs w:val="16"/>
          <w:lang w:val="en-US"/>
        </w:rPr>
        <w:footnoteRef/>
      </w:r>
      <w:r w:rsidRPr="003263DC">
        <w:rPr>
          <w:rFonts w:asciiTheme="minorHAnsi" w:hAnsiTheme="minorHAnsi" w:cstheme="minorHAnsi"/>
          <w:sz w:val="16"/>
          <w:szCs w:val="16"/>
          <w:lang w:val="en-US"/>
        </w:rPr>
        <w:t xml:space="preserve"> Authorities responsible for nature protection, authorities responsible of protection of cultural and historical and natural heritage, authorities responsible of agriculture, forestry, water management, authorities responsible of plant protection and other interested authorities. </w:t>
      </w:r>
    </w:p>
  </w:footnote>
  <w:footnote w:id="46">
    <w:p w14:paraId="45C0EE5F" w14:textId="77777777" w:rsidR="007E7168" w:rsidRPr="003263DC" w:rsidRDefault="007E7168" w:rsidP="001B5262">
      <w:pPr>
        <w:pStyle w:val="FootnoteText"/>
        <w:spacing w:line="240" w:lineRule="auto"/>
        <w:jc w:val="both"/>
        <w:rPr>
          <w:rFonts w:asciiTheme="minorHAnsi" w:hAnsiTheme="minorHAnsi" w:cstheme="minorHAnsi"/>
          <w:sz w:val="16"/>
          <w:szCs w:val="16"/>
          <w:lang w:val="en-US"/>
        </w:rPr>
      </w:pPr>
      <w:r w:rsidRPr="003263DC">
        <w:rPr>
          <w:rFonts w:asciiTheme="minorHAnsi" w:hAnsiTheme="minorHAnsi" w:cstheme="minorHAnsi"/>
          <w:sz w:val="16"/>
          <w:szCs w:val="16"/>
          <w:vertAlign w:val="superscript"/>
          <w:lang w:val="en-US"/>
        </w:rPr>
        <w:footnoteRef/>
      </w:r>
      <w:r w:rsidRPr="003263DC">
        <w:rPr>
          <w:rFonts w:asciiTheme="minorHAnsi" w:hAnsiTheme="minorHAnsi" w:cstheme="minorHAnsi"/>
          <w:sz w:val="16"/>
          <w:szCs w:val="16"/>
          <w:vertAlign w:val="superscript"/>
          <w:lang w:val="en-US"/>
        </w:rPr>
        <w:t xml:space="preserve"> </w:t>
      </w:r>
      <w:r w:rsidRPr="003263DC">
        <w:rPr>
          <w:rFonts w:asciiTheme="minorHAnsi" w:hAnsiTheme="minorHAnsi" w:cstheme="minorHAnsi"/>
          <w:sz w:val="16"/>
          <w:szCs w:val="16"/>
          <w:lang w:val="en-US"/>
        </w:rPr>
        <w:t>Official Gazette of BD BiH, No. 24/04, 01/05, 19/07, 09/09</w:t>
      </w:r>
    </w:p>
  </w:footnote>
  <w:footnote w:id="47">
    <w:p w14:paraId="15859319" w14:textId="77777777" w:rsidR="007E7168" w:rsidRPr="003263DC" w:rsidRDefault="007E7168" w:rsidP="001B5262">
      <w:pPr>
        <w:pStyle w:val="FootnoteText"/>
        <w:spacing w:line="240" w:lineRule="auto"/>
        <w:jc w:val="both"/>
        <w:rPr>
          <w:rFonts w:asciiTheme="minorHAnsi" w:hAnsiTheme="minorHAnsi" w:cstheme="minorHAnsi"/>
          <w:sz w:val="16"/>
          <w:szCs w:val="16"/>
          <w:lang w:val="en-US"/>
        </w:rPr>
      </w:pPr>
      <w:r w:rsidRPr="003263DC">
        <w:rPr>
          <w:rFonts w:asciiTheme="minorHAnsi" w:hAnsiTheme="minorHAnsi" w:cstheme="minorHAnsi"/>
          <w:sz w:val="16"/>
          <w:szCs w:val="16"/>
          <w:vertAlign w:val="superscript"/>
          <w:lang w:val="en-US"/>
        </w:rPr>
        <w:footnoteRef/>
      </w:r>
      <w:r w:rsidRPr="003263DC">
        <w:rPr>
          <w:rFonts w:asciiTheme="minorHAnsi" w:hAnsiTheme="minorHAnsi" w:cstheme="minorHAnsi"/>
          <w:sz w:val="16"/>
          <w:szCs w:val="16"/>
          <w:vertAlign w:val="superscript"/>
          <w:lang w:val="en-US"/>
        </w:rPr>
        <w:t xml:space="preserve"> </w:t>
      </w:r>
      <w:r w:rsidRPr="003263DC">
        <w:rPr>
          <w:rFonts w:asciiTheme="minorHAnsi" w:hAnsiTheme="minorHAnsi" w:cstheme="minorHAnsi"/>
          <w:sz w:val="16"/>
          <w:szCs w:val="16"/>
          <w:lang w:val="en-US"/>
        </w:rPr>
        <w:t>Official Gazette of BD BiH, No. 30/06</w:t>
      </w:r>
    </w:p>
  </w:footnote>
  <w:footnote w:id="48">
    <w:p w14:paraId="4FF0331E" w14:textId="77777777" w:rsidR="007E7168" w:rsidRPr="003263DC" w:rsidRDefault="007E7168" w:rsidP="001B5262">
      <w:pPr>
        <w:pStyle w:val="FootnoteText"/>
        <w:spacing w:line="240" w:lineRule="auto"/>
        <w:jc w:val="both"/>
        <w:rPr>
          <w:rFonts w:asciiTheme="minorHAnsi" w:hAnsiTheme="minorHAnsi" w:cstheme="minorHAnsi"/>
          <w:sz w:val="16"/>
          <w:szCs w:val="16"/>
          <w:lang w:val="en-US"/>
        </w:rPr>
      </w:pPr>
      <w:r w:rsidRPr="003263DC">
        <w:rPr>
          <w:rStyle w:val="FootnoteReference"/>
          <w:rFonts w:asciiTheme="minorHAnsi" w:hAnsiTheme="minorHAnsi" w:cstheme="minorHAnsi"/>
          <w:color w:val="auto"/>
          <w:sz w:val="16"/>
          <w:szCs w:val="16"/>
          <w:lang w:val="en-US"/>
        </w:rPr>
        <w:footnoteRef/>
      </w:r>
      <w:r w:rsidRPr="003263DC">
        <w:rPr>
          <w:rFonts w:asciiTheme="minorHAnsi" w:hAnsiTheme="minorHAnsi" w:cstheme="minorHAnsi"/>
          <w:sz w:val="16"/>
          <w:szCs w:val="16"/>
          <w:lang w:val="en-US"/>
        </w:rPr>
        <w:t xml:space="preserve"> Official Gazette of FBiH, No. 33/03, 72/09 and 92/17</w:t>
      </w:r>
    </w:p>
  </w:footnote>
  <w:footnote w:id="49">
    <w:p w14:paraId="4CE5EAC0" w14:textId="77777777" w:rsidR="007E7168" w:rsidRPr="003263DC" w:rsidRDefault="007E7168" w:rsidP="001B5262">
      <w:pPr>
        <w:pStyle w:val="FootnoteText"/>
        <w:spacing w:line="240" w:lineRule="auto"/>
        <w:jc w:val="both"/>
        <w:rPr>
          <w:rFonts w:asciiTheme="minorHAnsi" w:hAnsiTheme="minorHAnsi" w:cstheme="minorHAnsi"/>
          <w:sz w:val="16"/>
          <w:szCs w:val="16"/>
          <w:lang w:val="en-US"/>
        </w:rPr>
      </w:pPr>
      <w:r w:rsidRPr="003263DC">
        <w:rPr>
          <w:rStyle w:val="FootnoteReference"/>
          <w:rFonts w:asciiTheme="minorHAnsi" w:hAnsiTheme="minorHAnsi" w:cstheme="minorHAnsi"/>
          <w:color w:val="auto"/>
          <w:sz w:val="16"/>
          <w:szCs w:val="16"/>
          <w:lang w:val="en-US"/>
        </w:rPr>
        <w:footnoteRef/>
      </w:r>
      <w:r w:rsidRPr="003263DC">
        <w:rPr>
          <w:rFonts w:asciiTheme="minorHAnsi" w:hAnsiTheme="minorHAnsi" w:cstheme="minorHAnsi"/>
          <w:sz w:val="16"/>
          <w:szCs w:val="16"/>
          <w:lang w:val="en-US"/>
        </w:rPr>
        <w:t xml:space="preserve"> Official Gazette of FBiH, No. 9/05</w:t>
      </w:r>
    </w:p>
  </w:footnote>
  <w:footnote w:id="50">
    <w:p w14:paraId="2B6BB453" w14:textId="77777777" w:rsidR="007E7168" w:rsidRPr="003263DC" w:rsidRDefault="007E7168" w:rsidP="001B5262">
      <w:pPr>
        <w:pStyle w:val="FootnoteText"/>
        <w:spacing w:line="240" w:lineRule="auto"/>
        <w:jc w:val="both"/>
        <w:rPr>
          <w:rFonts w:asciiTheme="minorHAnsi" w:hAnsiTheme="minorHAnsi" w:cstheme="minorHAnsi"/>
          <w:sz w:val="16"/>
          <w:szCs w:val="16"/>
          <w:lang w:val="en-US"/>
        </w:rPr>
      </w:pPr>
      <w:r w:rsidRPr="003263DC">
        <w:rPr>
          <w:rStyle w:val="FootnoteReference"/>
          <w:rFonts w:asciiTheme="minorHAnsi" w:hAnsiTheme="minorHAnsi" w:cstheme="minorHAnsi"/>
          <w:color w:val="auto"/>
          <w:sz w:val="16"/>
          <w:szCs w:val="16"/>
          <w:lang w:val="en-US"/>
        </w:rPr>
        <w:footnoteRef/>
      </w:r>
      <w:r w:rsidRPr="003263DC">
        <w:rPr>
          <w:rFonts w:asciiTheme="minorHAnsi" w:hAnsiTheme="minorHAnsi" w:cstheme="minorHAnsi"/>
          <w:sz w:val="16"/>
          <w:szCs w:val="16"/>
          <w:lang w:val="en-US"/>
        </w:rPr>
        <w:t xml:space="preserve"> Official Gazette of RS, No. 111/13, 106/15 and 16/18</w:t>
      </w:r>
    </w:p>
  </w:footnote>
  <w:footnote w:id="51">
    <w:p w14:paraId="5DF18F32" w14:textId="77777777" w:rsidR="007E7168" w:rsidRPr="003263DC" w:rsidRDefault="007E7168" w:rsidP="001B5262">
      <w:pPr>
        <w:pStyle w:val="FootnoteText"/>
        <w:spacing w:line="240" w:lineRule="auto"/>
        <w:jc w:val="both"/>
        <w:rPr>
          <w:rFonts w:asciiTheme="minorHAnsi" w:hAnsiTheme="minorHAnsi" w:cstheme="minorHAnsi"/>
          <w:sz w:val="16"/>
          <w:szCs w:val="16"/>
          <w:lang w:val="en-US"/>
        </w:rPr>
      </w:pPr>
      <w:r w:rsidRPr="003263DC">
        <w:rPr>
          <w:rStyle w:val="FootnoteReference"/>
          <w:rFonts w:asciiTheme="minorHAnsi" w:hAnsiTheme="minorHAnsi" w:cstheme="minorHAnsi"/>
          <w:color w:val="auto"/>
          <w:sz w:val="16"/>
          <w:szCs w:val="16"/>
          <w:lang w:val="en-US"/>
        </w:rPr>
        <w:footnoteRef/>
      </w:r>
      <w:r w:rsidRPr="003263DC">
        <w:rPr>
          <w:rFonts w:asciiTheme="minorHAnsi" w:hAnsiTheme="minorHAnsi" w:cstheme="minorHAnsi"/>
          <w:sz w:val="16"/>
          <w:szCs w:val="16"/>
          <w:lang w:val="en-US"/>
        </w:rPr>
        <w:t xml:space="preserve"> Official Gazette of RS, No. 19/15 and 79/18</w:t>
      </w:r>
    </w:p>
  </w:footnote>
  <w:footnote w:id="52">
    <w:p w14:paraId="0BA0410A" w14:textId="77777777" w:rsidR="007E7168" w:rsidRPr="003263DC" w:rsidRDefault="007E7168" w:rsidP="001B5262">
      <w:pPr>
        <w:pStyle w:val="FootnoteText"/>
        <w:spacing w:line="240" w:lineRule="auto"/>
        <w:jc w:val="both"/>
        <w:rPr>
          <w:rFonts w:asciiTheme="minorHAnsi" w:hAnsiTheme="minorHAnsi" w:cstheme="minorHAnsi"/>
          <w:sz w:val="16"/>
          <w:szCs w:val="16"/>
          <w:lang w:val="en-US"/>
        </w:rPr>
      </w:pPr>
      <w:r w:rsidRPr="003263DC">
        <w:rPr>
          <w:rStyle w:val="FootnoteReference"/>
          <w:rFonts w:asciiTheme="minorHAnsi" w:hAnsiTheme="minorHAnsi" w:cstheme="minorHAnsi"/>
          <w:color w:val="auto"/>
          <w:sz w:val="16"/>
          <w:szCs w:val="16"/>
          <w:lang w:val="en-US"/>
        </w:rPr>
        <w:footnoteRef/>
      </w:r>
      <w:r w:rsidRPr="003263DC">
        <w:rPr>
          <w:rFonts w:asciiTheme="minorHAnsi" w:hAnsiTheme="minorHAnsi" w:cstheme="minorHAnsi"/>
          <w:sz w:val="16"/>
          <w:szCs w:val="16"/>
          <w:lang w:val="en-US"/>
        </w:rPr>
        <w:t xml:space="preserve"> Official Gazette of BD BiH, No. 04/25, 1/05, 19/07, 02/08 and 09/09</w:t>
      </w:r>
    </w:p>
  </w:footnote>
  <w:footnote w:id="53">
    <w:p w14:paraId="1DEBCEB0" w14:textId="77777777" w:rsidR="007E7168" w:rsidRPr="003263DC" w:rsidRDefault="007E7168" w:rsidP="001B5262">
      <w:pPr>
        <w:pStyle w:val="FootnoteText"/>
        <w:spacing w:line="240" w:lineRule="auto"/>
        <w:jc w:val="both"/>
        <w:rPr>
          <w:rFonts w:asciiTheme="minorHAnsi" w:hAnsiTheme="minorHAnsi" w:cstheme="minorHAnsi"/>
          <w:sz w:val="16"/>
          <w:szCs w:val="16"/>
          <w:lang w:val="en-US"/>
        </w:rPr>
      </w:pPr>
      <w:r w:rsidRPr="003263DC">
        <w:rPr>
          <w:rStyle w:val="FootnoteReference"/>
          <w:rFonts w:asciiTheme="minorHAnsi" w:hAnsiTheme="minorHAnsi" w:cstheme="minorHAnsi"/>
          <w:color w:val="auto"/>
          <w:sz w:val="16"/>
          <w:szCs w:val="16"/>
          <w:lang w:val="en-US"/>
        </w:rPr>
        <w:footnoteRef/>
      </w:r>
      <w:r w:rsidRPr="003263DC">
        <w:rPr>
          <w:rFonts w:asciiTheme="minorHAnsi" w:hAnsiTheme="minorHAnsi" w:cstheme="minorHAnsi"/>
          <w:sz w:val="16"/>
          <w:szCs w:val="16"/>
          <w:lang w:val="en-US"/>
        </w:rPr>
        <w:t xml:space="preserve"> Official Gazette of BD BiH, No 32/06</w:t>
      </w:r>
    </w:p>
  </w:footnote>
  <w:footnote w:id="54">
    <w:p w14:paraId="40D65986" w14:textId="77777777" w:rsidR="007E7168" w:rsidRPr="003263DC" w:rsidRDefault="007E7168" w:rsidP="001B5262">
      <w:pPr>
        <w:pStyle w:val="FootnoteText"/>
        <w:spacing w:line="240" w:lineRule="auto"/>
        <w:jc w:val="both"/>
        <w:rPr>
          <w:rFonts w:asciiTheme="minorHAnsi" w:hAnsiTheme="minorHAnsi" w:cstheme="minorHAnsi"/>
          <w:sz w:val="16"/>
          <w:szCs w:val="16"/>
          <w:lang w:val="en-US"/>
        </w:rPr>
      </w:pPr>
      <w:r w:rsidRPr="003263DC">
        <w:rPr>
          <w:rStyle w:val="FootnoteReference"/>
          <w:rFonts w:asciiTheme="minorHAnsi" w:hAnsiTheme="minorHAnsi" w:cstheme="minorHAnsi"/>
          <w:color w:val="auto"/>
          <w:sz w:val="16"/>
          <w:szCs w:val="16"/>
          <w:lang w:val="en-US"/>
        </w:rPr>
        <w:footnoteRef/>
      </w:r>
      <w:r w:rsidRPr="003263DC">
        <w:rPr>
          <w:rFonts w:asciiTheme="minorHAnsi" w:hAnsiTheme="minorHAnsi" w:cstheme="minorHAnsi"/>
          <w:sz w:val="16"/>
          <w:szCs w:val="16"/>
          <w:lang w:val="en-US"/>
        </w:rPr>
        <w:t xml:space="preserve"> Official Gazette of FBiH, No. 70/06</w:t>
      </w:r>
    </w:p>
  </w:footnote>
  <w:footnote w:id="55">
    <w:p w14:paraId="7A352F5C" w14:textId="77777777" w:rsidR="007E7168" w:rsidRPr="003263DC" w:rsidRDefault="007E7168" w:rsidP="001B5262">
      <w:pPr>
        <w:pStyle w:val="FootnoteText"/>
        <w:spacing w:line="240" w:lineRule="auto"/>
        <w:jc w:val="both"/>
        <w:rPr>
          <w:rFonts w:asciiTheme="minorHAnsi" w:hAnsiTheme="minorHAnsi" w:cstheme="minorHAnsi"/>
          <w:sz w:val="16"/>
          <w:szCs w:val="16"/>
          <w:lang w:val="en-US"/>
        </w:rPr>
      </w:pPr>
      <w:r w:rsidRPr="003263DC">
        <w:rPr>
          <w:rStyle w:val="FootnoteReference"/>
          <w:rFonts w:asciiTheme="minorHAnsi" w:hAnsiTheme="minorHAnsi" w:cstheme="minorHAnsi"/>
          <w:color w:val="auto"/>
          <w:sz w:val="16"/>
          <w:szCs w:val="16"/>
          <w:lang w:val="en-US"/>
        </w:rPr>
        <w:footnoteRef/>
      </w:r>
      <w:r w:rsidRPr="003263DC">
        <w:rPr>
          <w:rFonts w:asciiTheme="minorHAnsi" w:hAnsiTheme="minorHAnsi" w:cstheme="minorHAnsi"/>
          <w:sz w:val="16"/>
          <w:szCs w:val="16"/>
          <w:lang w:val="en-US"/>
        </w:rPr>
        <w:t xml:space="preserve"> Official Gazette of RS, No. 50/06, 92/09, 121/12 and 74/17</w:t>
      </w:r>
    </w:p>
  </w:footnote>
  <w:footnote w:id="56">
    <w:p w14:paraId="6566D9C6" w14:textId="77777777" w:rsidR="007E7168" w:rsidRPr="003263DC" w:rsidRDefault="007E7168" w:rsidP="001B5262">
      <w:pPr>
        <w:pStyle w:val="FootnoteText"/>
        <w:spacing w:line="240" w:lineRule="auto"/>
        <w:jc w:val="both"/>
        <w:rPr>
          <w:rFonts w:asciiTheme="minorHAnsi" w:hAnsiTheme="minorHAnsi" w:cstheme="minorHAnsi"/>
          <w:sz w:val="16"/>
          <w:szCs w:val="16"/>
          <w:lang w:val="en-US"/>
        </w:rPr>
      </w:pPr>
      <w:r w:rsidRPr="003263DC">
        <w:rPr>
          <w:rFonts w:asciiTheme="minorHAnsi" w:hAnsiTheme="minorHAnsi" w:cstheme="minorHAnsi"/>
          <w:sz w:val="16"/>
          <w:szCs w:val="16"/>
          <w:vertAlign w:val="superscript"/>
          <w:lang w:val="en-US"/>
        </w:rPr>
        <w:footnoteRef/>
      </w:r>
      <w:r w:rsidRPr="003263DC">
        <w:rPr>
          <w:rFonts w:asciiTheme="minorHAnsi" w:hAnsiTheme="minorHAnsi" w:cstheme="minorHAnsi"/>
          <w:sz w:val="16"/>
          <w:szCs w:val="16"/>
          <w:lang w:val="en-US"/>
        </w:rPr>
        <w:t xml:space="preserve"> Official Gazette of FBiH, No. 06/08, 57/09 and 72/09</w:t>
      </w:r>
    </w:p>
  </w:footnote>
  <w:footnote w:id="57">
    <w:p w14:paraId="056526FA" w14:textId="77777777" w:rsidR="007E7168" w:rsidRPr="003263DC" w:rsidRDefault="007E7168" w:rsidP="001B5262">
      <w:pPr>
        <w:pStyle w:val="FootnoteText"/>
        <w:jc w:val="both"/>
        <w:rPr>
          <w:rFonts w:asciiTheme="minorHAnsi" w:hAnsiTheme="minorHAnsi" w:cstheme="minorHAnsi"/>
          <w:sz w:val="16"/>
          <w:szCs w:val="16"/>
          <w:lang w:val="en-US"/>
        </w:rPr>
      </w:pPr>
      <w:r w:rsidRPr="003263DC">
        <w:rPr>
          <w:rFonts w:asciiTheme="minorHAnsi" w:hAnsiTheme="minorHAnsi" w:cstheme="minorHAnsi"/>
          <w:sz w:val="16"/>
          <w:szCs w:val="16"/>
          <w:vertAlign w:val="superscript"/>
          <w:lang w:val="en-US"/>
        </w:rPr>
        <w:footnoteRef/>
      </w:r>
      <w:r w:rsidRPr="003263DC">
        <w:rPr>
          <w:rFonts w:asciiTheme="minorHAnsi" w:hAnsiTheme="minorHAnsi" w:cstheme="minorHAnsi"/>
          <w:sz w:val="16"/>
          <w:szCs w:val="16"/>
          <w:vertAlign w:val="superscript"/>
          <w:lang w:val="en-US"/>
        </w:rPr>
        <w:t xml:space="preserve"> </w:t>
      </w:r>
      <w:r w:rsidRPr="003263DC">
        <w:rPr>
          <w:rFonts w:asciiTheme="minorHAnsi" w:hAnsiTheme="minorHAnsi" w:cstheme="minorHAnsi"/>
          <w:sz w:val="16"/>
          <w:szCs w:val="16"/>
          <w:lang w:val="en-US"/>
        </w:rPr>
        <w:t>Official Gazette of BD, No. 25/04, 01/05 and 19/07</w:t>
      </w:r>
    </w:p>
  </w:footnote>
  <w:footnote w:id="58">
    <w:p w14:paraId="1494F6BA" w14:textId="77777777" w:rsidR="007E7168" w:rsidRPr="003263DC" w:rsidRDefault="007E7168" w:rsidP="001B5262">
      <w:pPr>
        <w:pStyle w:val="FootnoteText"/>
        <w:jc w:val="both"/>
        <w:rPr>
          <w:rFonts w:asciiTheme="minorHAnsi" w:hAnsiTheme="minorHAnsi" w:cstheme="minorHAnsi"/>
          <w:sz w:val="16"/>
          <w:szCs w:val="16"/>
          <w:lang w:val="en-US"/>
        </w:rPr>
      </w:pPr>
      <w:r w:rsidRPr="003263DC">
        <w:rPr>
          <w:rFonts w:asciiTheme="minorHAnsi" w:hAnsiTheme="minorHAnsi" w:cstheme="minorHAnsi"/>
          <w:sz w:val="16"/>
          <w:szCs w:val="16"/>
          <w:vertAlign w:val="superscript"/>
          <w:lang w:val="en-US"/>
        </w:rPr>
        <w:footnoteRef/>
      </w:r>
      <w:r w:rsidRPr="003263DC">
        <w:rPr>
          <w:rFonts w:asciiTheme="minorHAnsi" w:hAnsiTheme="minorHAnsi" w:cstheme="minorHAnsi"/>
          <w:sz w:val="16"/>
          <w:szCs w:val="16"/>
          <w:lang w:val="en-US"/>
        </w:rPr>
        <w:t xml:space="preserve"> Official Gazette of RS, No. 10/98 and 51/01</w:t>
      </w:r>
    </w:p>
  </w:footnote>
  <w:footnote w:id="59">
    <w:p w14:paraId="3BC3E5B3" w14:textId="77777777" w:rsidR="007E7168" w:rsidRPr="003263DC" w:rsidRDefault="007E7168" w:rsidP="001B5262">
      <w:pPr>
        <w:pStyle w:val="FootnoteText"/>
        <w:spacing w:line="240" w:lineRule="auto"/>
        <w:jc w:val="both"/>
        <w:rPr>
          <w:rFonts w:asciiTheme="minorHAnsi" w:hAnsiTheme="minorHAnsi" w:cstheme="minorHAnsi"/>
          <w:sz w:val="16"/>
          <w:szCs w:val="16"/>
          <w:lang w:val="en-US"/>
        </w:rPr>
      </w:pPr>
      <w:r w:rsidRPr="003263DC">
        <w:rPr>
          <w:rStyle w:val="FootnoteReference"/>
          <w:rFonts w:asciiTheme="minorHAnsi" w:hAnsiTheme="minorHAnsi" w:cstheme="minorHAnsi"/>
          <w:color w:val="auto"/>
          <w:sz w:val="16"/>
          <w:szCs w:val="16"/>
          <w:lang w:val="en-US"/>
        </w:rPr>
        <w:footnoteRef/>
      </w:r>
      <w:r w:rsidRPr="003263DC">
        <w:rPr>
          <w:rFonts w:asciiTheme="minorHAnsi" w:hAnsiTheme="minorHAnsi" w:cstheme="minorHAnsi"/>
          <w:sz w:val="16"/>
          <w:szCs w:val="16"/>
          <w:lang w:val="en-US"/>
        </w:rPr>
        <w:t xml:space="preserve"> Official Gazette of FBiH, No. 2/06, 72/07, 32/08, 4/10, 13/10, 45/10</w:t>
      </w:r>
    </w:p>
  </w:footnote>
  <w:footnote w:id="60">
    <w:p w14:paraId="654FCBBB" w14:textId="77777777" w:rsidR="007E7168" w:rsidRPr="003263DC" w:rsidRDefault="007E7168" w:rsidP="001B5262">
      <w:pPr>
        <w:pStyle w:val="FootnoteText"/>
        <w:jc w:val="both"/>
        <w:rPr>
          <w:rFonts w:asciiTheme="minorHAnsi" w:hAnsiTheme="minorHAnsi" w:cstheme="minorHAnsi"/>
          <w:sz w:val="16"/>
          <w:szCs w:val="16"/>
          <w:lang w:val="en-US"/>
        </w:rPr>
      </w:pPr>
      <w:r w:rsidRPr="003263DC">
        <w:rPr>
          <w:rFonts w:asciiTheme="minorHAnsi" w:hAnsiTheme="minorHAnsi" w:cstheme="minorHAnsi"/>
          <w:sz w:val="16"/>
          <w:szCs w:val="16"/>
          <w:vertAlign w:val="superscript"/>
          <w:lang w:val="en-US"/>
        </w:rPr>
        <w:footnoteRef/>
      </w:r>
      <w:r w:rsidRPr="003263DC">
        <w:rPr>
          <w:rFonts w:asciiTheme="minorHAnsi" w:hAnsiTheme="minorHAnsi" w:cstheme="minorHAnsi"/>
          <w:sz w:val="16"/>
          <w:szCs w:val="16"/>
          <w:vertAlign w:val="superscript"/>
          <w:lang w:val="en-US"/>
        </w:rPr>
        <w:t xml:space="preserve"> </w:t>
      </w:r>
      <w:r w:rsidRPr="003263DC">
        <w:rPr>
          <w:rFonts w:asciiTheme="minorHAnsi" w:hAnsiTheme="minorHAnsi" w:cstheme="minorHAnsi"/>
          <w:sz w:val="16"/>
          <w:szCs w:val="16"/>
          <w:lang w:val="en-US"/>
        </w:rPr>
        <w:t>Official Gazette of FBiH, No. 48/09, 75/09, 93/12, 74/13, 89/14, 99/14, 53/15 and 101/15</w:t>
      </w:r>
    </w:p>
  </w:footnote>
  <w:footnote w:id="61">
    <w:p w14:paraId="4147BE9E" w14:textId="45777E19" w:rsidR="007E7168" w:rsidRPr="003263DC" w:rsidRDefault="007E7168" w:rsidP="001B5262">
      <w:pPr>
        <w:pStyle w:val="FootnoteText"/>
        <w:spacing w:line="240" w:lineRule="auto"/>
        <w:jc w:val="both"/>
        <w:rPr>
          <w:rFonts w:asciiTheme="minorHAnsi" w:hAnsiTheme="minorHAnsi" w:cstheme="minorHAnsi"/>
          <w:sz w:val="16"/>
          <w:szCs w:val="16"/>
          <w:lang w:val="en-US"/>
        </w:rPr>
      </w:pPr>
      <w:r w:rsidRPr="003263DC">
        <w:rPr>
          <w:rStyle w:val="FootnoteReference"/>
          <w:rFonts w:asciiTheme="minorHAnsi" w:hAnsiTheme="minorHAnsi" w:cstheme="minorHAnsi"/>
          <w:color w:val="auto"/>
          <w:sz w:val="16"/>
          <w:szCs w:val="16"/>
          <w:lang w:val="en-US"/>
        </w:rPr>
        <w:footnoteRef/>
      </w:r>
      <w:r w:rsidRPr="003263DC">
        <w:rPr>
          <w:rFonts w:asciiTheme="minorHAnsi" w:hAnsiTheme="minorHAnsi" w:cstheme="minorHAnsi"/>
          <w:sz w:val="16"/>
          <w:szCs w:val="16"/>
          <w:lang w:val="en-US"/>
        </w:rPr>
        <w:t xml:space="preserve"> Official Gazette of RS, No. 40/13, 106/15, 3/16, 84/19</w:t>
      </w:r>
    </w:p>
  </w:footnote>
  <w:footnote w:id="62">
    <w:p w14:paraId="5DE82FDD" w14:textId="77777777" w:rsidR="007E7168" w:rsidRPr="003263DC" w:rsidRDefault="007E7168" w:rsidP="001B5262">
      <w:pPr>
        <w:pStyle w:val="FootnoteText"/>
        <w:jc w:val="both"/>
        <w:rPr>
          <w:rFonts w:asciiTheme="minorHAnsi" w:hAnsiTheme="minorHAnsi" w:cstheme="minorHAnsi"/>
          <w:sz w:val="16"/>
          <w:szCs w:val="16"/>
          <w:lang w:val="en-US"/>
        </w:rPr>
      </w:pPr>
      <w:r w:rsidRPr="003263DC">
        <w:rPr>
          <w:rFonts w:asciiTheme="minorHAnsi" w:hAnsiTheme="minorHAnsi" w:cstheme="minorHAnsi"/>
          <w:sz w:val="16"/>
          <w:szCs w:val="16"/>
          <w:vertAlign w:val="superscript"/>
          <w:lang w:val="en-US"/>
        </w:rPr>
        <w:footnoteRef/>
      </w:r>
      <w:r w:rsidRPr="003263DC">
        <w:rPr>
          <w:rFonts w:asciiTheme="minorHAnsi" w:hAnsiTheme="minorHAnsi" w:cstheme="minorHAnsi"/>
          <w:sz w:val="16"/>
          <w:szCs w:val="16"/>
          <w:vertAlign w:val="superscript"/>
          <w:lang w:val="en-US"/>
        </w:rPr>
        <w:t xml:space="preserve"> </w:t>
      </w:r>
      <w:r w:rsidRPr="003263DC">
        <w:rPr>
          <w:rFonts w:asciiTheme="minorHAnsi" w:hAnsiTheme="minorHAnsi" w:cstheme="minorHAnsi"/>
          <w:sz w:val="16"/>
          <w:szCs w:val="16"/>
          <w:lang w:val="en-US"/>
        </w:rPr>
        <w:t>Official Gazette of BD BiH, No. 29/08, 18/17, 48/18 and 54/18</w:t>
      </w:r>
    </w:p>
  </w:footnote>
  <w:footnote w:id="63">
    <w:p w14:paraId="2EB5AFF3" w14:textId="77777777" w:rsidR="007E7168" w:rsidRPr="003263DC" w:rsidRDefault="007E7168" w:rsidP="001B5262">
      <w:pPr>
        <w:pStyle w:val="FootnoteText"/>
        <w:spacing w:line="240" w:lineRule="auto"/>
        <w:jc w:val="both"/>
        <w:rPr>
          <w:rFonts w:asciiTheme="minorHAnsi" w:hAnsiTheme="minorHAnsi" w:cstheme="minorHAnsi"/>
          <w:sz w:val="16"/>
          <w:szCs w:val="16"/>
          <w:lang w:val="en-US"/>
        </w:rPr>
      </w:pPr>
      <w:r w:rsidRPr="003263DC">
        <w:rPr>
          <w:rStyle w:val="FootnoteReference"/>
          <w:rFonts w:asciiTheme="minorHAnsi" w:hAnsiTheme="minorHAnsi" w:cstheme="minorHAnsi"/>
          <w:color w:val="auto"/>
          <w:sz w:val="16"/>
          <w:szCs w:val="16"/>
          <w:lang w:val="en-US"/>
        </w:rPr>
        <w:footnoteRef/>
      </w:r>
      <w:r w:rsidRPr="003263DC">
        <w:rPr>
          <w:rFonts w:asciiTheme="minorHAnsi" w:hAnsiTheme="minorHAnsi" w:cstheme="minorHAnsi"/>
          <w:sz w:val="16"/>
          <w:szCs w:val="16"/>
          <w:lang w:val="en-US"/>
        </w:rPr>
        <w:t xml:space="preserve"> Official Gazette of FBiH, No. 26/16 and 89/18</w:t>
      </w:r>
    </w:p>
  </w:footnote>
  <w:footnote w:id="64">
    <w:p w14:paraId="0B2BCAFB" w14:textId="77777777" w:rsidR="007E7168" w:rsidRPr="003263DC" w:rsidRDefault="007E7168" w:rsidP="001B5262">
      <w:pPr>
        <w:pStyle w:val="FootnoteText"/>
        <w:spacing w:line="240" w:lineRule="auto"/>
        <w:jc w:val="both"/>
        <w:rPr>
          <w:rFonts w:asciiTheme="minorHAnsi" w:hAnsiTheme="minorHAnsi" w:cstheme="minorHAnsi"/>
          <w:sz w:val="16"/>
          <w:szCs w:val="16"/>
          <w:lang w:val="en-US"/>
        </w:rPr>
      </w:pPr>
      <w:r w:rsidRPr="003263DC">
        <w:rPr>
          <w:rStyle w:val="FootnoteReference"/>
          <w:rFonts w:asciiTheme="minorHAnsi" w:hAnsiTheme="minorHAnsi" w:cstheme="minorHAnsi"/>
          <w:color w:val="auto"/>
          <w:sz w:val="16"/>
          <w:szCs w:val="16"/>
          <w:lang w:val="en-US"/>
        </w:rPr>
        <w:footnoteRef/>
      </w:r>
      <w:r w:rsidRPr="003263DC">
        <w:rPr>
          <w:rFonts w:asciiTheme="minorHAnsi" w:hAnsiTheme="minorHAnsi" w:cstheme="minorHAnsi"/>
          <w:sz w:val="16"/>
          <w:szCs w:val="16"/>
          <w:lang w:val="en-US"/>
        </w:rPr>
        <w:t xml:space="preserve"> Official Gazette of SRBiH, No. 22/90 </w:t>
      </w:r>
    </w:p>
  </w:footnote>
  <w:footnote w:id="65">
    <w:p w14:paraId="2A16C086" w14:textId="77777777" w:rsidR="007E7168" w:rsidRPr="003263DC" w:rsidRDefault="007E7168" w:rsidP="001B5262">
      <w:pPr>
        <w:pStyle w:val="FootnoteText"/>
        <w:spacing w:line="240" w:lineRule="auto"/>
        <w:jc w:val="both"/>
        <w:rPr>
          <w:rFonts w:asciiTheme="minorHAnsi" w:hAnsiTheme="minorHAnsi" w:cstheme="minorHAnsi"/>
          <w:sz w:val="16"/>
          <w:szCs w:val="16"/>
          <w:lang w:val="en-US"/>
        </w:rPr>
      </w:pPr>
      <w:r w:rsidRPr="003263DC">
        <w:rPr>
          <w:rStyle w:val="FootnoteReference"/>
          <w:rFonts w:asciiTheme="minorHAnsi" w:hAnsiTheme="minorHAnsi" w:cstheme="minorHAnsi"/>
          <w:color w:val="auto"/>
          <w:sz w:val="16"/>
          <w:szCs w:val="16"/>
          <w:lang w:val="en-US"/>
        </w:rPr>
        <w:footnoteRef/>
      </w:r>
      <w:r w:rsidRPr="003263DC">
        <w:rPr>
          <w:rFonts w:asciiTheme="minorHAnsi" w:hAnsiTheme="minorHAnsi" w:cstheme="minorHAnsi"/>
          <w:sz w:val="16"/>
          <w:szCs w:val="16"/>
          <w:lang w:val="en-US"/>
        </w:rPr>
        <w:t xml:space="preserve"> Official Gazette of RS, No. 1/16 and 66/18</w:t>
      </w:r>
    </w:p>
  </w:footnote>
  <w:footnote w:id="66">
    <w:p w14:paraId="45E49724" w14:textId="77777777" w:rsidR="007E7168" w:rsidRPr="003263DC" w:rsidRDefault="007E7168" w:rsidP="001B5262">
      <w:pPr>
        <w:pStyle w:val="FootnoteText"/>
        <w:spacing w:line="240" w:lineRule="auto"/>
        <w:jc w:val="both"/>
        <w:rPr>
          <w:rFonts w:asciiTheme="minorHAnsi" w:hAnsiTheme="minorHAnsi" w:cstheme="minorHAnsi"/>
          <w:sz w:val="16"/>
          <w:szCs w:val="16"/>
          <w:lang w:val="en-US"/>
        </w:rPr>
      </w:pPr>
      <w:r w:rsidRPr="003263DC">
        <w:rPr>
          <w:rStyle w:val="FootnoteReference"/>
          <w:rFonts w:asciiTheme="minorHAnsi" w:hAnsiTheme="minorHAnsi" w:cstheme="minorHAnsi"/>
          <w:color w:val="auto"/>
          <w:sz w:val="16"/>
          <w:szCs w:val="16"/>
          <w:lang w:val="en-US"/>
        </w:rPr>
        <w:footnoteRef/>
      </w:r>
      <w:r w:rsidRPr="003263DC">
        <w:rPr>
          <w:rFonts w:asciiTheme="minorHAnsi" w:hAnsiTheme="minorHAnsi" w:cstheme="minorHAnsi"/>
          <w:sz w:val="16"/>
          <w:szCs w:val="16"/>
          <w:lang w:val="en-US"/>
        </w:rPr>
        <w:t xml:space="preserve"> Official Gazette of RS, No. 1/08, 13/10</w:t>
      </w:r>
    </w:p>
  </w:footnote>
  <w:footnote w:id="67">
    <w:p w14:paraId="6D871E56" w14:textId="685B67F0" w:rsidR="007E7168" w:rsidRPr="003263DC" w:rsidRDefault="007E7168" w:rsidP="001B5262">
      <w:pPr>
        <w:pStyle w:val="FootnoteText"/>
        <w:jc w:val="both"/>
        <w:rPr>
          <w:rFonts w:asciiTheme="minorHAnsi" w:hAnsiTheme="minorHAnsi" w:cstheme="minorHAnsi"/>
          <w:sz w:val="16"/>
          <w:szCs w:val="16"/>
          <w:lang w:val="en-US"/>
        </w:rPr>
      </w:pPr>
      <w:r w:rsidRPr="003263DC">
        <w:rPr>
          <w:rFonts w:asciiTheme="minorHAnsi" w:hAnsiTheme="minorHAnsi" w:cstheme="minorHAnsi"/>
          <w:sz w:val="16"/>
          <w:szCs w:val="16"/>
          <w:vertAlign w:val="superscript"/>
          <w:lang w:val="en-US"/>
        </w:rPr>
        <w:footnoteRef/>
      </w:r>
      <w:r w:rsidRPr="003263DC">
        <w:rPr>
          <w:rFonts w:asciiTheme="minorHAnsi" w:hAnsiTheme="minorHAnsi" w:cstheme="minorHAnsi"/>
          <w:sz w:val="16"/>
          <w:szCs w:val="16"/>
          <w:lang w:val="en-US"/>
        </w:rPr>
        <w:t xml:space="preserve"> Official Gazette of BD BiH, </w:t>
      </w:r>
      <w:r>
        <w:rPr>
          <w:rFonts w:asciiTheme="minorHAnsi" w:hAnsiTheme="minorHAnsi" w:cstheme="minorHAnsi"/>
          <w:sz w:val="16"/>
          <w:szCs w:val="16"/>
          <w:lang w:val="en-US"/>
        </w:rPr>
        <w:t>02</w:t>
      </w:r>
      <w:r w:rsidRPr="003263DC">
        <w:rPr>
          <w:rFonts w:asciiTheme="minorHAnsi" w:hAnsiTheme="minorHAnsi" w:cstheme="minorHAnsi"/>
          <w:sz w:val="16"/>
          <w:szCs w:val="16"/>
          <w:lang w:val="en-US"/>
        </w:rPr>
        <w:t>/</w:t>
      </w:r>
      <w:r>
        <w:rPr>
          <w:rFonts w:asciiTheme="minorHAnsi" w:hAnsiTheme="minorHAnsi" w:cstheme="minorHAnsi"/>
          <w:sz w:val="16"/>
          <w:szCs w:val="16"/>
          <w:lang w:val="en-US"/>
        </w:rPr>
        <w:t>21. 06/21 and 15/22</w:t>
      </w:r>
      <w:r w:rsidRPr="003263DC">
        <w:rPr>
          <w:rFonts w:asciiTheme="minorHAnsi" w:hAnsiTheme="minorHAnsi" w:cstheme="minorHAnsi"/>
          <w:sz w:val="16"/>
          <w:szCs w:val="16"/>
          <w:lang w:val="en-US"/>
        </w:rPr>
        <w:t>– consolidated text</w:t>
      </w:r>
      <w:r>
        <w:rPr>
          <w:rFonts w:asciiTheme="minorHAnsi" w:hAnsiTheme="minorHAnsi" w:cstheme="minorHAnsi"/>
          <w:sz w:val="16"/>
          <w:szCs w:val="16"/>
          <w:lang w:val="en-US"/>
        </w:rPr>
        <w:t xml:space="preserve"> available at </w:t>
      </w:r>
      <w:r w:rsidRPr="00E06C60">
        <w:rPr>
          <w:rFonts w:asciiTheme="minorHAnsi" w:hAnsiTheme="minorHAnsi" w:cstheme="minorHAnsi"/>
          <w:sz w:val="16"/>
          <w:szCs w:val="16"/>
          <w:lang w:val="en-US"/>
        </w:rPr>
        <w:t>https://skupstinabd.ba/3-zakon/ba/Zakon%20o%20radu%20Brc--ko%20Distrikta%20BiH/Nesluz--bena%20prec--is--c-ena%20verzija%20Zakona%20o%20radu%20Brc--ko%20distrikta%20BiH%20%20B.pdf</w:t>
      </w:r>
    </w:p>
  </w:footnote>
  <w:footnote w:id="68">
    <w:p w14:paraId="73A3B669" w14:textId="1DC2D481" w:rsidR="007E7168" w:rsidRPr="003263DC" w:rsidRDefault="007E7168" w:rsidP="001B5262">
      <w:pPr>
        <w:pStyle w:val="FootnoteText"/>
        <w:jc w:val="both"/>
        <w:rPr>
          <w:rFonts w:asciiTheme="minorHAnsi" w:hAnsiTheme="minorHAnsi" w:cstheme="minorHAnsi"/>
          <w:sz w:val="16"/>
          <w:szCs w:val="16"/>
          <w:lang w:val="en-US"/>
        </w:rPr>
      </w:pPr>
      <w:r w:rsidRPr="003263DC">
        <w:rPr>
          <w:rFonts w:asciiTheme="minorHAnsi" w:hAnsiTheme="minorHAnsi" w:cstheme="minorHAnsi"/>
          <w:sz w:val="16"/>
          <w:szCs w:val="16"/>
          <w:vertAlign w:val="superscript"/>
          <w:lang w:val="en-US"/>
        </w:rPr>
        <w:footnoteRef/>
      </w:r>
      <w:r w:rsidRPr="003263DC">
        <w:rPr>
          <w:rFonts w:asciiTheme="minorHAnsi" w:hAnsiTheme="minorHAnsi" w:cstheme="minorHAnsi"/>
          <w:sz w:val="16"/>
          <w:szCs w:val="16"/>
          <w:lang w:val="en-US"/>
        </w:rPr>
        <w:t xml:space="preserve"> Official Gazette of BD BiH, No. 20/13</w:t>
      </w:r>
      <w:r>
        <w:rPr>
          <w:rFonts w:asciiTheme="minorHAnsi" w:hAnsiTheme="minorHAnsi" w:cstheme="minorHAnsi"/>
          <w:sz w:val="16"/>
          <w:szCs w:val="16"/>
          <w:lang w:val="en-US"/>
        </w:rPr>
        <w:t xml:space="preserve"> and 07/21</w:t>
      </w:r>
    </w:p>
  </w:footnote>
  <w:footnote w:id="69">
    <w:p w14:paraId="6A99CD02" w14:textId="615E16BD" w:rsidR="007E7168" w:rsidRPr="003263DC" w:rsidRDefault="007E7168" w:rsidP="001B5262">
      <w:pPr>
        <w:spacing w:before="0" w:after="0" w:line="240" w:lineRule="auto"/>
        <w:jc w:val="both"/>
        <w:rPr>
          <w:rFonts w:asciiTheme="minorHAnsi" w:hAnsiTheme="minorHAnsi" w:cstheme="minorHAnsi"/>
          <w:sz w:val="16"/>
          <w:szCs w:val="16"/>
          <w:lang w:val="en-US"/>
        </w:rPr>
      </w:pPr>
      <w:r w:rsidRPr="003263DC">
        <w:rPr>
          <w:rStyle w:val="FootnoteReference"/>
          <w:rFonts w:asciiTheme="minorHAnsi" w:hAnsiTheme="minorHAnsi" w:cstheme="minorHAnsi"/>
          <w:sz w:val="16"/>
          <w:szCs w:val="16"/>
          <w:lang w:val="en-US"/>
        </w:rPr>
        <w:footnoteRef/>
      </w:r>
      <w:r w:rsidRPr="003263DC">
        <w:rPr>
          <w:rFonts w:asciiTheme="minorHAnsi" w:hAnsiTheme="minorHAnsi" w:cstheme="minorHAnsi"/>
          <w:sz w:val="16"/>
          <w:szCs w:val="16"/>
          <w:lang w:val="en-US"/>
        </w:rPr>
        <w:t xml:space="preserve"> According to the survey published on the website of the Initiative for Monitoring European Integrations in BiH, average duration of employment-related disputes in BiH is 313 days (source: Initiative for Monitoring European Integrations in BIH) </w:t>
      </w:r>
      <w:hyperlink r:id="rId9" w:anchor="_ftn7" w:history="1">
        <w:r w:rsidRPr="003263DC">
          <w:rPr>
            <w:rStyle w:val="Hyperlink"/>
            <w:rFonts w:asciiTheme="minorHAnsi" w:hAnsiTheme="minorHAnsi" w:cstheme="minorHAnsi"/>
            <w:sz w:val="16"/>
            <w:szCs w:val="16"/>
            <w:lang w:val="en-US"/>
          </w:rPr>
          <w:t>http://eu-monitoring.ba/trajanje-sudskih-postupaka-u-antidiskriminacijskim-predmetima/#_ftn7</w:t>
        </w:r>
      </w:hyperlink>
      <w:r w:rsidRPr="003263DC">
        <w:rPr>
          <w:rFonts w:asciiTheme="minorHAnsi" w:hAnsiTheme="minorHAnsi" w:cstheme="minorHAnsi"/>
          <w:sz w:val="16"/>
          <w:szCs w:val="16"/>
          <w:lang w:val="en-US"/>
        </w:rPr>
        <w:t xml:space="preserve"> [accessed on: September 29, 2019]. Although, pursuant to both FBiH and RS Litigation Procedure Law, employment-related disputes are considered to be of urgent nature, they last several years and have negative implications on economic position of both parties.</w:t>
      </w:r>
    </w:p>
  </w:footnote>
  <w:footnote w:id="70">
    <w:p w14:paraId="1F3A7676" w14:textId="77777777" w:rsidR="007E7168" w:rsidRPr="003263DC" w:rsidRDefault="007E7168" w:rsidP="001B5262">
      <w:pPr>
        <w:pStyle w:val="FootnoteText"/>
        <w:jc w:val="both"/>
        <w:rPr>
          <w:rFonts w:asciiTheme="minorHAnsi" w:hAnsiTheme="minorHAnsi" w:cstheme="minorHAnsi"/>
          <w:sz w:val="16"/>
          <w:szCs w:val="16"/>
          <w:lang w:val="en-US"/>
        </w:rPr>
      </w:pPr>
      <w:r w:rsidRPr="003263DC">
        <w:rPr>
          <w:rFonts w:asciiTheme="minorHAnsi" w:hAnsiTheme="minorHAnsi" w:cstheme="minorHAnsi"/>
          <w:sz w:val="16"/>
          <w:szCs w:val="16"/>
          <w:vertAlign w:val="superscript"/>
          <w:lang w:val="en-US"/>
        </w:rPr>
        <w:footnoteRef/>
      </w:r>
      <w:r w:rsidRPr="003263DC">
        <w:rPr>
          <w:rFonts w:asciiTheme="minorHAnsi" w:hAnsiTheme="minorHAnsi" w:cstheme="minorHAnsi"/>
          <w:sz w:val="16"/>
          <w:szCs w:val="16"/>
          <w:vertAlign w:val="superscript"/>
          <w:lang w:val="en-US"/>
        </w:rPr>
        <w:t xml:space="preserve"> </w:t>
      </w:r>
      <w:r w:rsidRPr="003263DC">
        <w:rPr>
          <w:rFonts w:asciiTheme="minorHAnsi" w:hAnsiTheme="minorHAnsi" w:cstheme="minorHAnsi"/>
          <w:sz w:val="16"/>
          <w:szCs w:val="16"/>
          <w:lang w:val="en-US"/>
        </w:rPr>
        <w:t>Official Gazette of FBiH, No. 1/94, 13/97, 16/02, 22/02, 52/02, 63/03, 9/04, 20/04, 33/04, 71/05, 72/05 and 88/08.</w:t>
      </w:r>
    </w:p>
  </w:footnote>
  <w:footnote w:id="71">
    <w:p w14:paraId="0A461668" w14:textId="77777777" w:rsidR="007E7168" w:rsidRPr="003263DC" w:rsidRDefault="007E7168" w:rsidP="001B5262">
      <w:pPr>
        <w:pStyle w:val="FootnoteText"/>
        <w:jc w:val="both"/>
        <w:rPr>
          <w:rFonts w:asciiTheme="minorHAnsi" w:hAnsiTheme="minorHAnsi" w:cstheme="minorHAnsi"/>
          <w:sz w:val="16"/>
          <w:szCs w:val="16"/>
          <w:lang w:val="en-US" w:eastAsia="sv-SE" w:bidi="en-US"/>
        </w:rPr>
      </w:pPr>
      <w:r w:rsidRPr="003263DC">
        <w:rPr>
          <w:rFonts w:asciiTheme="minorHAnsi" w:hAnsiTheme="minorHAnsi" w:cstheme="minorHAnsi"/>
          <w:sz w:val="16"/>
          <w:szCs w:val="16"/>
          <w:vertAlign w:val="superscript"/>
          <w:lang w:val="en-US"/>
        </w:rPr>
        <w:footnoteRef/>
      </w:r>
      <w:r w:rsidRPr="003263DC">
        <w:rPr>
          <w:rFonts w:asciiTheme="minorHAnsi" w:hAnsiTheme="minorHAnsi" w:cstheme="minorHAnsi"/>
          <w:sz w:val="16"/>
          <w:szCs w:val="16"/>
          <w:lang w:val="en-US"/>
        </w:rPr>
        <w:t xml:space="preserve"> Official Gazette of RS, No. 21/92 – revised text, 28/94, 8/96, 13/96, 15/96, 16/96, 21/96, 21/02, 26/02, 30/02, 31/02, 69/02, 31/03, 98/03, 115/05 and 117/05.</w:t>
      </w:r>
    </w:p>
  </w:footnote>
  <w:footnote w:id="72">
    <w:p w14:paraId="156A7C18" w14:textId="77777777" w:rsidR="007E7168" w:rsidRPr="003263DC" w:rsidRDefault="007E7168" w:rsidP="001B5262">
      <w:pPr>
        <w:pStyle w:val="FootnoteText"/>
        <w:jc w:val="both"/>
        <w:rPr>
          <w:rFonts w:asciiTheme="minorHAnsi" w:hAnsiTheme="minorHAnsi" w:cstheme="minorHAnsi"/>
          <w:sz w:val="16"/>
          <w:szCs w:val="16"/>
          <w:lang w:val="en-US" w:eastAsia="sv-SE" w:bidi="en-US"/>
        </w:rPr>
      </w:pPr>
      <w:r w:rsidRPr="003263DC">
        <w:rPr>
          <w:rFonts w:asciiTheme="minorHAnsi" w:hAnsiTheme="minorHAnsi" w:cstheme="minorHAnsi"/>
          <w:sz w:val="16"/>
          <w:szCs w:val="16"/>
          <w:vertAlign w:val="superscript"/>
          <w:lang w:val="en-US"/>
        </w:rPr>
        <w:footnoteRef/>
      </w:r>
      <w:r w:rsidRPr="003263DC">
        <w:rPr>
          <w:rFonts w:asciiTheme="minorHAnsi" w:hAnsiTheme="minorHAnsi" w:cstheme="minorHAnsi"/>
          <w:sz w:val="16"/>
          <w:szCs w:val="16"/>
          <w:lang w:val="en-US"/>
        </w:rPr>
        <w:t xml:space="preserve"> Official Gazette of BD BiH, 17/08 and 39/09</w:t>
      </w:r>
    </w:p>
  </w:footnote>
  <w:footnote w:id="73">
    <w:p w14:paraId="3127702C" w14:textId="77777777" w:rsidR="007E7168" w:rsidRPr="003263DC" w:rsidRDefault="007E7168" w:rsidP="001B5262">
      <w:pPr>
        <w:pStyle w:val="FootnoteText"/>
        <w:jc w:val="both"/>
        <w:rPr>
          <w:rFonts w:asciiTheme="minorHAnsi" w:hAnsiTheme="minorHAnsi" w:cstheme="minorHAnsi"/>
          <w:sz w:val="16"/>
          <w:szCs w:val="16"/>
          <w:lang w:val="en-US" w:eastAsia="sv-SE" w:bidi="en-US"/>
        </w:rPr>
      </w:pPr>
      <w:r w:rsidRPr="003263DC">
        <w:rPr>
          <w:rFonts w:asciiTheme="minorHAnsi" w:hAnsiTheme="minorHAnsi" w:cstheme="minorHAnsi"/>
          <w:sz w:val="16"/>
          <w:szCs w:val="16"/>
          <w:vertAlign w:val="superscript"/>
          <w:lang w:val="en-US" w:eastAsia="sv-SE" w:bidi="en-US"/>
        </w:rPr>
        <w:footnoteRef/>
      </w:r>
      <w:r w:rsidRPr="003263DC">
        <w:rPr>
          <w:rFonts w:asciiTheme="minorHAnsi" w:hAnsiTheme="minorHAnsi" w:cstheme="minorHAnsi"/>
          <w:sz w:val="16"/>
          <w:szCs w:val="16"/>
          <w:lang w:val="en-US" w:eastAsia="sv-SE" w:bidi="en-US"/>
        </w:rPr>
        <w:t xml:space="preserve"> Official Gazette of BD BiH, No. 28/08, 19/10</w:t>
      </w:r>
    </w:p>
  </w:footnote>
  <w:footnote w:id="74">
    <w:p w14:paraId="4C904689" w14:textId="6D3E79DA" w:rsidR="007E7168" w:rsidRPr="003263DC" w:rsidRDefault="007E7168" w:rsidP="001B5262">
      <w:pPr>
        <w:pStyle w:val="FootnoteText"/>
        <w:jc w:val="both"/>
        <w:rPr>
          <w:rFonts w:asciiTheme="minorHAnsi" w:hAnsiTheme="minorHAnsi" w:cstheme="minorHAnsi"/>
          <w:sz w:val="16"/>
          <w:szCs w:val="16"/>
          <w:lang w:val="en-US"/>
        </w:rPr>
      </w:pPr>
      <w:r w:rsidRPr="003263DC">
        <w:rPr>
          <w:rStyle w:val="FootnoteReference"/>
          <w:rFonts w:asciiTheme="minorHAnsi" w:hAnsiTheme="minorHAnsi" w:cstheme="minorHAnsi"/>
          <w:sz w:val="16"/>
          <w:szCs w:val="16"/>
          <w:lang w:val="en-US"/>
        </w:rPr>
        <w:footnoteRef/>
      </w:r>
      <w:r w:rsidRPr="003263DC">
        <w:rPr>
          <w:rFonts w:asciiTheme="minorHAnsi" w:hAnsiTheme="minorHAnsi" w:cstheme="minorHAnsi"/>
          <w:sz w:val="16"/>
          <w:szCs w:val="16"/>
          <w:lang w:val="en-US"/>
        </w:rPr>
        <w:t xml:space="preserve"> The complete definition of project categories is given in the World Bank Environmental and Social Directive for Investment Project Financing, Section III, Part C, para 1-8</w:t>
      </w:r>
    </w:p>
  </w:footnote>
  <w:footnote w:id="75">
    <w:p w14:paraId="663C0B4C" w14:textId="2F4C3F07" w:rsidR="007E7168" w:rsidRPr="003263DC" w:rsidRDefault="007E7168" w:rsidP="00991D9E">
      <w:pPr>
        <w:pStyle w:val="FootnoteText"/>
        <w:jc w:val="both"/>
        <w:rPr>
          <w:rFonts w:asciiTheme="minorHAnsi" w:hAnsiTheme="minorHAnsi" w:cstheme="minorHAnsi"/>
          <w:sz w:val="16"/>
          <w:szCs w:val="16"/>
          <w:lang w:val="en-US"/>
        </w:rPr>
      </w:pPr>
      <w:r w:rsidRPr="003263DC">
        <w:rPr>
          <w:rStyle w:val="FootnoteReference"/>
          <w:rFonts w:asciiTheme="minorHAnsi" w:hAnsiTheme="minorHAnsi" w:cstheme="minorHAnsi"/>
          <w:sz w:val="16"/>
          <w:szCs w:val="16"/>
          <w:lang w:val="en-US"/>
        </w:rPr>
        <w:footnoteRef/>
      </w:r>
      <w:r w:rsidRPr="003263DC">
        <w:rPr>
          <w:rFonts w:asciiTheme="minorHAnsi" w:hAnsiTheme="minorHAnsi" w:cstheme="minorHAnsi"/>
          <w:sz w:val="16"/>
          <w:szCs w:val="16"/>
          <w:lang w:val="en-US"/>
        </w:rPr>
        <w:t xml:space="preserve"> The demining of the left bank has not been completed, as there is still fear of new floods which could lead to the moving of mines from the right bank in BiH to the left bank in Croatia. Therefore, the demining of the left bank will be fully completed after (or in parallel) to the demining of the right bank.</w:t>
      </w:r>
    </w:p>
  </w:footnote>
  <w:footnote w:id="76">
    <w:p w14:paraId="71ED7C51" w14:textId="77777777" w:rsidR="007E7168" w:rsidRPr="003263DC" w:rsidRDefault="007E7168" w:rsidP="003263DC">
      <w:pPr>
        <w:pStyle w:val="FootnoteText"/>
        <w:rPr>
          <w:rFonts w:asciiTheme="minorHAnsi" w:hAnsiTheme="minorHAnsi" w:cstheme="minorHAnsi"/>
          <w:sz w:val="16"/>
          <w:szCs w:val="16"/>
          <w:lang w:val="en-US"/>
        </w:rPr>
      </w:pPr>
      <w:r w:rsidRPr="003263DC">
        <w:rPr>
          <w:rStyle w:val="FootnoteReference"/>
          <w:rFonts w:asciiTheme="minorHAnsi" w:hAnsiTheme="minorHAnsi" w:cstheme="minorHAnsi"/>
          <w:sz w:val="16"/>
          <w:szCs w:val="16"/>
          <w:lang w:val="en-US"/>
        </w:rPr>
        <w:footnoteRef/>
      </w:r>
      <w:r w:rsidRPr="003263DC">
        <w:rPr>
          <w:rFonts w:asciiTheme="minorHAnsi" w:hAnsiTheme="minorHAnsi" w:cstheme="minorHAnsi"/>
          <w:sz w:val="16"/>
          <w:szCs w:val="16"/>
          <w:lang w:val="en-US"/>
        </w:rPr>
        <w:t xml:space="preserve"> Information provided in January 2019</w:t>
      </w:r>
    </w:p>
  </w:footnote>
  <w:footnote w:id="77">
    <w:p w14:paraId="3551B62E" w14:textId="768CC519" w:rsidR="007E7168" w:rsidRPr="003263DC" w:rsidRDefault="007E7168" w:rsidP="001B5262">
      <w:pPr>
        <w:pStyle w:val="FootnoteText"/>
        <w:jc w:val="both"/>
        <w:rPr>
          <w:rFonts w:asciiTheme="minorHAnsi" w:hAnsiTheme="minorHAnsi" w:cstheme="minorHAnsi"/>
          <w:sz w:val="16"/>
          <w:szCs w:val="16"/>
          <w:lang w:val="en-US"/>
        </w:rPr>
      </w:pPr>
      <w:r w:rsidRPr="003263DC">
        <w:rPr>
          <w:rStyle w:val="FootnoteReference"/>
          <w:rFonts w:asciiTheme="minorHAnsi" w:hAnsiTheme="minorHAnsi" w:cstheme="minorHAnsi"/>
          <w:sz w:val="16"/>
          <w:szCs w:val="16"/>
          <w:lang w:val="en-US"/>
        </w:rPr>
        <w:footnoteRef/>
      </w:r>
      <w:r w:rsidRPr="003263DC">
        <w:rPr>
          <w:rFonts w:asciiTheme="minorHAnsi" w:hAnsiTheme="minorHAnsi" w:cstheme="minorHAnsi"/>
          <w:sz w:val="16"/>
          <w:szCs w:val="16"/>
          <w:lang w:val="en-US"/>
        </w:rPr>
        <w:t xml:space="preserve"> ESS1, paragraph 26, states that the environmental and social assessment takes into account in an appropriate manner all issues relevant to the project, including: (a) the country’s applicable policy framework, national laws and regulations, and institutional capabilities (including implementation) relating to environment and social issues; variations in country conditions and project context; country environmental or social studies; national environmental or social action plans; and obligations of the country directly applicable to the project under relevant international treaties and agreements; (b) applicable requirements under the ESSs; and (c) the EHSGs, and other relevant GIIP.</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C50007" w14:textId="77777777" w:rsidR="00E95CFA" w:rsidRDefault="00E95CFA">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E4C669" w14:textId="77777777" w:rsidR="007E7168" w:rsidRDefault="007E7168" w:rsidP="000B2E9A">
    <w:pPr>
      <w:pStyle w:val="Header"/>
      <w:tabs>
        <w:tab w:val="left" w:pos="6357"/>
      </w:tabs>
    </w:pPr>
    <w:r w:rsidRPr="006D6536">
      <w:rPr>
        <w:color w:val="1F497D"/>
        <w:sz w:val="16"/>
        <w:lang w:val="bs-Latn-BA"/>
      </w:rPr>
      <w:t xml:space="preserve">SAVA DRINA RIVER CORRIDORS INTEGRATED DEVELOPMENT </w:t>
    </w:r>
    <w:r>
      <w:rPr>
        <w:color w:val="1F497D"/>
        <w:sz w:val="16"/>
        <w:lang w:val="bs-Latn-BA"/>
      </w:rPr>
      <w:t>PROGRAM</w:t>
    </w:r>
    <w:r w:rsidRPr="006D6536">
      <w:rPr>
        <w:color w:val="1F497D"/>
        <w:sz w:val="16"/>
        <w:lang w:val="bs-Latn-BA"/>
      </w:rPr>
      <w:tab/>
    </w:r>
    <w:r>
      <w:rPr>
        <w:color w:val="1F497D"/>
        <w:sz w:val="16"/>
        <w:lang w:val="bs-Latn-BA"/>
      </w:rPr>
      <w:tab/>
    </w:r>
    <w:r>
      <w:rPr>
        <w:color w:val="1F497D"/>
        <w:sz w:val="16"/>
        <w:lang w:val="bs-Latn-BA"/>
      </w:rPr>
      <w:tab/>
    </w:r>
    <w:r w:rsidRPr="006D6536">
      <w:rPr>
        <w:color w:val="1F497D"/>
        <w:sz w:val="16"/>
        <w:lang w:val="bs-Latn-BA"/>
      </w:rPr>
      <w:t>ESMF BIH</w:t>
    </w:r>
  </w:p>
  <w:p w14:paraId="369CA002" w14:textId="77777777" w:rsidR="007E7168" w:rsidRDefault="007E7168">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289A55" w14:textId="29A40124" w:rsidR="007E7168" w:rsidRDefault="007E7168" w:rsidP="000B2E9A">
    <w:pPr>
      <w:pStyle w:val="Header"/>
      <w:tabs>
        <w:tab w:val="left" w:pos="6357"/>
      </w:tabs>
    </w:pPr>
    <w:r w:rsidRPr="006D6536">
      <w:rPr>
        <w:color w:val="1F497D"/>
        <w:sz w:val="16"/>
        <w:lang w:val="bs-Latn-BA"/>
      </w:rPr>
      <w:t>SAVA DRINA RIVER CORRIDORS INTEGRATED DEVELOPMENT PROJECT</w:t>
    </w:r>
    <w:r w:rsidRPr="006D6536">
      <w:rPr>
        <w:color w:val="1F497D"/>
        <w:sz w:val="16"/>
        <w:lang w:val="bs-Latn-BA"/>
      </w:rPr>
      <w:tab/>
    </w:r>
    <w:r>
      <w:rPr>
        <w:color w:val="1F497D"/>
        <w:sz w:val="16"/>
        <w:lang w:val="bs-Latn-BA"/>
      </w:rPr>
      <w:tab/>
    </w:r>
    <w:r>
      <w:rPr>
        <w:color w:val="1F497D"/>
        <w:sz w:val="16"/>
        <w:lang w:val="bs-Latn-BA"/>
      </w:rPr>
      <w:tab/>
    </w:r>
    <w:r>
      <w:rPr>
        <w:color w:val="1F497D"/>
        <w:sz w:val="16"/>
        <w:lang w:val="bs-Latn-BA"/>
      </w:rPr>
      <w:tab/>
    </w:r>
    <w:r>
      <w:rPr>
        <w:color w:val="1F497D"/>
        <w:sz w:val="16"/>
        <w:lang w:val="bs-Latn-BA"/>
      </w:rPr>
      <w:tab/>
    </w:r>
    <w:r>
      <w:rPr>
        <w:color w:val="1F497D"/>
        <w:sz w:val="16"/>
        <w:lang w:val="bs-Latn-BA"/>
      </w:rPr>
      <w:tab/>
    </w:r>
    <w:r>
      <w:rPr>
        <w:color w:val="1F497D"/>
        <w:sz w:val="16"/>
        <w:lang w:val="bs-Latn-BA"/>
      </w:rPr>
      <w:tab/>
    </w:r>
    <w:r>
      <w:rPr>
        <w:color w:val="1F497D"/>
        <w:sz w:val="16"/>
        <w:lang w:val="bs-Latn-BA"/>
      </w:rPr>
      <w:tab/>
    </w:r>
    <w:r w:rsidRPr="006D6536">
      <w:rPr>
        <w:color w:val="1F497D"/>
        <w:sz w:val="16"/>
        <w:lang w:val="bs-Latn-BA"/>
      </w:rPr>
      <w:t>ESMF BIH</w:t>
    </w:r>
  </w:p>
  <w:p w14:paraId="3DDFCE23" w14:textId="77777777" w:rsidR="007E7168" w:rsidRDefault="007E7168">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A2C077" w14:textId="2A3FFEC4" w:rsidR="007E7168" w:rsidRDefault="007E7168" w:rsidP="000B2E9A">
    <w:pPr>
      <w:pStyle w:val="Header"/>
      <w:tabs>
        <w:tab w:val="left" w:pos="6357"/>
      </w:tabs>
    </w:pPr>
    <w:r w:rsidRPr="006D6536">
      <w:rPr>
        <w:color w:val="1F497D"/>
        <w:sz w:val="16"/>
        <w:lang w:val="bs-Latn-BA"/>
      </w:rPr>
      <w:t xml:space="preserve">SAVA DRINA RIVER CORRIDORS INTEGRATED DEVELOPMENT </w:t>
    </w:r>
    <w:r>
      <w:rPr>
        <w:color w:val="1F497D"/>
        <w:sz w:val="16"/>
        <w:lang w:val="bs-Latn-BA"/>
      </w:rPr>
      <w:t>PROGRAM</w:t>
    </w:r>
    <w:r w:rsidRPr="006D6536">
      <w:rPr>
        <w:color w:val="1F497D"/>
        <w:sz w:val="16"/>
        <w:lang w:val="bs-Latn-BA"/>
      </w:rPr>
      <w:tab/>
    </w:r>
    <w:r>
      <w:rPr>
        <w:color w:val="1F497D"/>
        <w:sz w:val="16"/>
        <w:lang w:val="bs-Latn-BA"/>
      </w:rPr>
      <w:tab/>
    </w:r>
    <w:r>
      <w:rPr>
        <w:color w:val="1F497D"/>
        <w:sz w:val="16"/>
        <w:lang w:val="bs-Latn-BA"/>
      </w:rPr>
      <w:tab/>
    </w:r>
    <w:r>
      <w:rPr>
        <w:color w:val="1F497D"/>
        <w:sz w:val="16"/>
        <w:lang w:val="bs-Latn-BA"/>
      </w:rPr>
      <w:tab/>
    </w:r>
    <w:r>
      <w:rPr>
        <w:color w:val="1F497D"/>
        <w:sz w:val="16"/>
        <w:lang w:val="bs-Latn-BA"/>
      </w:rPr>
      <w:tab/>
    </w:r>
    <w:r>
      <w:rPr>
        <w:color w:val="1F497D"/>
        <w:sz w:val="16"/>
        <w:lang w:val="bs-Latn-BA"/>
      </w:rPr>
      <w:tab/>
    </w:r>
    <w:r>
      <w:rPr>
        <w:color w:val="1F497D"/>
        <w:sz w:val="16"/>
        <w:lang w:val="bs-Latn-BA"/>
      </w:rPr>
      <w:tab/>
    </w:r>
    <w:r>
      <w:rPr>
        <w:color w:val="1F497D"/>
        <w:sz w:val="16"/>
        <w:lang w:val="bs-Latn-BA"/>
      </w:rPr>
      <w:tab/>
    </w:r>
    <w:r w:rsidRPr="006D6536">
      <w:rPr>
        <w:color w:val="1F497D"/>
        <w:sz w:val="16"/>
        <w:lang w:val="bs-Latn-BA"/>
      </w:rPr>
      <w:t>ESMF BIH</w:t>
    </w:r>
  </w:p>
  <w:p w14:paraId="26BE79B6" w14:textId="77777777" w:rsidR="007E7168" w:rsidRDefault="007E7168">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BFF984" w14:textId="741D5BEB" w:rsidR="007E7168" w:rsidRDefault="007E7168" w:rsidP="000B2E9A">
    <w:pPr>
      <w:pStyle w:val="Header"/>
      <w:tabs>
        <w:tab w:val="left" w:pos="6357"/>
      </w:tabs>
    </w:pPr>
    <w:r w:rsidRPr="006D6536">
      <w:rPr>
        <w:color w:val="1F497D"/>
        <w:sz w:val="16"/>
        <w:lang w:val="bs-Latn-BA"/>
      </w:rPr>
      <w:t xml:space="preserve">SAVA DRINA RIVER CORRIDORS INTEGRATED DEVELOPMENT </w:t>
    </w:r>
    <w:r>
      <w:rPr>
        <w:color w:val="1F497D"/>
        <w:sz w:val="16"/>
        <w:lang w:val="bs-Latn-BA"/>
      </w:rPr>
      <w:t>PROGRAM</w:t>
    </w:r>
    <w:r w:rsidRPr="006D6536">
      <w:rPr>
        <w:color w:val="1F497D"/>
        <w:sz w:val="16"/>
        <w:lang w:val="bs-Latn-BA"/>
      </w:rPr>
      <w:tab/>
    </w:r>
    <w:r>
      <w:rPr>
        <w:color w:val="1F497D"/>
        <w:sz w:val="16"/>
        <w:lang w:val="bs-Latn-BA"/>
      </w:rPr>
      <w:tab/>
    </w:r>
    <w:r>
      <w:rPr>
        <w:color w:val="1F497D"/>
        <w:sz w:val="16"/>
        <w:lang w:val="bs-Latn-BA"/>
      </w:rPr>
      <w:tab/>
    </w:r>
    <w:r w:rsidRPr="006D6536">
      <w:rPr>
        <w:color w:val="1F497D"/>
        <w:sz w:val="16"/>
        <w:lang w:val="bs-Latn-BA"/>
      </w:rPr>
      <w:t>ESMF BIH</w:t>
    </w:r>
  </w:p>
  <w:p w14:paraId="09D40ACF" w14:textId="77777777" w:rsidR="007E7168" w:rsidRDefault="007E7168">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1597CD" w14:textId="255C2F46" w:rsidR="007E7168" w:rsidRDefault="007E7168" w:rsidP="000B2E9A">
    <w:pPr>
      <w:pStyle w:val="Header"/>
      <w:tabs>
        <w:tab w:val="left" w:pos="6357"/>
      </w:tabs>
    </w:pPr>
    <w:r w:rsidRPr="006D6536">
      <w:rPr>
        <w:color w:val="1F497D"/>
        <w:sz w:val="16"/>
        <w:lang w:val="bs-Latn-BA"/>
      </w:rPr>
      <w:t xml:space="preserve">SAVA DRINA RIVER CORRIDORS INTEGRATED DEVELOPMENT </w:t>
    </w:r>
    <w:r>
      <w:rPr>
        <w:color w:val="1F497D"/>
        <w:sz w:val="16"/>
        <w:lang w:val="bs-Latn-BA"/>
      </w:rPr>
      <w:t>PROGRAM</w:t>
    </w:r>
    <w:r>
      <w:rPr>
        <w:color w:val="1F497D"/>
        <w:sz w:val="16"/>
        <w:lang w:val="bs-Latn-BA"/>
      </w:rPr>
      <w:tab/>
    </w:r>
    <w:r>
      <w:rPr>
        <w:color w:val="1F497D"/>
        <w:sz w:val="16"/>
        <w:lang w:val="bs-Latn-BA"/>
      </w:rPr>
      <w:tab/>
    </w:r>
    <w:r>
      <w:rPr>
        <w:color w:val="1F497D"/>
        <w:sz w:val="16"/>
        <w:lang w:val="bs-Latn-BA"/>
      </w:rPr>
      <w:tab/>
    </w:r>
    <w:r w:rsidRPr="006D6536">
      <w:rPr>
        <w:color w:val="1F497D"/>
        <w:sz w:val="16"/>
        <w:lang w:val="bs-Latn-BA"/>
      </w:rPr>
      <w:t>ESMF BIH</w:t>
    </w:r>
  </w:p>
  <w:p w14:paraId="156D7B07" w14:textId="77777777" w:rsidR="007E7168" w:rsidRDefault="007E7168">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9D2526" w14:textId="26D9B65F" w:rsidR="007E7168" w:rsidRDefault="007E7168" w:rsidP="001E54A6">
    <w:pPr>
      <w:pStyle w:val="Header"/>
      <w:tabs>
        <w:tab w:val="left" w:pos="5387"/>
      </w:tabs>
    </w:pPr>
    <w:r w:rsidRPr="006D6536">
      <w:rPr>
        <w:color w:val="1F497D"/>
        <w:sz w:val="16"/>
        <w:lang w:val="bs-Latn-BA"/>
      </w:rPr>
      <w:t>SAVA DRINA RIVER CORRIDORS INTEGRATED DEVELOPMENT PROJECT</w:t>
    </w:r>
    <w:r w:rsidRPr="006D6536">
      <w:rPr>
        <w:color w:val="1F497D"/>
        <w:sz w:val="16"/>
        <w:lang w:val="bs-Latn-BA"/>
      </w:rPr>
      <w:tab/>
    </w:r>
    <w:r>
      <w:rPr>
        <w:color w:val="1F497D"/>
        <w:sz w:val="16"/>
        <w:lang w:val="bs-Latn-BA"/>
      </w:rPr>
      <w:t xml:space="preserve">                                                                       </w:t>
    </w:r>
    <w:r>
      <w:rPr>
        <w:color w:val="1F497D"/>
        <w:sz w:val="16"/>
        <w:lang w:val="bs-Latn-BA"/>
      </w:rPr>
      <w:tab/>
    </w:r>
    <w:r>
      <w:rPr>
        <w:color w:val="1F497D"/>
        <w:sz w:val="16"/>
        <w:lang w:val="bs-Latn-BA"/>
      </w:rPr>
      <w:tab/>
    </w:r>
    <w:r>
      <w:rPr>
        <w:color w:val="1F497D"/>
        <w:sz w:val="16"/>
        <w:lang w:val="bs-Latn-BA"/>
      </w:rPr>
      <w:tab/>
    </w:r>
    <w:r>
      <w:rPr>
        <w:color w:val="1F497D"/>
        <w:sz w:val="16"/>
        <w:lang w:val="bs-Latn-BA"/>
      </w:rPr>
      <w:tab/>
    </w:r>
    <w:r>
      <w:rPr>
        <w:color w:val="1F497D"/>
        <w:sz w:val="16"/>
        <w:lang w:val="bs-Latn-BA"/>
      </w:rPr>
      <w:tab/>
    </w:r>
    <w:r w:rsidRPr="006D6536">
      <w:rPr>
        <w:color w:val="1F497D"/>
        <w:sz w:val="16"/>
        <w:lang w:val="bs-Latn-BA"/>
      </w:rPr>
      <w:t>ESMF BIH</w:t>
    </w:r>
    <w:r>
      <w:rPr>
        <w:color w:val="1F497D"/>
        <w:sz w:val="16"/>
        <w:lang w:val="bs-Latn-BA"/>
      </w:rPr>
      <w:tab/>
    </w:r>
  </w:p>
  <w:p w14:paraId="20A6EFC2" w14:textId="77777777" w:rsidR="007E7168" w:rsidRDefault="007E7168">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A4749F" w14:textId="77777777" w:rsidR="007E7168" w:rsidRDefault="007E7168">
    <w:pPr>
      <w:pStyle w:val="Header"/>
    </w:pPr>
    <w:r w:rsidRPr="006D6536">
      <w:rPr>
        <w:color w:val="1F497D"/>
        <w:sz w:val="16"/>
        <w:lang w:val="bs-Latn-BA"/>
      </w:rPr>
      <w:t>SAVA</w:t>
    </w:r>
    <w:r>
      <w:rPr>
        <w:color w:val="1F497D"/>
        <w:sz w:val="16"/>
        <w:lang w:val="bs-Latn-BA"/>
      </w:rPr>
      <w:t xml:space="preserve"> AND</w:t>
    </w:r>
    <w:r w:rsidRPr="006D6536">
      <w:rPr>
        <w:color w:val="1F497D"/>
        <w:sz w:val="16"/>
        <w:lang w:val="bs-Latn-BA"/>
      </w:rPr>
      <w:t xml:space="preserve"> DRINA RIVER</w:t>
    </w:r>
    <w:r>
      <w:rPr>
        <w:color w:val="1F497D"/>
        <w:sz w:val="16"/>
        <w:lang w:val="bs-Latn-BA"/>
      </w:rPr>
      <w:t>S</w:t>
    </w:r>
    <w:r w:rsidRPr="006D6536">
      <w:rPr>
        <w:color w:val="1F497D"/>
        <w:sz w:val="16"/>
        <w:lang w:val="bs-Latn-BA"/>
      </w:rPr>
      <w:t xml:space="preserve"> CORRIDORS INTEGRATED DEVELOPMENT </w:t>
    </w:r>
    <w:r>
      <w:rPr>
        <w:color w:val="1F497D"/>
        <w:sz w:val="16"/>
        <w:lang w:val="bs-Latn-BA"/>
      </w:rPr>
      <w:t>PROGRAM</w:t>
    </w:r>
    <w:r>
      <w:rPr>
        <w:color w:val="1F497D"/>
        <w:sz w:val="16"/>
        <w:lang w:val="bs-Latn-BA"/>
      </w:rPr>
      <w:tab/>
      <w:t xml:space="preserve">                                                                                                    </w:t>
    </w:r>
    <w:r w:rsidRPr="006D6536">
      <w:rPr>
        <w:color w:val="1F497D"/>
        <w:sz w:val="16"/>
        <w:lang w:val="bs-Latn-BA"/>
      </w:rPr>
      <w:t xml:space="preserve">ESMF </w:t>
    </w:r>
    <w:r>
      <w:rPr>
        <w:color w:val="1F497D"/>
        <w:sz w:val="16"/>
        <w:lang w:val="bs-Latn-BA"/>
      </w:rPr>
      <w:t>MNE</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D06943" w14:textId="3F601573" w:rsidR="007E7168" w:rsidRDefault="007E7168" w:rsidP="00A05261">
    <w:pPr>
      <w:pStyle w:val="Header"/>
    </w:pPr>
    <w:r w:rsidRPr="006D6536">
      <w:rPr>
        <w:color w:val="1F497D"/>
        <w:sz w:val="16"/>
        <w:lang w:val="bs-Latn-BA"/>
      </w:rPr>
      <w:t>SAVA</w:t>
    </w:r>
    <w:r>
      <w:rPr>
        <w:color w:val="1F497D"/>
        <w:sz w:val="16"/>
        <w:lang w:val="bs-Latn-BA"/>
      </w:rPr>
      <w:t xml:space="preserve"> AND</w:t>
    </w:r>
    <w:r w:rsidRPr="006D6536">
      <w:rPr>
        <w:color w:val="1F497D"/>
        <w:sz w:val="16"/>
        <w:lang w:val="bs-Latn-BA"/>
      </w:rPr>
      <w:t xml:space="preserve"> DRINA RIVER</w:t>
    </w:r>
    <w:r>
      <w:rPr>
        <w:color w:val="1F497D"/>
        <w:sz w:val="16"/>
        <w:lang w:val="bs-Latn-BA"/>
      </w:rPr>
      <w:t>S</w:t>
    </w:r>
    <w:r w:rsidRPr="006D6536">
      <w:rPr>
        <w:color w:val="1F497D"/>
        <w:sz w:val="16"/>
        <w:lang w:val="bs-Latn-BA"/>
      </w:rPr>
      <w:t xml:space="preserve"> CORRIDORS INTEGRATED DEVELOPMENT </w:t>
    </w:r>
    <w:r>
      <w:rPr>
        <w:color w:val="1F497D"/>
        <w:sz w:val="16"/>
        <w:lang w:val="bs-Latn-BA"/>
      </w:rPr>
      <w:t xml:space="preserve">PROGRAM                                                                                       </w:t>
    </w:r>
    <w:r w:rsidRPr="006D6536">
      <w:rPr>
        <w:color w:val="1F497D"/>
        <w:sz w:val="16"/>
        <w:lang w:val="bs-Latn-BA"/>
      </w:rPr>
      <w:t xml:space="preserve">ESMF </w:t>
    </w:r>
    <w:r>
      <w:rPr>
        <w:color w:val="1F497D"/>
        <w:sz w:val="16"/>
        <w:lang w:val="bs-Latn-BA"/>
      </w:rPr>
      <w:t>BIH</w:t>
    </w:r>
  </w:p>
  <w:p w14:paraId="1B62F420" w14:textId="77777777" w:rsidR="007E7168" w:rsidRDefault="007E716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7F2423" w14:textId="77777777" w:rsidR="00E95CFA" w:rsidRDefault="00E95CF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4BFE21" w14:textId="77777777" w:rsidR="007E7168" w:rsidRDefault="007E7168" w:rsidP="00DA00BD">
    <w:pPr>
      <w:pStyle w:val="Header"/>
    </w:pPr>
    <w:r w:rsidRPr="006D6536">
      <w:rPr>
        <w:color w:val="1F497D"/>
        <w:sz w:val="16"/>
        <w:lang w:val="bs-Latn-BA"/>
      </w:rPr>
      <w:t>SAVA DRINA RIVER CORRIDORS INTEGRATED DEVELOPMENT PROJECT</w:t>
    </w:r>
    <w:r w:rsidRPr="006D6536">
      <w:rPr>
        <w:color w:val="1F497D"/>
        <w:sz w:val="16"/>
        <w:lang w:val="bs-Latn-BA"/>
      </w:rPr>
      <w:tab/>
    </w:r>
    <w:r w:rsidRPr="006D6536">
      <w:rPr>
        <w:color w:val="1F497D"/>
        <w:sz w:val="16"/>
        <w:lang w:val="bs-Latn-BA"/>
      </w:rPr>
      <w:tab/>
      <w:t>ESMF BIH</w:t>
    </w:r>
  </w:p>
  <w:p w14:paraId="1A616C83" w14:textId="77777777" w:rsidR="007E7168" w:rsidRDefault="007E716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EAD80D" w14:textId="2C824C21" w:rsidR="007E7168" w:rsidRDefault="007E7168" w:rsidP="006D6536">
    <w:pPr>
      <w:pStyle w:val="Header"/>
    </w:pPr>
    <w:r w:rsidRPr="006D6536">
      <w:rPr>
        <w:color w:val="1F497D"/>
        <w:sz w:val="16"/>
        <w:lang w:val="bs-Latn-BA"/>
      </w:rPr>
      <w:t xml:space="preserve">SAVA </w:t>
    </w:r>
    <w:r>
      <w:rPr>
        <w:color w:val="1F497D"/>
        <w:sz w:val="16"/>
        <w:lang w:val="bs-Latn-BA"/>
      </w:rPr>
      <w:t xml:space="preserve">AND </w:t>
    </w:r>
    <w:r w:rsidRPr="006D6536">
      <w:rPr>
        <w:color w:val="1F497D"/>
        <w:sz w:val="16"/>
        <w:lang w:val="bs-Latn-BA"/>
      </w:rPr>
      <w:t>DRINA RIVER</w:t>
    </w:r>
    <w:r>
      <w:rPr>
        <w:color w:val="1F497D"/>
        <w:sz w:val="16"/>
        <w:lang w:val="bs-Latn-BA"/>
      </w:rPr>
      <w:t>S</w:t>
    </w:r>
    <w:r w:rsidRPr="006D6536">
      <w:rPr>
        <w:color w:val="1F497D"/>
        <w:sz w:val="16"/>
        <w:lang w:val="bs-Latn-BA"/>
      </w:rPr>
      <w:t xml:space="preserve"> CORRIDORS INTEGRATED DEVELOPMENT </w:t>
    </w:r>
    <w:r>
      <w:rPr>
        <w:color w:val="1F497D"/>
        <w:sz w:val="16"/>
        <w:lang w:val="bs-Latn-BA"/>
      </w:rPr>
      <w:t>PROGRAM</w:t>
    </w:r>
    <w:r w:rsidRPr="006D6536">
      <w:rPr>
        <w:color w:val="1F497D"/>
        <w:sz w:val="16"/>
        <w:lang w:val="bs-Latn-BA"/>
      </w:rPr>
      <w:tab/>
    </w:r>
    <w:r w:rsidRPr="006D6536">
      <w:rPr>
        <w:color w:val="1F497D"/>
        <w:sz w:val="16"/>
        <w:lang w:val="bs-Latn-BA"/>
      </w:rPr>
      <w:tab/>
      <w:t>ESMF BIH</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F26358" w14:textId="0D80351D" w:rsidR="007E7168" w:rsidRDefault="007E7168" w:rsidP="006D6536">
    <w:pPr>
      <w:pStyle w:val="Header"/>
    </w:pPr>
    <w:r w:rsidRPr="006D6536">
      <w:rPr>
        <w:color w:val="1F497D"/>
        <w:sz w:val="16"/>
        <w:lang w:val="bs-Latn-BA"/>
      </w:rPr>
      <w:t xml:space="preserve">SAVA DRINA RIVER CORRIDORS INTEGRATED DEVELOPMENT </w:t>
    </w:r>
    <w:r>
      <w:rPr>
        <w:color w:val="1F497D"/>
        <w:sz w:val="16"/>
        <w:lang w:val="bs-Latn-BA"/>
      </w:rPr>
      <w:t>PROGRAM</w:t>
    </w:r>
    <w:r w:rsidRPr="006D6536">
      <w:rPr>
        <w:color w:val="1F497D"/>
        <w:sz w:val="16"/>
        <w:lang w:val="bs-Latn-BA"/>
      </w:rPr>
      <w:tab/>
    </w:r>
    <w:r>
      <w:rPr>
        <w:color w:val="1F497D"/>
        <w:sz w:val="16"/>
        <w:lang w:val="bs-Latn-BA"/>
      </w:rPr>
      <w:tab/>
    </w:r>
    <w:r>
      <w:rPr>
        <w:color w:val="1F497D"/>
        <w:sz w:val="16"/>
        <w:lang w:val="bs-Latn-BA"/>
      </w:rPr>
      <w:tab/>
    </w:r>
    <w:r>
      <w:rPr>
        <w:color w:val="1F497D"/>
        <w:sz w:val="16"/>
        <w:lang w:val="bs-Latn-BA"/>
      </w:rPr>
      <w:tab/>
    </w:r>
    <w:r>
      <w:rPr>
        <w:color w:val="1F497D"/>
        <w:sz w:val="16"/>
        <w:lang w:val="bs-Latn-BA"/>
      </w:rPr>
      <w:tab/>
    </w:r>
    <w:r>
      <w:rPr>
        <w:color w:val="1F497D"/>
        <w:sz w:val="16"/>
        <w:lang w:val="bs-Latn-BA"/>
      </w:rPr>
      <w:tab/>
    </w:r>
    <w:r>
      <w:rPr>
        <w:color w:val="1F497D"/>
        <w:sz w:val="16"/>
        <w:lang w:val="bs-Latn-BA"/>
      </w:rPr>
      <w:tab/>
    </w:r>
    <w:r w:rsidRPr="006D6536">
      <w:rPr>
        <w:color w:val="1F497D"/>
        <w:sz w:val="16"/>
        <w:lang w:val="bs-Latn-BA"/>
      </w:rPr>
      <w:t>ESMF BIH</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5B8AAD" w14:textId="000CEFB0" w:rsidR="007E7168" w:rsidRDefault="007E7168" w:rsidP="00DA00BD">
    <w:pPr>
      <w:pStyle w:val="Header"/>
    </w:pPr>
    <w:r w:rsidRPr="006D6536">
      <w:rPr>
        <w:color w:val="1F497D"/>
        <w:sz w:val="16"/>
        <w:lang w:val="bs-Latn-BA"/>
      </w:rPr>
      <w:t xml:space="preserve">SAVA DRINA RIVER CORRIDORS INTEGRATED DEVELOPMENT </w:t>
    </w:r>
    <w:r>
      <w:rPr>
        <w:color w:val="1F497D"/>
        <w:sz w:val="16"/>
        <w:lang w:val="bs-Latn-BA"/>
      </w:rPr>
      <w:t>PROGRAM</w:t>
    </w:r>
    <w:r w:rsidRPr="006D6536">
      <w:rPr>
        <w:color w:val="1F497D"/>
        <w:sz w:val="16"/>
        <w:lang w:val="bs-Latn-BA"/>
      </w:rPr>
      <w:tab/>
    </w:r>
    <w:r w:rsidRPr="006D6536">
      <w:rPr>
        <w:color w:val="1F497D"/>
        <w:sz w:val="16"/>
        <w:lang w:val="bs-Latn-BA"/>
      </w:rPr>
      <w:tab/>
    </w:r>
    <w:r>
      <w:rPr>
        <w:color w:val="1F497D"/>
        <w:sz w:val="16"/>
        <w:lang w:val="bs-Latn-BA"/>
      </w:rPr>
      <w:tab/>
    </w:r>
    <w:r>
      <w:rPr>
        <w:color w:val="1F497D"/>
        <w:sz w:val="16"/>
        <w:lang w:val="bs-Latn-BA"/>
      </w:rPr>
      <w:tab/>
    </w:r>
    <w:r>
      <w:rPr>
        <w:color w:val="1F497D"/>
        <w:sz w:val="16"/>
        <w:lang w:val="bs-Latn-BA"/>
      </w:rPr>
      <w:tab/>
    </w:r>
    <w:r>
      <w:rPr>
        <w:color w:val="1F497D"/>
        <w:sz w:val="16"/>
        <w:lang w:val="bs-Latn-BA"/>
      </w:rPr>
      <w:tab/>
    </w:r>
    <w:r>
      <w:rPr>
        <w:color w:val="1F497D"/>
        <w:sz w:val="16"/>
        <w:lang w:val="bs-Latn-BA"/>
      </w:rPr>
      <w:tab/>
    </w:r>
    <w:r w:rsidRPr="006D6536">
      <w:rPr>
        <w:color w:val="1F497D"/>
        <w:sz w:val="16"/>
        <w:lang w:val="bs-Latn-BA"/>
      </w:rPr>
      <w:t>ESMF BIH</w:t>
    </w:r>
  </w:p>
  <w:p w14:paraId="3EE3EF35" w14:textId="77777777" w:rsidR="007E7168" w:rsidRDefault="007E7168">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7D840E" w14:textId="77777777" w:rsidR="007E7168" w:rsidRDefault="007E7168" w:rsidP="006D6536">
    <w:pPr>
      <w:pStyle w:val="Header"/>
    </w:pPr>
    <w:r w:rsidRPr="006D6536">
      <w:rPr>
        <w:color w:val="1F497D"/>
        <w:sz w:val="16"/>
        <w:lang w:val="bs-Latn-BA"/>
      </w:rPr>
      <w:t xml:space="preserve">SAVA DRINA RIVER CORRIDORS INTEGRATED DEVELOPMENT </w:t>
    </w:r>
    <w:r>
      <w:rPr>
        <w:color w:val="1F497D"/>
        <w:sz w:val="16"/>
        <w:lang w:val="bs-Latn-BA"/>
      </w:rPr>
      <w:t>PROGRAM</w:t>
    </w:r>
    <w:r w:rsidRPr="006D6536">
      <w:rPr>
        <w:color w:val="1F497D"/>
        <w:sz w:val="16"/>
        <w:lang w:val="bs-Latn-BA"/>
      </w:rPr>
      <w:tab/>
    </w:r>
    <w:r>
      <w:rPr>
        <w:color w:val="1F497D"/>
        <w:sz w:val="16"/>
        <w:lang w:val="bs-Latn-BA"/>
      </w:rPr>
      <w:tab/>
    </w:r>
    <w:r w:rsidRPr="006D6536">
      <w:rPr>
        <w:color w:val="1F497D"/>
        <w:sz w:val="16"/>
        <w:lang w:val="bs-Latn-BA"/>
      </w:rPr>
      <w:t>ESMF BIH</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C71821" w14:textId="0B53D5DC" w:rsidR="007E7168" w:rsidRDefault="007E7168" w:rsidP="000B2E9A">
    <w:pPr>
      <w:pStyle w:val="Header"/>
      <w:tabs>
        <w:tab w:val="left" w:pos="6357"/>
      </w:tabs>
    </w:pPr>
    <w:r w:rsidRPr="006D6536">
      <w:rPr>
        <w:color w:val="1F497D"/>
        <w:sz w:val="16"/>
        <w:lang w:val="bs-Latn-BA"/>
      </w:rPr>
      <w:t xml:space="preserve">SAVA DRINA RIVER CORRIDORS INTEGRATED DEVELOPMENT </w:t>
    </w:r>
    <w:r>
      <w:rPr>
        <w:color w:val="1F497D"/>
        <w:sz w:val="16"/>
        <w:lang w:val="bs-Latn-BA"/>
      </w:rPr>
      <w:t>PROGRAM</w:t>
    </w:r>
    <w:r w:rsidRPr="006D6536">
      <w:rPr>
        <w:color w:val="1F497D"/>
        <w:sz w:val="16"/>
        <w:lang w:val="bs-Latn-BA"/>
      </w:rPr>
      <w:tab/>
    </w:r>
    <w:r>
      <w:rPr>
        <w:color w:val="1F497D"/>
        <w:sz w:val="16"/>
        <w:lang w:val="bs-Latn-BA"/>
      </w:rPr>
      <w:tab/>
    </w:r>
    <w:r>
      <w:rPr>
        <w:color w:val="1F497D"/>
        <w:sz w:val="16"/>
        <w:lang w:val="bs-Latn-BA"/>
      </w:rPr>
      <w:tab/>
    </w:r>
    <w:r w:rsidRPr="006D6536">
      <w:rPr>
        <w:color w:val="1F497D"/>
        <w:sz w:val="16"/>
        <w:lang w:val="bs-Latn-BA"/>
      </w:rPr>
      <w:t>ESMF BIH</w:t>
    </w:r>
  </w:p>
  <w:p w14:paraId="2AF54FE7" w14:textId="77777777" w:rsidR="007E7168" w:rsidRDefault="007E7168">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D04540" w14:textId="77777777" w:rsidR="007E7168" w:rsidRDefault="007E7168" w:rsidP="006D6536">
    <w:pPr>
      <w:pStyle w:val="Header"/>
    </w:pPr>
    <w:r w:rsidRPr="006D6536">
      <w:rPr>
        <w:color w:val="1F497D"/>
        <w:sz w:val="16"/>
        <w:lang w:val="bs-Latn-BA"/>
      </w:rPr>
      <w:t xml:space="preserve">SAVA DRINA RIVER CORRIDORS INTEGRATED DEVELOPMENT </w:t>
    </w:r>
    <w:r>
      <w:rPr>
        <w:color w:val="1F497D"/>
        <w:sz w:val="16"/>
        <w:lang w:val="bs-Latn-BA"/>
      </w:rPr>
      <w:t>PROGRAM</w:t>
    </w:r>
    <w:r w:rsidRPr="006D6536">
      <w:rPr>
        <w:color w:val="1F497D"/>
        <w:sz w:val="16"/>
        <w:lang w:val="bs-Latn-BA"/>
      </w:rPr>
      <w:tab/>
    </w:r>
    <w:r>
      <w:rPr>
        <w:color w:val="1F497D"/>
        <w:sz w:val="16"/>
        <w:lang w:val="bs-Latn-BA"/>
      </w:rPr>
      <w:tab/>
    </w:r>
    <w:r w:rsidRPr="006D6536">
      <w:rPr>
        <w:color w:val="1F497D"/>
        <w:sz w:val="16"/>
        <w:lang w:val="bs-Latn-BA"/>
      </w:rPr>
      <w:t>ESMF BIH</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61E92"/>
    <w:multiLevelType w:val="hybridMultilevel"/>
    <w:tmpl w:val="FBC8D39A"/>
    <w:lvl w:ilvl="0" w:tplc="FD4C0202">
      <w:start w:val="1"/>
      <w:numFmt w:val="bullet"/>
      <w:lvlText w:val=""/>
      <w:lvlJc w:val="left"/>
      <w:pPr>
        <w:ind w:left="720" w:hanging="360"/>
      </w:pPr>
      <w:rPr>
        <w:rFonts w:ascii="Wingdings" w:hAnsi="Wingdings" w:hint="default"/>
        <w:color w:val="336699"/>
      </w:rPr>
    </w:lvl>
    <w:lvl w:ilvl="1" w:tplc="65A49F8C">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836780"/>
    <w:multiLevelType w:val="hybridMultilevel"/>
    <w:tmpl w:val="CDCCBED2"/>
    <w:lvl w:ilvl="0" w:tplc="FD4C0202">
      <w:start w:val="1"/>
      <w:numFmt w:val="bullet"/>
      <w:lvlText w:val=""/>
      <w:lvlJc w:val="left"/>
      <w:pPr>
        <w:ind w:left="720" w:hanging="360"/>
      </w:pPr>
      <w:rPr>
        <w:rFonts w:ascii="Wingdings" w:hAnsi="Wingdings" w:hint="default"/>
        <w:color w:val="336699"/>
      </w:rPr>
    </w:lvl>
    <w:lvl w:ilvl="1" w:tplc="65A49F8C">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9D4330"/>
    <w:multiLevelType w:val="hybridMultilevel"/>
    <w:tmpl w:val="9F064590"/>
    <w:lvl w:ilvl="0" w:tplc="FD4C0202">
      <w:start w:val="1"/>
      <w:numFmt w:val="bullet"/>
      <w:lvlText w:val=""/>
      <w:lvlJc w:val="left"/>
      <w:pPr>
        <w:ind w:left="720" w:hanging="360"/>
      </w:pPr>
      <w:rPr>
        <w:rFonts w:ascii="Wingdings" w:hAnsi="Wingdings" w:hint="default"/>
        <w:color w:val="336699"/>
      </w:rPr>
    </w:lvl>
    <w:lvl w:ilvl="1" w:tplc="65A49F8C">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3BA2D45"/>
    <w:multiLevelType w:val="hybridMultilevel"/>
    <w:tmpl w:val="E2009B98"/>
    <w:lvl w:ilvl="0" w:tplc="14D6BE5E">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050F4A20"/>
    <w:multiLevelType w:val="hybridMultilevel"/>
    <w:tmpl w:val="E2009B98"/>
    <w:lvl w:ilvl="0" w:tplc="14D6BE5E">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0734114A"/>
    <w:multiLevelType w:val="hybridMultilevel"/>
    <w:tmpl w:val="BA9222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4426810"/>
    <w:multiLevelType w:val="hybridMultilevel"/>
    <w:tmpl w:val="CE2E6B7E"/>
    <w:lvl w:ilvl="0" w:tplc="32E4B3B2">
      <w:start w:val="1"/>
      <w:numFmt w:val="lowerRoman"/>
      <w:lvlText w:val="%1)"/>
      <w:lvlJc w:val="left"/>
      <w:pPr>
        <w:ind w:left="1080" w:hanging="360"/>
      </w:pPr>
      <w:rPr>
        <w:rFonts w:hint="default"/>
      </w:rPr>
    </w:lvl>
    <w:lvl w:ilvl="1" w:tplc="32E4B3B2">
      <w:start w:val="1"/>
      <w:numFmt w:val="lowerRoman"/>
      <w:lvlText w:val="%2)"/>
      <w:lvlJc w:val="left"/>
      <w:pPr>
        <w:ind w:left="1800" w:hanging="360"/>
      </w:pPr>
      <w:rPr>
        <w:rFonts w:hint="default"/>
      </w:r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 w15:restartNumberingAfterBreak="0">
    <w:nsid w:val="1C663A7F"/>
    <w:multiLevelType w:val="hybridMultilevel"/>
    <w:tmpl w:val="2A04362E"/>
    <w:lvl w:ilvl="0" w:tplc="0C101686">
      <w:start w:val="1"/>
      <w:numFmt w:val="bullet"/>
      <w:lvlText w:val=""/>
      <w:lvlJc w:val="left"/>
      <w:pPr>
        <w:ind w:left="720" w:hanging="360"/>
      </w:pPr>
      <w:rPr>
        <w:rFonts w:ascii="Wingdings" w:hAnsi="Wingdings" w:hint="default"/>
        <w:color w:val="336699"/>
      </w:rPr>
    </w:lvl>
    <w:lvl w:ilvl="1" w:tplc="65A49F8C">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F32780C"/>
    <w:multiLevelType w:val="hybridMultilevel"/>
    <w:tmpl w:val="82D225E6"/>
    <w:lvl w:ilvl="0" w:tplc="141A0001">
      <w:start w:val="1"/>
      <w:numFmt w:val="bullet"/>
      <w:lvlText w:val=""/>
      <w:lvlJc w:val="left"/>
      <w:pPr>
        <w:ind w:left="762" w:hanging="360"/>
      </w:pPr>
      <w:rPr>
        <w:rFonts w:ascii="Symbol" w:hAnsi="Symbol" w:hint="default"/>
      </w:rPr>
    </w:lvl>
    <w:lvl w:ilvl="1" w:tplc="141A0003" w:tentative="1">
      <w:start w:val="1"/>
      <w:numFmt w:val="bullet"/>
      <w:lvlText w:val="o"/>
      <w:lvlJc w:val="left"/>
      <w:pPr>
        <w:ind w:left="1482" w:hanging="360"/>
      </w:pPr>
      <w:rPr>
        <w:rFonts w:ascii="Courier New" w:hAnsi="Courier New" w:cs="Courier New" w:hint="default"/>
      </w:rPr>
    </w:lvl>
    <w:lvl w:ilvl="2" w:tplc="141A0005" w:tentative="1">
      <w:start w:val="1"/>
      <w:numFmt w:val="bullet"/>
      <w:lvlText w:val=""/>
      <w:lvlJc w:val="left"/>
      <w:pPr>
        <w:ind w:left="2202" w:hanging="360"/>
      </w:pPr>
      <w:rPr>
        <w:rFonts w:ascii="Wingdings" w:hAnsi="Wingdings" w:hint="default"/>
      </w:rPr>
    </w:lvl>
    <w:lvl w:ilvl="3" w:tplc="141A0001" w:tentative="1">
      <w:start w:val="1"/>
      <w:numFmt w:val="bullet"/>
      <w:lvlText w:val=""/>
      <w:lvlJc w:val="left"/>
      <w:pPr>
        <w:ind w:left="2922" w:hanging="360"/>
      </w:pPr>
      <w:rPr>
        <w:rFonts w:ascii="Symbol" w:hAnsi="Symbol" w:hint="default"/>
      </w:rPr>
    </w:lvl>
    <w:lvl w:ilvl="4" w:tplc="141A0003" w:tentative="1">
      <w:start w:val="1"/>
      <w:numFmt w:val="bullet"/>
      <w:lvlText w:val="o"/>
      <w:lvlJc w:val="left"/>
      <w:pPr>
        <w:ind w:left="3642" w:hanging="360"/>
      </w:pPr>
      <w:rPr>
        <w:rFonts w:ascii="Courier New" w:hAnsi="Courier New" w:cs="Courier New" w:hint="default"/>
      </w:rPr>
    </w:lvl>
    <w:lvl w:ilvl="5" w:tplc="141A0005" w:tentative="1">
      <w:start w:val="1"/>
      <w:numFmt w:val="bullet"/>
      <w:lvlText w:val=""/>
      <w:lvlJc w:val="left"/>
      <w:pPr>
        <w:ind w:left="4362" w:hanging="360"/>
      </w:pPr>
      <w:rPr>
        <w:rFonts w:ascii="Wingdings" w:hAnsi="Wingdings" w:hint="default"/>
      </w:rPr>
    </w:lvl>
    <w:lvl w:ilvl="6" w:tplc="141A0001" w:tentative="1">
      <w:start w:val="1"/>
      <w:numFmt w:val="bullet"/>
      <w:lvlText w:val=""/>
      <w:lvlJc w:val="left"/>
      <w:pPr>
        <w:ind w:left="5082" w:hanging="360"/>
      </w:pPr>
      <w:rPr>
        <w:rFonts w:ascii="Symbol" w:hAnsi="Symbol" w:hint="default"/>
      </w:rPr>
    </w:lvl>
    <w:lvl w:ilvl="7" w:tplc="141A0003" w:tentative="1">
      <w:start w:val="1"/>
      <w:numFmt w:val="bullet"/>
      <w:lvlText w:val="o"/>
      <w:lvlJc w:val="left"/>
      <w:pPr>
        <w:ind w:left="5802" w:hanging="360"/>
      </w:pPr>
      <w:rPr>
        <w:rFonts w:ascii="Courier New" w:hAnsi="Courier New" w:cs="Courier New" w:hint="default"/>
      </w:rPr>
    </w:lvl>
    <w:lvl w:ilvl="8" w:tplc="141A0005" w:tentative="1">
      <w:start w:val="1"/>
      <w:numFmt w:val="bullet"/>
      <w:lvlText w:val=""/>
      <w:lvlJc w:val="left"/>
      <w:pPr>
        <w:ind w:left="6522" w:hanging="360"/>
      </w:pPr>
      <w:rPr>
        <w:rFonts w:ascii="Wingdings" w:hAnsi="Wingdings" w:hint="default"/>
      </w:rPr>
    </w:lvl>
  </w:abstractNum>
  <w:abstractNum w:abstractNumId="9" w15:restartNumberingAfterBreak="0">
    <w:nsid w:val="2817273F"/>
    <w:multiLevelType w:val="hybridMultilevel"/>
    <w:tmpl w:val="4EC8C2FA"/>
    <w:lvl w:ilvl="0" w:tplc="81C83BEA">
      <w:start w:val="1"/>
      <w:numFmt w:val="decimal"/>
      <w:lvlText w:val="%1."/>
      <w:lvlJc w:val="left"/>
      <w:pPr>
        <w:ind w:left="630" w:hanging="360"/>
      </w:pPr>
      <w:rPr>
        <w:rFonts w:asciiTheme="minorHAnsi" w:hAnsiTheme="minorHAnsi" w:cstheme="minorHAnsi" w:hint="default"/>
        <w:b w:val="0"/>
        <w:color w:val="000000" w:themeColor="text1"/>
        <w:sz w:val="22"/>
        <w:szCs w:val="22"/>
      </w:rPr>
    </w:lvl>
    <w:lvl w:ilvl="1" w:tplc="0562CD48">
      <w:start w:val="1"/>
      <w:numFmt w:val="bullet"/>
      <w:lvlText w:val=""/>
      <w:lvlJc w:val="left"/>
      <w:pPr>
        <w:ind w:left="1440" w:hanging="360"/>
      </w:pPr>
      <w:rPr>
        <w:rFonts w:ascii="Symbol" w:hAnsi="Symbol" w:hint="default"/>
      </w:rPr>
    </w:lvl>
    <w:lvl w:ilvl="2" w:tplc="F094E494" w:tentative="1">
      <w:start w:val="1"/>
      <w:numFmt w:val="lowerRoman"/>
      <w:lvlText w:val="%3."/>
      <w:lvlJc w:val="right"/>
      <w:pPr>
        <w:ind w:left="2160" w:hanging="180"/>
      </w:pPr>
    </w:lvl>
    <w:lvl w:ilvl="3" w:tplc="B5563334" w:tentative="1">
      <w:start w:val="1"/>
      <w:numFmt w:val="decimal"/>
      <w:lvlText w:val="%4."/>
      <w:lvlJc w:val="left"/>
      <w:pPr>
        <w:ind w:left="2880" w:hanging="360"/>
      </w:pPr>
    </w:lvl>
    <w:lvl w:ilvl="4" w:tplc="B846DC88" w:tentative="1">
      <w:start w:val="1"/>
      <w:numFmt w:val="lowerLetter"/>
      <w:lvlText w:val="%5."/>
      <w:lvlJc w:val="left"/>
      <w:pPr>
        <w:ind w:left="3600" w:hanging="360"/>
      </w:pPr>
    </w:lvl>
    <w:lvl w:ilvl="5" w:tplc="0AE2C564" w:tentative="1">
      <w:start w:val="1"/>
      <w:numFmt w:val="lowerRoman"/>
      <w:lvlText w:val="%6."/>
      <w:lvlJc w:val="right"/>
      <w:pPr>
        <w:ind w:left="4320" w:hanging="180"/>
      </w:pPr>
    </w:lvl>
    <w:lvl w:ilvl="6" w:tplc="3E1E8918" w:tentative="1">
      <w:start w:val="1"/>
      <w:numFmt w:val="decimal"/>
      <w:lvlText w:val="%7."/>
      <w:lvlJc w:val="left"/>
      <w:pPr>
        <w:ind w:left="5040" w:hanging="360"/>
      </w:pPr>
    </w:lvl>
    <w:lvl w:ilvl="7" w:tplc="DCBEF520" w:tentative="1">
      <w:start w:val="1"/>
      <w:numFmt w:val="lowerLetter"/>
      <w:lvlText w:val="%8."/>
      <w:lvlJc w:val="left"/>
      <w:pPr>
        <w:ind w:left="5760" w:hanging="360"/>
      </w:pPr>
    </w:lvl>
    <w:lvl w:ilvl="8" w:tplc="51348B46" w:tentative="1">
      <w:start w:val="1"/>
      <w:numFmt w:val="lowerRoman"/>
      <w:lvlText w:val="%9."/>
      <w:lvlJc w:val="right"/>
      <w:pPr>
        <w:ind w:left="6480" w:hanging="180"/>
      </w:pPr>
    </w:lvl>
  </w:abstractNum>
  <w:abstractNum w:abstractNumId="10" w15:restartNumberingAfterBreak="0">
    <w:nsid w:val="2AB17A9B"/>
    <w:multiLevelType w:val="multilevel"/>
    <w:tmpl w:val="0409001D"/>
    <w:styleLink w:val="MedianListStyle"/>
    <w:lvl w:ilvl="0">
      <w:start w:val="1"/>
      <w:numFmt w:val="bullet"/>
      <w:lvlText w:val=""/>
      <w:lvlJc w:val="left"/>
      <w:pPr>
        <w:ind w:left="360" w:hanging="360"/>
      </w:pPr>
      <w:rPr>
        <w:rFonts w:ascii="Wingdings 2" w:hAnsi="Wingdings 2" w:hint="default"/>
        <w:color w:val="DD8047"/>
        <w:sz w:val="23"/>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34C0794C"/>
    <w:multiLevelType w:val="hybridMultilevel"/>
    <w:tmpl w:val="7F90435C"/>
    <w:lvl w:ilvl="0" w:tplc="53B234AE">
      <w:start w:val="1"/>
      <w:numFmt w:val="decimal"/>
      <w:lvlText w:val="%1."/>
      <w:lvlJc w:val="left"/>
      <w:pPr>
        <w:ind w:left="-576" w:hanging="504"/>
      </w:pPr>
      <w:rPr>
        <w:rFonts w:hint="default"/>
      </w:rPr>
    </w:lvl>
    <w:lvl w:ilvl="1" w:tplc="04090019">
      <w:start w:val="1"/>
      <w:numFmt w:val="lowerLetter"/>
      <w:lvlText w:val="%2."/>
      <w:lvlJc w:val="left"/>
      <w:pPr>
        <w:ind w:left="0" w:hanging="360"/>
      </w:pPr>
    </w:lvl>
    <w:lvl w:ilvl="2" w:tplc="0409001B" w:tentative="1">
      <w:start w:val="1"/>
      <w:numFmt w:val="lowerRoman"/>
      <w:lvlText w:val="%3."/>
      <w:lvlJc w:val="right"/>
      <w:pPr>
        <w:ind w:left="720" w:hanging="180"/>
      </w:pPr>
    </w:lvl>
    <w:lvl w:ilvl="3" w:tplc="0409000F" w:tentative="1">
      <w:start w:val="1"/>
      <w:numFmt w:val="decimal"/>
      <w:lvlText w:val="%4."/>
      <w:lvlJc w:val="left"/>
      <w:pPr>
        <w:ind w:left="1440" w:hanging="360"/>
      </w:pPr>
    </w:lvl>
    <w:lvl w:ilvl="4" w:tplc="04090019" w:tentative="1">
      <w:start w:val="1"/>
      <w:numFmt w:val="lowerLetter"/>
      <w:lvlText w:val="%5."/>
      <w:lvlJc w:val="left"/>
      <w:pPr>
        <w:ind w:left="2160" w:hanging="360"/>
      </w:pPr>
    </w:lvl>
    <w:lvl w:ilvl="5" w:tplc="0409001B" w:tentative="1">
      <w:start w:val="1"/>
      <w:numFmt w:val="lowerRoman"/>
      <w:lvlText w:val="%6."/>
      <w:lvlJc w:val="right"/>
      <w:pPr>
        <w:ind w:left="2880" w:hanging="180"/>
      </w:pPr>
    </w:lvl>
    <w:lvl w:ilvl="6" w:tplc="0409000F" w:tentative="1">
      <w:start w:val="1"/>
      <w:numFmt w:val="decimal"/>
      <w:lvlText w:val="%7."/>
      <w:lvlJc w:val="left"/>
      <w:pPr>
        <w:ind w:left="3600" w:hanging="360"/>
      </w:pPr>
    </w:lvl>
    <w:lvl w:ilvl="7" w:tplc="04090019" w:tentative="1">
      <w:start w:val="1"/>
      <w:numFmt w:val="lowerLetter"/>
      <w:lvlText w:val="%8."/>
      <w:lvlJc w:val="left"/>
      <w:pPr>
        <w:ind w:left="4320" w:hanging="360"/>
      </w:pPr>
    </w:lvl>
    <w:lvl w:ilvl="8" w:tplc="0409001B" w:tentative="1">
      <w:start w:val="1"/>
      <w:numFmt w:val="lowerRoman"/>
      <w:lvlText w:val="%9."/>
      <w:lvlJc w:val="right"/>
      <w:pPr>
        <w:ind w:left="5040" w:hanging="180"/>
      </w:pPr>
    </w:lvl>
  </w:abstractNum>
  <w:abstractNum w:abstractNumId="12" w15:restartNumberingAfterBreak="0">
    <w:nsid w:val="39F661B8"/>
    <w:multiLevelType w:val="hybridMultilevel"/>
    <w:tmpl w:val="7EA63DAE"/>
    <w:lvl w:ilvl="0" w:tplc="FFFFFFFF">
      <w:start w:val="1"/>
      <w:numFmt w:val="decimal"/>
      <w:lvlText w:val="%1."/>
      <w:lvlJc w:val="left"/>
      <w:pPr>
        <w:tabs>
          <w:tab w:val="num" w:pos="720"/>
        </w:tabs>
        <w:ind w:left="720" w:hanging="360"/>
      </w:pPr>
    </w:lvl>
    <w:lvl w:ilvl="1" w:tplc="FFFFFFFF" w:tentative="1">
      <w:start w:val="1"/>
      <w:numFmt w:val="decimal"/>
      <w:lvlText w:val="%2."/>
      <w:lvlJc w:val="left"/>
      <w:pPr>
        <w:tabs>
          <w:tab w:val="num" w:pos="1440"/>
        </w:tabs>
        <w:ind w:left="1440" w:hanging="360"/>
      </w:pPr>
    </w:lvl>
    <w:lvl w:ilvl="2" w:tplc="FFFFFFFF" w:tentative="1">
      <w:start w:val="1"/>
      <w:numFmt w:val="decimal"/>
      <w:lvlText w:val="%3."/>
      <w:lvlJc w:val="left"/>
      <w:pPr>
        <w:tabs>
          <w:tab w:val="num" w:pos="2160"/>
        </w:tabs>
        <w:ind w:left="2160" w:hanging="360"/>
      </w:pPr>
    </w:lvl>
    <w:lvl w:ilvl="3" w:tplc="FFFFFFFF" w:tentative="1">
      <w:start w:val="1"/>
      <w:numFmt w:val="decimal"/>
      <w:lvlText w:val="%4."/>
      <w:lvlJc w:val="left"/>
      <w:pPr>
        <w:tabs>
          <w:tab w:val="num" w:pos="2880"/>
        </w:tabs>
        <w:ind w:left="2880" w:hanging="360"/>
      </w:pPr>
    </w:lvl>
    <w:lvl w:ilvl="4" w:tplc="FFFFFFFF" w:tentative="1">
      <w:start w:val="1"/>
      <w:numFmt w:val="decimal"/>
      <w:lvlText w:val="%5."/>
      <w:lvlJc w:val="left"/>
      <w:pPr>
        <w:tabs>
          <w:tab w:val="num" w:pos="3600"/>
        </w:tabs>
        <w:ind w:left="3600" w:hanging="360"/>
      </w:pPr>
    </w:lvl>
    <w:lvl w:ilvl="5" w:tplc="FFFFFFFF" w:tentative="1">
      <w:start w:val="1"/>
      <w:numFmt w:val="decimal"/>
      <w:lvlText w:val="%6."/>
      <w:lvlJc w:val="left"/>
      <w:pPr>
        <w:tabs>
          <w:tab w:val="num" w:pos="4320"/>
        </w:tabs>
        <w:ind w:left="4320" w:hanging="360"/>
      </w:pPr>
    </w:lvl>
    <w:lvl w:ilvl="6" w:tplc="FFFFFFFF" w:tentative="1">
      <w:start w:val="1"/>
      <w:numFmt w:val="decimal"/>
      <w:lvlText w:val="%7."/>
      <w:lvlJc w:val="left"/>
      <w:pPr>
        <w:tabs>
          <w:tab w:val="num" w:pos="5040"/>
        </w:tabs>
        <w:ind w:left="5040" w:hanging="360"/>
      </w:pPr>
    </w:lvl>
    <w:lvl w:ilvl="7" w:tplc="FFFFFFFF" w:tentative="1">
      <w:start w:val="1"/>
      <w:numFmt w:val="decimal"/>
      <w:lvlText w:val="%8."/>
      <w:lvlJc w:val="left"/>
      <w:pPr>
        <w:tabs>
          <w:tab w:val="num" w:pos="5760"/>
        </w:tabs>
        <w:ind w:left="5760" w:hanging="360"/>
      </w:pPr>
    </w:lvl>
    <w:lvl w:ilvl="8" w:tplc="FFFFFFFF" w:tentative="1">
      <w:start w:val="1"/>
      <w:numFmt w:val="decimal"/>
      <w:lvlText w:val="%9."/>
      <w:lvlJc w:val="left"/>
      <w:pPr>
        <w:tabs>
          <w:tab w:val="num" w:pos="6480"/>
        </w:tabs>
        <w:ind w:left="6480" w:hanging="360"/>
      </w:pPr>
    </w:lvl>
  </w:abstractNum>
  <w:abstractNum w:abstractNumId="13" w15:restartNumberingAfterBreak="0">
    <w:nsid w:val="3AD957B8"/>
    <w:multiLevelType w:val="hybridMultilevel"/>
    <w:tmpl w:val="13A88A40"/>
    <w:lvl w:ilvl="0" w:tplc="5784CAFE">
      <w:start w:val="1"/>
      <w:numFmt w:val="lowerLetter"/>
      <w:lvlText w:val="%1)"/>
      <w:lvlJc w:val="left"/>
      <w:pPr>
        <w:ind w:left="720" w:hanging="360"/>
      </w:pPr>
      <w:rPr>
        <w:rFonts w:hint="default"/>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B6A02A2"/>
    <w:multiLevelType w:val="hybridMultilevel"/>
    <w:tmpl w:val="3CB67D70"/>
    <w:lvl w:ilvl="0" w:tplc="C0BC793A">
      <w:start w:val="1"/>
      <w:numFmt w:val="bullet"/>
      <w:pStyle w:val="Bullets"/>
      <w:lvlText w:val=""/>
      <w:lvlJc w:val="left"/>
      <w:pPr>
        <w:ind w:left="1440" w:hanging="360"/>
      </w:pPr>
      <w:rPr>
        <w:rFonts w:ascii="Wingdings" w:hAnsi="Wingdings" w:hint="default"/>
        <w:color w:val="336699"/>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5" w15:restartNumberingAfterBreak="0">
    <w:nsid w:val="3C2C2B8C"/>
    <w:multiLevelType w:val="hybridMultilevel"/>
    <w:tmpl w:val="84BC8978"/>
    <w:lvl w:ilvl="0" w:tplc="08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6" w15:restartNumberingAfterBreak="0">
    <w:nsid w:val="3E0D408E"/>
    <w:multiLevelType w:val="hybridMultilevel"/>
    <w:tmpl w:val="ABFE9E48"/>
    <w:lvl w:ilvl="0" w:tplc="FD4C0202">
      <w:start w:val="1"/>
      <w:numFmt w:val="bullet"/>
      <w:lvlText w:val=""/>
      <w:lvlJc w:val="left"/>
      <w:pPr>
        <w:ind w:left="720" w:hanging="360"/>
      </w:pPr>
      <w:rPr>
        <w:rFonts w:ascii="Wingdings" w:hAnsi="Wingdings" w:hint="default"/>
        <w:color w:val="336699"/>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7" w15:restartNumberingAfterBreak="0">
    <w:nsid w:val="40596444"/>
    <w:multiLevelType w:val="hybridMultilevel"/>
    <w:tmpl w:val="A7D29750"/>
    <w:lvl w:ilvl="0" w:tplc="141A0015">
      <w:start w:val="1"/>
      <w:numFmt w:val="upperLetter"/>
      <w:lvlText w:val="%1."/>
      <w:lvlJc w:val="left"/>
      <w:pPr>
        <w:ind w:left="720" w:hanging="360"/>
      </w:pPr>
      <w:rPr>
        <w:rFonts w:hint="default"/>
      </w:rPr>
    </w:lvl>
    <w:lvl w:ilvl="1" w:tplc="55EA6BFE">
      <w:start w:val="1"/>
      <w:numFmt w:val="lowerRoman"/>
      <w:lvlText w:val="(%2)"/>
      <w:lvlJc w:val="left"/>
      <w:pPr>
        <w:ind w:left="1840" w:hanging="760"/>
      </w:pPr>
      <w:rPr>
        <w:rFonts w:hint="default"/>
      </w:r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18" w15:restartNumberingAfterBreak="0">
    <w:nsid w:val="40C8757E"/>
    <w:multiLevelType w:val="hybridMultilevel"/>
    <w:tmpl w:val="65A4B4BA"/>
    <w:lvl w:ilvl="0" w:tplc="9FB6A1D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31B22A9"/>
    <w:multiLevelType w:val="hybridMultilevel"/>
    <w:tmpl w:val="B4D24C6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3F54E68"/>
    <w:multiLevelType w:val="hybridMultilevel"/>
    <w:tmpl w:val="704819BE"/>
    <w:lvl w:ilvl="0" w:tplc="4BA66DDE">
      <w:numFmt w:val="decimal"/>
      <w:pStyle w:val="Enova"/>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21" w15:restartNumberingAfterBreak="0">
    <w:nsid w:val="49132B25"/>
    <w:multiLevelType w:val="hybridMultilevel"/>
    <w:tmpl w:val="BD9C9B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AC472E0"/>
    <w:multiLevelType w:val="hybridMultilevel"/>
    <w:tmpl w:val="B226E83C"/>
    <w:lvl w:ilvl="0" w:tplc="FD4C0202">
      <w:start w:val="1"/>
      <w:numFmt w:val="bullet"/>
      <w:lvlText w:val=""/>
      <w:lvlJc w:val="left"/>
      <w:pPr>
        <w:ind w:left="720" w:hanging="360"/>
      </w:pPr>
      <w:rPr>
        <w:rFonts w:ascii="Wingdings" w:hAnsi="Wingdings" w:hint="default"/>
        <w:color w:val="336699"/>
      </w:rPr>
    </w:lvl>
    <w:lvl w:ilvl="1" w:tplc="65A49F8C">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B7A5BA1"/>
    <w:multiLevelType w:val="hybridMultilevel"/>
    <w:tmpl w:val="D7BC01A8"/>
    <w:lvl w:ilvl="0" w:tplc="141A0001">
      <w:start w:val="1"/>
      <w:numFmt w:val="bullet"/>
      <w:lvlText w:val=""/>
      <w:lvlJc w:val="left"/>
      <w:pPr>
        <w:ind w:left="720" w:hanging="360"/>
      </w:pPr>
      <w:rPr>
        <w:rFonts w:ascii="Symbol" w:hAnsi="Symbol" w:hint="default"/>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24" w15:restartNumberingAfterBreak="0">
    <w:nsid w:val="4DA04856"/>
    <w:multiLevelType w:val="hybridMultilevel"/>
    <w:tmpl w:val="AC500E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1AE4A00"/>
    <w:multiLevelType w:val="multilevel"/>
    <w:tmpl w:val="353EEB04"/>
    <w:lvl w:ilvl="0">
      <w:start w:val="1"/>
      <w:numFmt w:val="decimal"/>
      <w:pStyle w:val="Heading1"/>
      <w:lvlText w:val="%1"/>
      <w:lvlJc w:val="left"/>
      <w:pPr>
        <w:ind w:left="432" w:hanging="432"/>
      </w:pPr>
    </w:lvl>
    <w:lvl w:ilvl="1">
      <w:start w:val="1"/>
      <w:numFmt w:val="decimal"/>
      <w:pStyle w:val="Heading2"/>
      <w:lvlText w:val="%1.%2"/>
      <w:lvlJc w:val="left"/>
      <w:pPr>
        <w:ind w:left="36" w:hanging="576"/>
      </w:pPr>
      <w:rPr>
        <w:color w:val="1F497D"/>
      </w:rPr>
    </w:lvl>
    <w:lvl w:ilvl="2">
      <w:start w:val="1"/>
      <w:numFmt w:val="decimal"/>
      <w:pStyle w:val="Heading3"/>
      <w:lvlText w:val="%1.%2.%3"/>
      <w:lvlJc w:val="left"/>
      <w:pPr>
        <w:ind w:left="180" w:hanging="720"/>
      </w:pPr>
    </w:lvl>
    <w:lvl w:ilvl="3">
      <w:start w:val="1"/>
      <w:numFmt w:val="decimal"/>
      <w:pStyle w:val="Heading4"/>
      <w:lvlText w:val="%1.%2.%3.%4"/>
      <w:lvlJc w:val="left"/>
      <w:pPr>
        <w:ind w:left="324" w:hanging="864"/>
      </w:pPr>
    </w:lvl>
    <w:lvl w:ilvl="4">
      <w:start w:val="1"/>
      <w:numFmt w:val="decimal"/>
      <w:pStyle w:val="Heading5"/>
      <w:lvlText w:val="%1.%2.%3.%4.%5"/>
      <w:lvlJc w:val="left"/>
      <w:pPr>
        <w:ind w:left="468" w:hanging="1008"/>
      </w:pPr>
    </w:lvl>
    <w:lvl w:ilvl="5">
      <w:start w:val="1"/>
      <w:numFmt w:val="decimal"/>
      <w:pStyle w:val="Heading6"/>
      <w:lvlText w:val="%1.%2.%3.%4.%5.%6"/>
      <w:lvlJc w:val="left"/>
      <w:pPr>
        <w:ind w:left="612" w:hanging="1152"/>
      </w:pPr>
    </w:lvl>
    <w:lvl w:ilvl="6">
      <w:start w:val="1"/>
      <w:numFmt w:val="decimal"/>
      <w:pStyle w:val="Heading7"/>
      <w:lvlText w:val="%1.%2.%3.%4.%5.%6.%7"/>
      <w:lvlJc w:val="left"/>
      <w:pPr>
        <w:ind w:left="756" w:hanging="1296"/>
      </w:pPr>
    </w:lvl>
    <w:lvl w:ilvl="7">
      <w:start w:val="1"/>
      <w:numFmt w:val="decimal"/>
      <w:pStyle w:val="Heading8"/>
      <w:lvlText w:val="%1.%2.%3.%4.%5.%6.%7.%8"/>
      <w:lvlJc w:val="left"/>
      <w:pPr>
        <w:ind w:left="900" w:hanging="1440"/>
      </w:pPr>
    </w:lvl>
    <w:lvl w:ilvl="8">
      <w:start w:val="1"/>
      <w:numFmt w:val="decimal"/>
      <w:pStyle w:val="Heading9"/>
      <w:lvlText w:val="%1.%2.%3.%4.%5.%6.%7.%8.%9"/>
      <w:lvlJc w:val="left"/>
      <w:pPr>
        <w:ind w:left="1044" w:hanging="1584"/>
      </w:pPr>
    </w:lvl>
  </w:abstractNum>
  <w:abstractNum w:abstractNumId="26" w15:restartNumberingAfterBreak="0">
    <w:nsid w:val="547F4F08"/>
    <w:multiLevelType w:val="hybridMultilevel"/>
    <w:tmpl w:val="7362058C"/>
    <w:lvl w:ilvl="0" w:tplc="2BD4F28A">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7" w15:restartNumberingAfterBreak="0">
    <w:nsid w:val="59264106"/>
    <w:multiLevelType w:val="hybridMultilevel"/>
    <w:tmpl w:val="A5DA3DBA"/>
    <w:lvl w:ilvl="0" w:tplc="FD4C0202">
      <w:start w:val="1"/>
      <w:numFmt w:val="bullet"/>
      <w:lvlText w:val=""/>
      <w:lvlJc w:val="left"/>
      <w:pPr>
        <w:ind w:left="720" w:hanging="360"/>
      </w:pPr>
      <w:rPr>
        <w:rFonts w:ascii="Wingdings" w:hAnsi="Wingdings" w:hint="default"/>
        <w:color w:val="33669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83878E3"/>
    <w:multiLevelType w:val="hybridMultilevel"/>
    <w:tmpl w:val="D5CA4AFE"/>
    <w:lvl w:ilvl="0" w:tplc="FD4C0202">
      <w:start w:val="1"/>
      <w:numFmt w:val="bullet"/>
      <w:lvlText w:val=""/>
      <w:lvlJc w:val="left"/>
      <w:pPr>
        <w:ind w:left="720" w:hanging="360"/>
      </w:pPr>
      <w:rPr>
        <w:rFonts w:ascii="Wingdings" w:hAnsi="Wingdings" w:hint="default"/>
        <w:color w:val="336699"/>
      </w:rPr>
    </w:lvl>
    <w:lvl w:ilvl="1" w:tplc="65A49F8C">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9814A2D"/>
    <w:multiLevelType w:val="hybridMultilevel"/>
    <w:tmpl w:val="0A908066"/>
    <w:lvl w:ilvl="0" w:tplc="0226D618">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0" w15:restartNumberingAfterBreak="0">
    <w:nsid w:val="6A806D1E"/>
    <w:multiLevelType w:val="hybridMultilevel"/>
    <w:tmpl w:val="BE741C48"/>
    <w:lvl w:ilvl="0" w:tplc="FD4C0202">
      <w:start w:val="1"/>
      <w:numFmt w:val="bullet"/>
      <w:lvlText w:val=""/>
      <w:lvlJc w:val="left"/>
      <w:pPr>
        <w:ind w:left="720" w:hanging="360"/>
      </w:pPr>
      <w:rPr>
        <w:rFonts w:ascii="Wingdings" w:hAnsi="Wingdings" w:hint="default"/>
        <w:color w:val="336699"/>
      </w:rPr>
    </w:lvl>
    <w:lvl w:ilvl="1" w:tplc="65A49F8C">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D2E4D1F"/>
    <w:multiLevelType w:val="hybridMultilevel"/>
    <w:tmpl w:val="E78A381E"/>
    <w:lvl w:ilvl="0" w:tplc="FD4C0202">
      <w:start w:val="1"/>
      <w:numFmt w:val="bullet"/>
      <w:lvlText w:val=""/>
      <w:lvlJc w:val="left"/>
      <w:pPr>
        <w:ind w:left="720" w:hanging="360"/>
      </w:pPr>
      <w:rPr>
        <w:rFonts w:ascii="Wingdings" w:hAnsi="Wingdings" w:hint="default"/>
        <w:color w:val="336699"/>
      </w:rPr>
    </w:lvl>
    <w:lvl w:ilvl="1" w:tplc="65A49F8C">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4E378B9"/>
    <w:multiLevelType w:val="hybridMultilevel"/>
    <w:tmpl w:val="FE4C4156"/>
    <w:lvl w:ilvl="0" w:tplc="B19C6168">
      <w:start w:val="1"/>
      <w:numFmt w:val="decimal"/>
      <w:lvlText w:val="%1."/>
      <w:lvlJc w:val="left"/>
      <w:pPr>
        <w:ind w:left="720" w:hanging="360"/>
      </w:pPr>
      <w:rPr>
        <w:rFonts w:hint="default"/>
        <w:color w:val="44546A" w:themeColor="text2"/>
      </w:rPr>
    </w:lvl>
    <w:lvl w:ilvl="1" w:tplc="65A49F8C">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52F6ABE"/>
    <w:multiLevelType w:val="hybridMultilevel"/>
    <w:tmpl w:val="714839AE"/>
    <w:lvl w:ilvl="0" w:tplc="FD4C0202">
      <w:start w:val="1"/>
      <w:numFmt w:val="bullet"/>
      <w:lvlText w:val=""/>
      <w:lvlJc w:val="left"/>
      <w:pPr>
        <w:ind w:left="720" w:hanging="360"/>
      </w:pPr>
      <w:rPr>
        <w:rFonts w:ascii="Wingdings" w:hAnsi="Wingdings" w:hint="default"/>
        <w:color w:val="336699"/>
      </w:rPr>
    </w:lvl>
    <w:lvl w:ilvl="1" w:tplc="65A49F8C">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8DD1547"/>
    <w:multiLevelType w:val="hybridMultilevel"/>
    <w:tmpl w:val="13A88A40"/>
    <w:lvl w:ilvl="0" w:tplc="5784CAFE">
      <w:start w:val="1"/>
      <w:numFmt w:val="lowerLetter"/>
      <w:lvlText w:val="%1)"/>
      <w:lvlJc w:val="left"/>
      <w:pPr>
        <w:ind w:left="720" w:hanging="360"/>
      </w:pPr>
      <w:rPr>
        <w:rFonts w:hint="default"/>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7B64740F"/>
    <w:multiLevelType w:val="hybridMultilevel"/>
    <w:tmpl w:val="7AE4FF04"/>
    <w:lvl w:ilvl="0" w:tplc="FD4C0202">
      <w:start w:val="1"/>
      <w:numFmt w:val="bullet"/>
      <w:lvlText w:val=""/>
      <w:lvlJc w:val="left"/>
      <w:pPr>
        <w:ind w:left="720" w:hanging="360"/>
      </w:pPr>
      <w:rPr>
        <w:rFonts w:ascii="Wingdings" w:hAnsi="Wingdings" w:hint="default"/>
        <w:color w:val="336699"/>
      </w:rPr>
    </w:lvl>
    <w:lvl w:ilvl="1" w:tplc="65A49F8C">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E6C3EFA"/>
    <w:multiLevelType w:val="hybridMultilevel"/>
    <w:tmpl w:val="9EAA637E"/>
    <w:lvl w:ilvl="0" w:tplc="4BA66DDE">
      <w:start w:val="1"/>
      <w:numFmt w:val="lowerLetter"/>
      <w:pStyle w:val="LetteredList"/>
      <w:lvlText w:val="(%1)"/>
      <w:lvlJc w:val="left"/>
      <w:pPr>
        <w:tabs>
          <w:tab w:val="num" w:pos="720"/>
        </w:tabs>
        <w:ind w:left="720" w:hanging="360"/>
      </w:pPr>
      <w:rPr>
        <w:rFonts w:hint="default"/>
      </w:rPr>
    </w:lvl>
    <w:lvl w:ilvl="1" w:tplc="08090003">
      <w:start w:val="1"/>
      <w:numFmt w:val="lowerLetter"/>
      <w:lvlText w:val="%2."/>
      <w:lvlJc w:val="left"/>
      <w:pPr>
        <w:tabs>
          <w:tab w:val="num" w:pos="1440"/>
        </w:tabs>
        <w:ind w:left="1440" w:hanging="360"/>
      </w:pPr>
    </w:lvl>
    <w:lvl w:ilvl="2" w:tplc="08090005">
      <w:start w:val="1"/>
      <w:numFmt w:val="lowerRoman"/>
      <w:lvlText w:val="%3."/>
      <w:lvlJc w:val="right"/>
      <w:pPr>
        <w:tabs>
          <w:tab w:val="num" w:pos="2160"/>
        </w:tabs>
        <w:ind w:left="2160" w:hanging="180"/>
      </w:pPr>
    </w:lvl>
    <w:lvl w:ilvl="3" w:tplc="08090001" w:tentative="1">
      <w:start w:val="1"/>
      <w:numFmt w:val="decimal"/>
      <w:lvlText w:val="%4."/>
      <w:lvlJc w:val="left"/>
      <w:pPr>
        <w:tabs>
          <w:tab w:val="num" w:pos="2880"/>
        </w:tabs>
        <w:ind w:left="2880" w:hanging="360"/>
      </w:pPr>
    </w:lvl>
    <w:lvl w:ilvl="4" w:tplc="08090003" w:tentative="1">
      <w:start w:val="1"/>
      <w:numFmt w:val="lowerLetter"/>
      <w:lvlText w:val="%5."/>
      <w:lvlJc w:val="left"/>
      <w:pPr>
        <w:tabs>
          <w:tab w:val="num" w:pos="3600"/>
        </w:tabs>
        <w:ind w:left="3600" w:hanging="360"/>
      </w:pPr>
    </w:lvl>
    <w:lvl w:ilvl="5" w:tplc="08090005" w:tentative="1">
      <w:start w:val="1"/>
      <w:numFmt w:val="lowerRoman"/>
      <w:lvlText w:val="%6."/>
      <w:lvlJc w:val="right"/>
      <w:pPr>
        <w:tabs>
          <w:tab w:val="num" w:pos="4320"/>
        </w:tabs>
        <w:ind w:left="4320" w:hanging="180"/>
      </w:pPr>
    </w:lvl>
    <w:lvl w:ilvl="6" w:tplc="08090001" w:tentative="1">
      <w:start w:val="1"/>
      <w:numFmt w:val="decimal"/>
      <w:lvlText w:val="%7."/>
      <w:lvlJc w:val="left"/>
      <w:pPr>
        <w:tabs>
          <w:tab w:val="num" w:pos="5040"/>
        </w:tabs>
        <w:ind w:left="5040" w:hanging="360"/>
      </w:pPr>
    </w:lvl>
    <w:lvl w:ilvl="7" w:tplc="08090003" w:tentative="1">
      <w:start w:val="1"/>
      <w:numFmt w:val="lowerLetter"/>
      <w:lvlText w:val="%8."/>
      <w:lvlJc w:val="left"/>
      <w:pPr>
        <w:tabs>
          <w:tab w:val="num" w:pos="5760"/>
        </w:tabs>
        <w:ind w:left="5760" w:hanging="360"/>
      </w:pPr>
    </w:lvl>
    <w:lvl w:ilvl="8" w:tplc="08090005" w:tentative="1">
      <w:start w:val="1"/>
      <w:numFmt w:val="lowerRoman"/>
      <w:lvlText w:val="%9."/>
      <w:lvlJc w:val="right"/>
      <w:pPr>
        <w:tabs>
          <w:tab w:val="num" w:pos="6480"/>
        </w:tabs>
        <w:ind w:left="6480" w:hanging="180"/>
      </w:pPr>
    </w:lvl>
  </w:abstractNum>
  <w:num w:numId="1" w16cid:durableId="443041768">
    <w:abstractNumId w:val="25"/>
  </w:num>
  <w:num w:numId="2" w16cid:durableId="946355517">
    <w:abstractNumId w:val="36"/>
  </w:num>
  <w:num w:numId="3" w16cid:durableId="823550195">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459374925">
    <w:abstractNumId w:val="7"/>
  </w:num>
  <w:num w:numId="5" w16cid:durableId="1598294264">
    <w:abstractNumId w:val="19"/>
  </w:num>
  <w:num w:numId="6" w16cid:durableId="2049866643">
    <w:abstractNumId w:val="15"/>
  </w:num>
  <w:num w:numId="7" w16cid:durableId="1319192642">
    <w:abstractNumId w:val="29"/>
  </w:num>
  <w:num w:numId="8" w16cid:durableId="1258176210">
    <w:abstractNumId w:val="2"/>
  </w:num>
  <w:num w:numId="9" w16cid:durableId="206532556">
    <w:abstractNumId w:val="1"/>
  </w:num>
  <w:num w:numId="10" w16cid:durableId="173810236">
    <w:abstractNumId w:val="30"/>
  </w:num>
  <w:num w:numId="11" w16cid:durableId="1075470534">
    <w:abstractNumId w:val="16"/>
  </w:num>
  <w:num w:numId="12" w16cid:durableId="1791775245">
    <w:abstractNumId w:val="13"/>
  </w:num>
  <w:num w:numId="13" w16cid:durableId="387143348">
    <w:abstractNumId w:val="28"/>
  </w:num>
  <w:num w:numId="14" w16cid:durableId="1074548417">
    <w:abstractNumId w:val="34"/>
  </w:num>
  <w:num w:numId="15" w16cid:durableId="1207373986">
    <w:abstractNumId w:val="31"/>
  </w:num>
  <w:num w:numId="16" w16cid:durableId="637759955">
    <w:abstractNumId w:val="0"/>
  </w:num>
  <w:num w:numId="17" w16cid:durableId="931620966">
    <w:abstractNumId w:val="35"/>
  </w:num>
  <w:num w:numId="18" w16cid:durableId="425032487">
    <w:abstractNumId w:val="22"/>
  </w:num>
  <w:num w:numId="19" w16cid:durableId="720709763">
    <w:abstractNumId w:val="33"/>
  </w:num>
  <w:num w:numId="20" w16cid:durableId="1449007192">
    <w:abstractNumId w:val="18"/>
  </w:num>
  <w:num w:numId="21" w16cid:durableId="1330333600">
    <w:abstractNumId w:val="10"/>
  </w:num>
  <w:num w:numId="22" w16cid:durableId="401027112">
    <w:abstractNumId w:val="27"/>
  </w:num>
  <w:num w:numId="23" w16cid:durableId="811287052">
    <w:abstractNumId w:val="26"/>
  </w:num>
  <w:num w:numId="24" w16cid:durableId="1686469639">
    <w:abstractNumId w:val="3"/>
  </w:num>
  <w:num w:numId="25" w16cid:durableId="1210220347">
    <w:abstractNumId w:val="4"/>
  </w:num>
  <w:num w:numId="26" w16cid:durableId="851914185">
    <w:abstractNumId w:val="6"/>
  </w:num>
  <w:num w:numId="27" w16cid:durableId="776753216">
    <w:abstractNumId w:val="5"/>
  </w:num>
  <w:num w:numId="28" w16cid:durableId="314605255">
    <w:abstractNumId w:val="21"/>
  </w:num>
  <w:num w:numId="29" w16cid:durableId="502092857">
    <w:abstractNumId w:val="14"/>
  </w:num>
  <w:num w:numId="30" w16cid:durableId="693579125">
    <w:abstractNumId w:val="17"/>
  </w:num>
  <w:num w:numId="31" w16cid:durableId="630676150">
    <w:abstractNumId w:val="24"/>
  </w:num>
  <w:num w:numId="32" w16cid:durableId="149565040">
    <w:abstractNumId w:val="9"/>
  </w:num>
  <w:num w:numId="33" w16cid:durableId="440417861">
    <w:abstractNumId w:val="8"/>
  </w:num>
  <w:num w:numId="34" w16cid:durableId="377121554">
    <w:abstractNumId w:val="23"/>
  </w:num>
  <w:num w:numId="35" w16cid:durableId="241108332">
    <w:abstractNumId w:val="11"/>
  </w:num>
  <w:num w:numId="36" w16cid:durableId="1067731517">
    <w:abstractNumId w:val="32"/>
  </w:num>
  <w:num w:numId="37" w16cid:durableId="1518883813">
    <w:abstractNumId w:val="12"/>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3FBE"/>
    <w:rsid w:val="00000D05"/>
    <w:rsid w:val="00000FC4"/>
    <w:rsid w:val="00001B8B"/>
    <w:rsid w:val="00002132"/>
    <w:rsid w:val="00002494"/>
    <w:rsid w:val="00003294"/>
    <w:rsid w:val="00003E24"/>
    <w:rsid w:val="00004D1A"/>
    <w:rsid w:val="0000523F"/>
    <w:rsid w:val="00005D2C"/>
    <w:rsid w:val="00007278"/>
    <w:rsid w:val="00007994"/>
    <w:rsid w:val="00010303"/>
    <w:rsid w:val="000103A3"/>
    <w:rsid w:val="000110E4"/>
    <w:rsid w:val="000121B4"/>
    <w:rsid w:val="00012839"/>
    <w:rsid w:val="00013153"/>
    <w:rsid w:val="0001332B"/>
    <w:rsid w:val="00014BB7"/>
    <w:rsid w:val="00015CF6"/>
    <w:rsid w:val="000168CE"/>
    <w:rsid w:val="00016BC0"/>
    <w:rsid w:val="00020537"/>
    <w:rsid w:val="00020BF2"/>
    <w:rsid w:val="0002266B"/>
    <w:rsid w:val="000226F0"/>
    <w:rsid w:val="00022E05"/>
    <w:rsid w:val="00022FFD"/>
    <w:rsid w:val="000232D4"/>
    <w:rsid w:val="00024820"/>
    <w:rsid w:val="00024D2A"/>
    <w:rsid w:val="00025BFF"/>
    <w:rsid w:val="00025C99"/>
    <w:rsid w:val="00025D88"/>
    <w:rsid w:val="0002612F"/>
    <w:rsid w:val="000269E9"/>
    <w:rsid w:val="00026E1F"/>
    <w:rsid w:val="00027583"/>
    <w:rsid w:val="0002787A"/>
    <w:rsid w:val="000311D2"/>
    <w:rsid w:val="000319AB"/>
    <w:rsid w:val="00031C27"/>
    <w:rsid w:val="00031CAE"/>
    <w:rsid w:val="000322E5"/>
    <w:rsid w:val="000327B0"/>
    <w:rsid w:val="00032BA1"/>
    <w:rsid w:val="00032E74"/>
    <w:rsid w:val="00034DF6"/>
    <w:rsid w:val="00035000"/>
    <w:rsid w:val="000352BB"/>
    <w:rsid w:val="00035488"/>
    <w:rsid w:val="00036757"/>
    <w:rsid w:val="000367DC"/>
    <w:rsid w:val="00037341"/>
    <w:rsid w:val="000376E8"/>
    <w:rsid w:val="00037912"/>
    <w:rsid w:val="00037B0E"/>
    <w:rsid w:val="00037EBA"/>
    <w:rsid w:val="00041996"/>
    <w:rsid w:val="00041A74"/>
    <w:rsid w:val="00042464"/>
    <w:rsid w:val="00043624"/>
    <w:rsid w:val="00044512"/>
    <w:rsid w:val="00044E16"/>
    <w:rsid w:val="00045303"/>
    <w:rsid w:val="000455C7"/>
    <w:rsid w:val="000458B6"/>
    <w:rsid w:val="00045CC5"/>
    <w:rsid w:val="00046BF6"/>
    <w:rsid w:val="000472E4"/>
    <w:rsid w:val="000506BF"/>
    <w:rsid w:val="00050EDE"/>
    <w:rsid w:val="00051B4E"/>
    <w:rsid w:val="00051D2F"/>
    <w:rsid w:val="00051ECA"/>
    <w:rsid w:val="000522F5"/>
    <w:rsid w:val="00053BE2"/>
    <w:rsid w:val="00054204"/>
    <w:rsid w:val="0005548D"/>
    <w:rsid w:val="00055C0D"/>
    <w:rsid w:val="00055CCF"/>
    <w:rsid w:val="00057907"/>
    <w:rsid w:val="00057D86"/>
    <w:rsid w:val="0006184E"/>
    <w:rsid w:val="00061A94"/>
    <w:rsid w:val="00061D50"/>
    <w:rsid w:val="00062855"/>
    <w:rsid w:val="00062FCB"/>
    <w:rsid w:val="00063272"/>
    <w:rsid w:val="000636BE"/>
    <w:rsid w:val="000639F3"/>
    <w:rsid w:val="000641C5"/>
    <w:rsid w:val="00064AF3"/>
    <w:rsid w:val="00064EDE"/>
    <w:rsid w:val="00065091"/>
    <w:rsid w:val="00065F48"/>
    <w:rsid w:val="00066208"/>
    <w:rsid w:val="00066595"/>
    <w:rsid w:val="000667E4"/>
    <w:rsid w:val="00066A13"/>
    <w:rsid w:val="0006764B"/>
    <w:rsid w:val="0007068C"/>
    <w:rsid w:val="0007094B"/>
    <w:rsid w:val="00071147"/>
    <w:rsid w:val="000718C7"/>
    <w:rsid w:val="00071A77"/>
    <w:rsid w:val="00071AB4"/>
    <w:rsid w:val="00071E57"/>
    <w:rsid w:val="00072B57"/>
    <w:rsid w:val="000734CD"/>
    <w:rsid w:val="00073646"/>
    <w:rsid w:val="00073DE6"/>
    <w:rsid w:val="00073E6C"/>
    <w:rsid w:val="000745E4"/>
    <w:rsid w:val="00077FAF"/>
    <w:rsid w:val="00081B15"/>
    <w:rsid w:val="00081B2E"/>
    <w:rsid w:val="000825D3"/>
    <w:rsid w:val="00082C01"/>
    <w:rsid w:val="0008316E"/>
    <w:rsid w:val="000838C0"/>
    <w:rsid w:val="0008453F"/>
    <w:rsid w:val="000846DB"/>
    <w:rsid w:val="000847FF"/>
    <w:rsid w:val="00084B8B"/>
    <w:rsid w:val="00085439"/>
    <w:rsid w:val="000855DC"/>
    <w:rsid w:val="00086057"/>
    <w:rsid w:val="000873D6"/>
    <w:rsid w:val="000878B6"/>
    <w:rsid w:val="00087D96"/>
    <w:rsid w:val="0009029F"/>
    <w:rsid w:val="00090F82"/>
    <w:rsid w:val="00091C8D"/>
    <w:rsid w:val="000921D0"/>
    <w:rsid w:val="0009258B"/>
    <w:rsid w:val="00092640"/>
    <w:rsid w:val="000932BF"/>
    <w:rsid w:val="00095358"/>
    <w:rsid w:val="00095B9B"/>
    <w:rsid w:val="00096144"/>
    <w:rsid w:val="00096D5F"/>
    <w:rsid w:val="000974D3"/>
    <w:rsid w:val="0009770A"/>
    <w:rsid w:val="00097755"/>
    <w:rsid w:val="00097AD0"/>
    <w:rsid w:val="00097BFA"/>
    <w:rsid w:val="000A0148"/>
    <w:rsid w:val="000A0FE3"/>
    <w:rsid w:val="000A1745"/>
    <w:rsid w:val="000A190A"/>
    <w:rsid w:val="000A1A28"/>
    <w:rsid w:val="000A260A"/>
    <w:rsid w:val="000A2CF4"/>
    <w:rsid w:val="000A3EBF"/>
    <w:rsid w:val="000A4B44"/>
    <w:rsid w:val="000A56F1"/>
    <w:rsid w:val="000A630C"/>
    <w:rsid w:val="000A7CA1"/>
    <w:rsid w:val="000B0B11"/>
    <w:rsid w:val="000B10DA"/>
    <w:rsid w:val="000B247A"/>
    <w:rsid w:val="000B24D9"/>
    <w:rsid w:val="000B2E9A"/>
    <w:rsid w:val="000B2EFB"/>
    <w:rsid w:val="000B6CF9"/>
    <w:rsid w:val="000B7BB2"/>
    <w:rsid w:val="000B7F24"/>
    <w:rsid w:val="000B7FB6"/>
    <w:rsid w:val="000C0961"/>
    <w:rsid w:val="000C11E7"/>
    <w:rsid w:val="000C1375"/>
    <w:rsid w:val="000C1EEB"/>
    <w:rsid w:val="000C2612"/>
    <w:rsid w:val="000C2D7D"/>
    <w:rsid w:val="000C321B"/>
    <w:rsid w:val="000C34C3"/>
    <w:rsid w:val="000C3CF4"/>
    <w:rsid w:val="000C3F2D"/>
    <w:rsid w:val="000C48E2"/>
    <w:rsid w:val="000C4D2E"/>
    <w:rsid w:val="000C5399"/>
    <w:rsid w:val="000C5CAF"/>
    <w:rsid w:val="000C73A9"/>
    <w:rsid w:val="000C74F7"/>
    <w:rsid w:val="000C755A"/>
    <w:rsid w:val="000C7EC6"/>
    <w:rsid w:val="000C7F84"/>
    <w:rsid w:val="000D12E4"/>
    <w:rsid w:val="000D147F"/>
    <w:rsid w:val="000D196A"/>
    <w:rsid w:val="000D1E00"/>
    <w:rsid w:val="000D26FB"/>
    <w:rsid w:val="000D29E5"/>
    <w:rsid w:val="000D2FEF"/>
    <w:rsid w:val="000D3A67"/>
    <w:rsid w:val="000D4439"/>
    <w:rsid w:val="000D47C1"/>
    <w:rsid w:val="000D4923"/>
    <w:rsid w:val="000D4BB5"/>
    <w:rsid w:val="000D4BE8"/>
    <w:rsid w:val="000D59D4"/>
    <w:rsid w:val="000D6654"/>
    <w:rsid w:val="000D6DCA"/>
    <w:rsid w:val="000D761C"/>
    <w:rsid w:val="000E15CC"/>
    <w:rsid w:val="000E16D9"/>
    <w:rsid w:val="000E17D3"/>
    <w:rsid w:val="000E1B39"/>
    <w:rsid w:val="000E2F68"/>
    <w:rsid w:val="000E3032"/>
    <w:rsid w:val="000E3084"/>
    <w:rsid w:val="000E3B82"/>
    <w:rsid w:val="000E3F0D"/>
    <w:rsid w:val="000E4252"/>
    <w:rsid w:val="000E4C53"/>
    <w:rsid w:val="000E5793"/>
    <w:rsid w:val="000E6A14"/>
    <w:rsid w:val="000E7490"/>
    <w:rsid w:val="000F05B4"/>
    <w:rsid w:val="000F0BC1"/>
    <w:rsid w:val="000F0C2B"/>
    <w:rsid w:val="000F0E14"/>
    <w:rsid w:val="000F102B"/>
    <w:rsid w:val="000F148D"/>
    <w:rsid w:val="000F3064"/>
    <w:rsid w:val="000F30FF"/>
    <w:rsid w:val="000F38CC"/>
    <w:rsid w:val="000F3C70"/>
    <w:rsid w:val="000F47AC"/>
    <w:rsid w:val="000F47B2"/>
    <w:rsid w:val="000F59A6"/>
    <w:rsid w:val="000F62CB"/>
    <w:rsid w:val="000F6AC1"/>
    <w:rsid w:val="000F6F13"/>
    <w:rsid w:val="00100B2D"/>
    <w:rsid w:val="00101779"/>
    <w:rsid w:val="001017CE"/>
    <w:rsid w:val="00101F61"/>
    <w:rsid w:val="0010337A"/>
    <w:rsid w:val="0010382A"/>
    <w:rsid w:val="00105104"/>
    <w:rsid w:val="001054DA"/>
    <w:rsid w:val="00105B89"/>
    <w:rsid w:val="00105C7E"/>
    <w:rsid w:val="001065FB"/>
    <w:rsid w:val="00107764"/>
    <w:rsid w:val="0011043C"/>
    <w:rsid w:val="001105B4"/>
    <w:rsid w:val="001105C0"/>
    <w:rsid w:val="0011115E"/>
    <w:rsid w:val="00111289"/>
    <w:rsid w:val="001112CD"/>
    <w:rsid w:val="00111652"/>
    <w:rsid w:val="00111F6D"/>
    <w:rsid w:val="001146A5"/>
    <w:rsid w:val="0011471F"/>
    <w:rsid w:val="00114835"/>
    <w:rsid w:val="0011599B"/>
    <w:rsid w:val="00115AC0"/>
    <w:rsid w:val="00115B76"/>
    <w:rsid w:val="001171F1"/>
    <w:rsid w:val="00117F34"/>
    <w:rsid w:val="0012031D"/>
    <w:rsid w:val="00120C19"/>
    <w:rsid w:val="00120CDA"/>
    <w:rsid w:val="00120D8D"/>
    <w:rsid w:val="00120E5A"/>
    <w:rsid w:val="001219A0"/>
    <w:rsid w:val="00121AD0"/>
    <w:rsid w:val="001223B3"/>
    <w:rsid w:val="001229F1"/>
    <w:rsid w:val="00124455"/>
    <w:rsid w:val="00124B2B"/>
    <w:rsid w:val="00125321"/>
    <w:rsid w:val="00125EFA"/>
    <w:rsid w:val="0012615B"/>
    <w:rsid w:val="00126827"/>
    <w:rsid w:val="00126BA1"/>
    <w:rsid w:val="00126CAC"/>
    <w:rsid w:val="001314BA"/>
    <w:rsid w:val="001318A5"/>
    <w:rsid w:val="00132516"/>
    <w:rsid w:val="001328D4"/>
    <w:rsid w:val="0013329A"/>
    <w:rsid w:val="001332C4"/>
    <w:rsid w:val="00133551"/>
    <w:rsid w:val="00133588"/>
    <w:rsid w:val="001339E1"/>
    <w:rsid w:val="00133C74"/>
    <w:rsid w:val="00134AB4"/>
    <w:rsid w:val="00134DCE"/>
    <w:rsid w:val="00134DD9"/>
    <w:rsid w:val="00135053"/>
    <w:rsid w:val="0013523E"/>
    <w:rsid w:val="001353B3"/>
    <w:rsid w:val="001353E9"/>
    <w:rsid w:val="00137CCB"/>
    <w:rsid w:val="0014080C"/>
    <w:rsid w:val="00140B03"/>
    <w:rsid w:val="00141A4F"/>
    <w:rsid w:val="00141AD6"/>
    <w:rsid w:val="00141C99"/>
    <w:rsid w:val="00142683"/>
    <w:rsid w:val="00143100"/>
    <w:rsid w:val="001434C2"/>
    <w:rsid w:val="00143ECD"/>
    <w:rsid w:val="0014413C"/>
    <w:rsid w:val="00144673"/>
    <w:rsid w:val="00144A4A"/>
    <w:rsid w:val="0014519B"/>
    <w:rsid w:val="00145CA2"/>
    <w:rsid w:val="001470E8"/>
    <w:rsid w:val="00147206"/>
    <w:rsid w:val="0014737C"/>
    <w:rsid w:val="00150175"/>
    <w:rsid w:val="001502A1"/>
    <w:rsid w:val="00150CCE"/>
    <w:rsid w:val="00150DFC"/>
    <w:rsid w:val="001524F1"/>
    <w:rsid w:val="00152AFE"/>
    <w:rsid w:val="00153F1F"/>
    <w:rsid w:val="00155B98"/>
    <w:rsid w:val="00157D54"/>
    <w:rsid w:val="00157E53"/>
    <w:rsid w:val="00160717"/>
    <w:rsid w:val="001607B4"/>
    <w:rsid w:val="0016083B"/>
    <w:rsid w:val="00161CF8"/>
    <w:rsid w:val="00162F7E"/>
    <w:rsid w:val="001631A0"/>
    <w:rsid w:val="00163BAD"/>
    <w:rsid w:val="001645E9"/>
    <w:rsid w:val="0016487C"/>
    <w:rsid w:val="001651FD"/>
    <w:rsid w:val="00165963"/>
    <w:rsid w:val="00165BF2"/>
    <w:rsid w:val="00165C10"/>
    <w:rsid w:val="0016678E"/>
    <w:rsid w:val="00167BD6"/>
    <w:rsid w:val="00170306"/>
    <w:rsid w:val="0017055D"/>
    <w:rsid w:val="00170609"/>
    <w:rsid w:val="00171188"/>
    <w:rsid w:val="00171248"/>
    <w:rsid w:val="00171263"/>
    <w:rsid w:val="00171802"/>
    <w:rsid w:val="00172DC4"/>
    <w:rsid w:val="00173434"/>
    <w:rsid w:val="00173897"/>
    <w:rsid w:val="00173899"/>
    <w:rsid w:val="00173C52"/>
    <w:rsid w:val="00173CE0"/>
    <w:rsid w:val="00173D48"/>
    <w:rsid w:val="00174844"/>
    <w:rsid w:val="00174F86"/>
    <w:rsid w:val="001755CE"/>
    <w:rsid w:val="00176192"/>
    <w:rsid w:val="001765DC"/>
    <w:rsid w:val="001770F4"/>
    <w:rsid w:val="00177745"/>
    <w:rsid w:val="001818EB"/>
    <w:rsid w:val="00181B8E"/>
    <w:rsid w:val="00181D19"/>
    <w:rsid w:val="00181ED5"/>
    <w:rsid w:val="00181F8D"/>
    <w:rsid w:val="001820FC"/>
    <w:rsid w:val="001823E0"/>
    <w:rsid w:val="001826CA"/>
    <w:rsid w:val="00183222"/>
    <w:rsid w:val="001839A2"/>
    <w:rsid w:val="001839E5"/>
    <w:rsid w:val="001839F8"/>
    <w:rsid w:val="001849C0"/>
    <w:rsid w:val="00184CFD"/>
    <w:rsid w:val="00185228"/>
    <w:rsid w:val="001864A9"/>
    <w:rsid w:val="001865F8"/>
    <w:rsid w:val="00187BDB"/>
    <w:rsid w:val="0019059A"/>
    <w:rsid w:val="00190A40"/>
    <w:rsid w:val="00190B60"/>
    <w:rsid w:val="00190B9D"/>
    <w:rsid w:val="00191751"/>
    <w:rsid w:val="001925D6"/>
    <w:rsid w:val="001932CA"/>
    <w:rsid w:val="00193478"/>
    <w:rsid w:val="00193EC7"/>
    <w:rsid w:val="001947AE"/>
    <w:rsid w:val="00194B37"/>
    <w:rsid w:val="00194EA6"/>
    <w:rsid w:val="0019561A"/>
    <w:rsid w:val="00195ACF"/>
    <w:rsid w:val="00196354"/>
    <w:rsid w:val="001967B9"/>
    <w:rsid w:val="0019728A"/>
    <w:rsid w:val="0019739D"/>
    <w:rsid w:val="001978E8"/>
    <w:rsid w:val="00197BAF"/>
    <w:rsid w:val="00197E38"/>
    <w:rsid w:val="001A009D"/>
    <w:rsid w:val="001A0FF3"/>
    <w:rsid w:val="001A1227"/>
    <w:rsid w:val="001A237F"/>
    <w:rsid w:val="001A292C"/>
    <w:rsid w:val="001A3B8F"/>
    <w:rsid w:val="001A402B"/>
    <w:rsid w:val="001A432A"/>
    <w:rsid w:val="001A4B54"/>
    <w:rsid w:val="001A4D87"/>
    <w:rsid w:val="001A5DD2"/>
    <w:rsid w:val="001A6DE7"/>
    <w:rsid w:val="001A79F7"/>
    <w:rsid w:val="001B0875"/>
    <w:rsid w:val="001B0CFB"/>
    <w:rsid w:val="001B124B"/>
    <w:rsid w:val="001B130B"/>
    <w:rsid w:val="001B27B5"/>
    <w:rsid w:val="001B3654"/>
    <w:rsid w:val="001B3B1D"/>
    <w:rsid w:val="001B4CBF"/>
    <w:rsid w:val="001B5262"/>
    <w:rsid w:val="001B5A0E"/>
    <w:rsid w:val="001B5F2A"/>
    <w:rsid w:val="001B5FC0"/>
    <w:rsid w:val="001B6586"/>
    <w:rsid w:val="001B79D6"/>
    <w:rsid w:val="001B7B5B"/>
    <w:rsid w:val="001C0200"/>
    <w:rsid w:val="001C07DF"/>
    <w:rsid w:val="001C0A2A"/>
    <w:rsid w:val="001C15D0"/>
    <w:rsid w:val="001C1810"/>
    <w:rsid w:val="001C1CCF"/>
    <w:rsid w:val="001C2107"/>
    <w:rsid w:val="001C2977"/>
    <w:rsid w:val="001C2E14"/>
    <w:rsid w:val="001C2FB7"/>
    <w:rsid w:val="001C3614"/>
    <w:rsid w:val="001C4FC4"/>
    <w:rsid w:val="001C501C"/>
    <w:rsid w:val="001C56C1"/>
    <w:rsid w:val="001C60A2"/>
    <w:rsid w:val="001C6C98"/>
    <w:rsid w:val="001C6F19"/>
    <w:rsid w:val="001D015F"/>
    <w:rsid w:val="001D039A"/>
    <w:rsid w:val="001D0B0A"/>
    <w:rsid w:val="001D0B31"/>
    <w:rsid w:val="001D1958"/>
    <w:rsid w:val="001D222B"/>
    <w:rsid w:val="001D2267"/>
    <w:rsid w:val="001D260B"/>
    <w:rsid w:val="001D30EC"/>
    <w:rsid w:val="001D3506"/>
    <w:rsid w:val="001D5265"/>
    <w:rsid w:val="001D5520"/>
    <w:rsid w:val="001D58ED"/>
    <w:rsid w:val="001D5AF3"/>
    <w:rsid w:val="001D71BE"/>
    <w:rsid w:val="001D73EC"/>
    <w:rsid w:val="001D7430"/>
    <w:rsid w:val="001D7507"/>
    <w:rsid w:val="001D7ECF"/>
    <w:rsid w:val="001D7FE6"/>
    <w:rsid w:val="001E028A"/>
    <w:rsid w:val="001E092C"/>
    <w:rsid w:val="001E1266"/>
    <w:rsid w:val="001E171E"/>
    <w:rsid w:val="001E20B5"/>
    <w:rsid w:val="001E22CF"/>
    <w:rsid w:val="001E2533"/>
    <w:rsid w:val="001E25F4"/>
    <w:rsid w:val="001E26FE"/>
    <w:rsid w:val="001E42C9"/>
    <w:rsid w:val="001E54A6"/>
    <w:rsid w:val="001E56CF"/>
    <w:rsid w:val="001E5BEF"/>
    <w:rsid w:val="001E5E08"/>
    <w:rsid w:val="001E7E78"/>
    <w:rsid w:val="001F0BB2"/>
    <w:rsid w:val="001F2008"/>
    <w:rsid w:val="001F2BB7"/>
    <w:rsid w:val="001F2F3C"/>
    <w:rsid w:val="001F32A5"/>
    <w:rsid w:val="001F4705"/>
    <w:rsid w:val="001F4877"/>
    <w:rsid w:val="001F49D9"/>
    <w:rsid w:val="001F532A"/>
    <w:rsid w:val="001F5AD1"/>
    <w:rsid w:val="001F5D2F"/>
    <w:rsid w:val="001F6FDE"/>
    <w:rsid w:val="001F77AF"/>
    <w:rsid w:val="001F79DC"/>
    <w:rsid w:val="001F7D31"/>
    <w:rsid w:val="00202043"/>
    <w:rsid w:val="00202748"/>
    <w:rsid w:val="00202D52"/>
    <w:rsid w:val="00202E13"/>
    <w:rsid w:val="00203033"/>
    <w:rsid w:val="002030C4"/>
    <w:rsid w:val="0020357D"/>
    <w:rsid w:val="00203B2D"/>
    <w:rsid w:val="00203DB5"/>
    <w:rsid w:val="00204053"/>
    <w:rsid w:val="00204624"/>
    <w:rsid w:val="00204933"/>
    <w:rsid w:val="00204C12"/>
    <w:rsid w:val="00204E1B"/>
    <w:rsid w:val="00206DF1"/>
    <w:rsid w:val="002075B1"/>
    <w:rsid w:val="00207CE5"/>
    <w:rsid w:val="00207CEA"/>
    <w:rsid w:val="00210144"/>
    <w:rsid w:val="00210762"/>
    <w:rsid w:val="00210AD7"/>
    <w:rsid w:val="002113C2"/>
    <w:rsid w:val="00211C5C"/>
    <w:rsid w:val="00211DB9"/>
    <w:rsid w:val="002127E8"/>
    <w:rsid w:val="00213F2A"/>
    <w:rsid w:val="00213FED"/>
    <w:rsid w:val="00214451"/>
    <w:rsid w:val="0021476B"/>
    <w:rsid w:val="00214B4A"/>
    <w:rsid w:val="00215CE4"/>
    <w:rsid w:val="0021623B"/>
    <w:rsid w:val="002164AD"/>
    <w:rsid w:val="002201A4"/>
    <w:rsid w:val="00221928"/>
    <w:rsid w:val="00221E07"/>
    <w:rsid w:val="00221E96"/>
    <w:rsid w:val="00222099"/>
    <w:rsid w:val="002232F6"/>
    <w:rsid w:val="00223E5D"/>
    <w:rsid w:val="00225323"/>
    <w:rsid w:val="00225C55"/>
    <w:rsid w:val="00226D65"/>
    <w:rsid w:val="00227CEA"/>
    <w:rsid w:val="00227F9C"/>
    <w:rsid w:val="0023033F"/>
    <w:rsid w:val="002311D4"/>
    <w:rsid w:val="00231556"/>
    <w:rsid w:val="00231A00"/>
    <w:rsid w:val="00231C56"/>
    <w:rsid w:val="0023292C"/>
    <w:rsid w:val="00232A73"/>
    <w:rsid w:val="002349EB"/>
    <w:rsid w:val="00234F29"/>
    <w:rsid w:val="00235208"/>
    <w:rsid w:val="00235CA5"/>
    <w:rsid w:val="002362A1"/>
    <w:rsid w:val="0023663B"/>
    <w:rsid w:val="00236713"/>
    <w:rsid w:val="00236ECA"/>
    <w:rsid w:val="002379AB"/>
    <w:rsid w:val="00237FDF"/>
    <w:rsid w:val="002436CC"/>
    <w:rsid w:val="002438DB"/>
    <w:rsid w:val="00243A82"/>
    <w:rsid w:val="002442C9"/>
    <w:rsid w:val="00244AE2"/>
    <w:rsid w:val="00246040"/>
    <w:rsid w:val="0024607F"/>
    <w:rsid w:val="00246BEF"/>
    <w:rsid w:val="002470AC"/>
    <w:rsid w:val="00247182"/>
    <w:rsid w:val="00247261"/>
    <w:rsid w:val="0024745F"/>
    <w:rsid w:val="00247942"/>
    <w:rsid w:val="00247B94"/>
    <w:rsid w:val="00247DC3"/>
    <w:rsid w:val="00247E78"/>
    <w:rsid w:val="00251BE9"/>
    <w:rsid w:val="0025216F"/>
    <w:rsid w:val="0025227A"/>
    <w:rsid w:val="00254054"/>
    <w:rsid w:val="00254636"/>
    <w:rsid w:val="00254B9F"/>
    <w:rsid w:val="00256BC0"/>
    <w:rsid w:val="00257A3C"/>
    <w:rsid w:val="00257D58"/>
    <w:rsid w:val="00261A53"/>
    <w:rsid w:val="002620B4"/>
    <w:rsid w:val="0026249D"/>
    <w:rsid w:val="00263C3E"/>
    <w:rsid w:val="00264374"/>
    <w:rsid w:val="00264DD6"/>
    <w:rsid w:val="00265009"/>
    <w:rsid w:val="00265F4A"/>
    <w:rsid w:val="0026642A"/>
    <w:rsid w:val="0026647C"/>
    <w:rsid w:val="00267534"/>
    <w:rsid w:val="0026754D"/>
    <w:rsid w:val="0026779D"/>
    <w:rsid w:val="00267CDD"/>
    <w:rsid w:val="0027059C"/>
    <w:rsid w:val="00270BD5"/>
    <w:rsid w:val="00270BF2"/>
    <w:rsid w:val="00272385"/>
    <w:rsid w:val="002724E5"/>
    <w:rsid w:val="00272825"/>
    <w:rsid w:val="002728AF"/>
    <w:rsid w:val="00273711"/>
    <w:rsid w:val="00274B12"/>
    <w:rsid w:val="00274C65"/>
    <w:rsid w:val="002750FB"/>
    <w:rsid w:val="00275AFD"/>
    <w:rsid w:val="00275D08"/>
    <w:rsid w:val="00275D4E"/>
    <w:rsid w:val="002772E1"/>
    <w:rsid w:val="00277DBF"/>
    <w:rsid w:val="00280145"/>
    <w:rsid w:val="0028015B"/>
    <w:rsid w:val="002818D7"/>
    <w:rsid w:val="00282ABE"/>
    <w:rsid w:val="0028304B"/>
    <w:rsid w:val="002832C8"/>
    <w:rsid w:val="00284189"/>
    <w:rsid w:val="00284240"/>
    <w:rsid w:val="00284391"/>
    <w:rsid w:val="0028456F"/>
    <w:rsid w:val="00285C80"/>
    <w:rsid w:val="00285D9A"/>
    <w:rsid w:val="002872FD"/>
    <w:rsid w:val="002906F7"/>
    <w:rsid w:val="00290885"/>
    <w:rsid w:val="00290993"/>
    <w:rsid w:val="0029144F"/>
    <w:rsid w:val="0029157B"/>
    <w:rsid w:val="00291930"/>
    <w:rsid w:val="00291D01"/>
    <w:rsid w:val="00292664"/>
    <w:rsid w:val="00292B1B"/>
    <w:rsid w:val="00292B77"/>
    <w:rsid w:val="002932D5"/>
    <w:rsid w:val="00293BB0"/>
    <w:rsid w:val="00293C22"/>
    <w:rsid w:val="00293DE2"/>
    <w:rsid w:val="00294BB6"/>
    <w:rsid w:val="0029663B"/>
    <w:rsid w:val="00297792"/>
    <w:rsid w:val="00297A4C"/>
    <w:rsid w:val="002A049B"/>
    <w:rsid w:val="002A085C"/>
    <w:rsid w:val="002A24C8"/>
    <w:rsid w:val="002A2519"/>
    <w:rsid w:val="002A2C50"/>
    <w:rsid w:val="002A3184"/>
    <w:rsid w:val="002A341C"/>
    <w:rsid w:val="002A37D5"/>
    <w:rsid w:val="002A445C"/>
    <w:rsid w:val="002A5367"/>
    <w:rsid w:val="002A5FC6"/>
    <w:rsid w:val="002A6548"/>
    <w:rsid w:val="002A6D73"/>
    <w:rsid w:val="002A7789"/>
    <w:rsid w:val="002B0340"/>
    <w:rsid w:val="002B12A7"/>
    <w:rsid w:val="002B146F"/>
    <w:rsid w:val="002B33B3"/>
    <w:rsid w:val="002B33CB"/>
    <w:rsid w:val="002B42A5"/>
    <w:rsid w:val="002B4463"/>
    <w:rsid w:val="002B4791"/>
    <w:rsid w:val="002B4BF2"/>
    <w:rsid w:val="002B5ADC"/>
    <w:rsid w:val="002B5E8B"/>
    <w:rsid w:val="002B5FB1"/>
    <w:rsid w:val="002B5FF7"/>
    <w:rsid w:val="002B6245"/>
    <w:rsid w:val="002B69F6"/>
    <w:rsid w:val="002B6FE1"/>
    <w:rsid w:val="002B777A"/>
    <w:rsid w:val="002C13B5"/>
    <w:rsid w:val="002C1AF0"/>
    <w:rsid w:val="002C3CCB"/>
    <w:rsid w:val="002C4A23"/>
    <w:rsid w:val="002C4AB1"/>
    <w:rsid w:val="002C4C87"/>
    <w:rsid w:val="002C6507"/>
    <w:rsid w:val="002C714E"/>
    <w:rsid w:val="002C7270"/>
    <w:rsid w:val="002C7B6B"/>
    <w:rsid w:val="002D0705"/>
    <w:rsid w:val="002D0A5C"/>
    <w:rsid w:val="002D0D28"/>
    <w:rsid w:val="002D13D1"/>
    <w:rsid w:val="002D1E12"/>
    <w:rsid w:val="002D2833"/>
    <w:rsid w:val="002D2858"/>
    <w:rsid w:val="002D460C"/>
    <w:rsid w:val="002D4700"/>
    <w:rsid w:val="002D5239"/>
    <w:rsid w:val="002D52AA"/>
    <w:rsid w:val="002D5418"/>
    <w:rsid w:val="002D5E89"/>
    <w:rsid w:val="002D6007"/>
    <w:rsid w:val="002D6078"/>
    <w:rsid w:val="002D6279"/>
    <w:rsid w:val="002D6948"/>
    <w:rsid w:val="002E00CE"/>
    <w:rsid w:val="002E16E5"/>
    <w:rsid w:val="002E1F29"/>
    <w:rsid w:val="002E22D9"/>
    <w:rsid w:val="002E3EC2"/>
    <w:rsid w:val="002E3ECB"/>
    <w:rsid w:val="002E42DA"/>
    <w:rsid w:val="002E4C8F"/>
    <w:rsid w:val="002E4E35"/>
    <w:rsid w:val="002E51D9"/>
    <w:rsid w:val="002E6704"/>
    <w:rsid w:val="002E6B38"/>
    <w:rsid w:val="002E6B98"/>
    <w:rsid w:val="002F00A1"/>
    <w:rsid w:val="002F0CCD"/>
    <w:rsid w:val="002F1CE5"/>
    <w:rsid w:val="002F35CC"/>
    <w:rsid w:val="002F38F9"/>
    <w:rsid w:val="002F3A28"/>
    <w:rsid w:val="002F3E82"/>
    <w:rsid w:val="002F4CD2"/>
    <w:rsid w:val="002F4CDD"/>
    <w:rsid w:val="002F4FF5"/>
    <w:rsid w:val="002F75A3"/>
    <w:rsid w:val="00300AB4"/>
    <w:rsid w:val="003011A4"/>
    <w:rsid w:val="00301783"/>
    <w:rsid w:val="00301A3C"/>
    <w:rsid w:val="003021E2"/>
    <w:rsid w:val="00302F36"/>
    <w:rsid w:val="00304711"/>
    <w:rsid w:val="00304B71"/>
    <w:rsid w:val="00305A78"/>
    <w:rsid w:val="0030624F"/>
    <w:rsid w:val="0030651C"/>
    <w:rsid w:val="00307044"/>
    <w:rsid w:val="00307BA7"/>
    <w:rsid w:val="00307BC5"/>
    <w:rsid w:val="00311049"/>
    <w:rsid w:val="003110CD"/>
    <w:rsid w:val="00312AE5"/>
    <w:rsid w:val="00313E0F"/>
    <w:rsid w:val="00314526"/>
    <w:rsid w:val="0031534F"/>
    <w:rsid w:val="003162D3"/>
    <w:rsid w:val="0031795F"/>
    <w:rsid w:val="00320505"/>
    <w:rsid w:val="00320B1D"/>
    <w:rsid w:val="003215A8"/>
    <w:rsid w:val="003226FA"/>
    <w:rsid w:val="0032311E"/>
    <w:rsid w:val="003241CD"/>
    <w:rsid w:val="00325ADE"/>
    <w:rsid w:val="00325B26"/>
    <w:rsid w:val="00325CDB"/>
    <w:rsid w:val="00325D84"/>
    <w:rsid w:val="00325E9F"/>
    <w:rsid w:val="003263DC"/>
    <w:rsid w:val="003271DB"/>
    <w:rsid w:val="0033097E"/>
    <w:rsid w:val="003309A6"/>
    <w:rsid w:val="00330F44"/>
    <w:rsid w:val="00330F4F"/>
    <w:rsid w:val="0033148C"/>
    <w:rsid w:val="00331942"/>
    <w:rsid w:val="00331D17"/>
    <w:rsid w:val="00331F5A"/>
    <w:rsid w:val="00332032"/>
    <w:rsid w:val="00332838"/>
    <w:rsid w:val="00333CB4"/>
    <w:rsid w:val="00333D01"/>
    <w:rsid w:val="00333EA1"/>
    <w:rsid w:val="00333F38"/>
    <w:rsid w:val="0033485E"/>
    <w:rsid w:val="0033489D"/>
    <w:rsid w:val="00334F66"/>
    <w:rsid w:val="0033519F"/>
    <w:rsid w:val="0033559F"/>
    <w:rsid w:val="003361AD"/>
    <w:rsid w:val="003363E6"/>
    <w:rsid w:val="003365BB"/>
    <w:rsid w:val="0033662E"/>
    <w:rsid w:val="003366AE"/>
    <w:rsid w:val="00336ECB"/>
    <w:rsid w:val="00337B91"/>
    <w:rsid w:val="00337BED"/>
    <w:rsid w:val="00340455"/>
    <w:rsid w:val="00342442"/>
    <w:rsid w:val="00342A41"/>
    <w:rsid w:val="00342C02"/>
    <w:rsid w:val="00342F22"/>
    <w:rsid w:val="003433C2"/>
    <w:rsid w:val="00343C76"/>
    <w:rsid w:val="0034415A"/>
    <w:rsid w:val="00344328"/>
    <w:rsid w:val="00344BF0"/>
    <w:rsid w:val="003454B3"/>
    <w:rsid w:val="003460F5"/>
    <w:rsid w:val="00346CA0"/>
    <w:rsid w:val="00347778"/>
    <w:rsid w:val="003477CB"/>
    <w:rsid w:val="003505C2"/>
    <w:rsid w:val="003517A8"/>
    <w:rsid w:val="00351EEF"/>
    <w:rsid w:val="00351FA4"/>
    <w:rsid w:val="00352AA0"/>
    <w:rsid w:val="003533F2"/>
    <w:rsid w:val="00353889"/>
    <w:rsid w:val="00353A6C"/>
    <w:rsid w:val="0035414A"/>
    <w:rsid w:val="00354DC4"/>
    <w:rsid w:val="0035597E"/>
    <w:rsid w:val="00355F2A"/>
    <w:rsid w:val="0035609D"/>
    <w:rsid w:val="003561D0"/>
    <w:rsid w:val="0035621D"/>
    <w:rsid w:val="003569C0"/>
    <w:rsid w:val="00356B62"/>
    <w:rsid w:val="0035781D"/>
    <w:rsid w:val="00357B36"/>
    <w:rsid w:val="00357CB2"/>
    <w:rsid w:val="00357EA3"/>
    <w:rsid w:val="003600AA"/>
    <w:rsid w:val="00360451"/>
    <w:rsid w:val="003605D9"/>
    <w:rsid w:val="00360612"/>
    <w:rsid w:val="00360636"/>
    <w:rsid w:val="00360B39"/>
    <w:rsid w:val="00361B55"/>
    <w:rsid w:val="00361C98"/>
    <w:rsid w:val="00361F2B"/>
    <w:rsid w:val="00362347"/>
    <w:rsid w:val="00362764"/>
    <w:rsid w:val="00363E91"/>
    <w:rsid w:val="00364D68"/>
    <w:rsid w:val="00364FE8"/>
    <w:rsid w:val="003701CF"/>
    <w:rsid w:val="00370365"/>
    <w:rsid w:val="003704BA"/>
    <w:rsid w:val="003707C5"/>
    <w:rsid w:val="00370E6E"/>
    <w:rsid w:val="0037114D"/>
    <w:rsid w:val="003717BB"/>
    <w:rsid w:val="00372016"/>
    <w:rsid w:val="0037310B"/>
    <w:rsid w:val="00375933"/>
    <w:rsid w:val="00375BBA"/>
    <w:rsid w:val="003767EC"/>
    <w:rsid w:val="003770B1"/>
    <w:rsid w:val="003774CA"/>
    <w:rsid w:val="00377CA1"/>
    <w:rsid w:val="00380326"/>
    <w:rsid w:val="0038058D"/>
    <w:rsid w:val="00380D1C"/>
    <w:rsid w:val="0038270B"/>
    <w:rsid w:val="0038274C"/>
    <w:rsid w:val="00382F27"/>
    <w:rsid w:val="0038387B"/>
    <w:rsid w:val="003856D0"/>
    <w:rsid w:val="00385926"/>
    <w:rsid w:val="00385CBB"/>
    <w:rsid w:val="00385F78"/>
    <w:rsid w:val="003864AC"/>
    <w:rsid w:val="00386B68"/>
    <w:rsid w:val="00387006"/>
    <w:rsid w:val="00387735"/>
    <w:rsid w:val="00387A82"/>
    <w:rsid w:val="00387AEF"/>
    <w:rsid w:val="00387CD2"/>
    <w:rsid w:val="00387D38"/>
    <w:rsid w:val="00390882"/>
    <w:rsid w:val="00390E1D"/>
    <w:rsid w:val="00391287"/>
    <w:rsid w:val="003914EB"/>
    <w:rsid w:val="003915BE"/>
    <w:rsid w:val="00391F86"/>
    <w:rsid w:val="0039207C"/>
    <w:rsid w:val="0039269E"/>
    <w:rsid w:val="00392A82"/>
    <w:rsid w:val="00392F9C"/>
    <w:rsid w:val="0039348D"/>
    <w:rsid w:val="00393733"/>
    <w:rsid w:val="00393D09"/>
    <w:rsid w:val="00394554"/>
    <w:rsid w:val="00395443"/>
    <w:rsid w:val="00395B84"/>
    <w:rsid w:val="00396288"/>
    <w:rsid w:val="00396373"/>
    <w:rsid w:val="0039717C"/>
    <w:rsid w:val="003976A1"/>
    <w:rsid w:val="00397F5D"/>
    <w:rsid w:val="003A0BBF"/>
    <w:rsid w:val="003A0EAF"/>
    <w:rsid w:val="003A39AF"/>
    <w:rsid w:val="003A3D57"/>
    <w:rsid w:val="003A4273"/>
    <w:rsid w:val="003A43A0"/>
    <w:rsid w:val="003A461B"/>
    <w:rsid w:val="003A5E77"/>
    <w:rsid w:val="003A7190"/>
    <w:rsid w:val="003A7838"/>
    <w:rsid w:val="003B0D70"/>
    <w:rsid w:val="003B0F16"/>
    <w:rsid w:val="003B195C"/>
    <w:rsid w:val="003B19DE"/>
    <w:rsid w:val="003B241B"/>
    <w:rsid w:val="003B3AF7"/>
    <w:rsid w:val="003B3D03"/>
    <w:rsid w:val="003B3FFB"/>
    <w:rsid w:val="003B4A40"/>
    <w:rsid w:val="003B6634"/>
    <w:rsid w:val="003B6897"/>
    <w:rsid w:val="003B6C62"/>
    <w:rsid w:val="003B7743"/>
    <w:rsid w:val="003B7A7F"/>
    <w:rsid w:val="003B7C18"/>
    <w:rsid w:val="003C03F4"/>
    <w:rsid w:val="003C140C"/>
    <w:rsid w:val="003C1CBB"/>
    <w:rsid w:val="003C25A2"/>
    <w:rsid w:val="003C299B"/>
    <w:rsid w:val="003C3088"/>
    <w:rsid w:val="003C314A"/>
    <w:rsid w:val="003C3AB8"/>
    <w:rsid w:val="003C413C"/>
    <w:rsid w:val="003C54FF"/>
    <w:rsid w:val="003C551F"/>
    <w:rsid w:val="003C5763"/>
    <w:rsid w:val="003C5E1A"/>
    <w:rsid w:val="003C5FDF"/>
    <w:rsid w:val="003C717F"/>
    <w:rsid w:val="003C7C9E"/>
    <w:rsid w:val="003D02D2"/>
    <w:rsid w:val="003D06B8"/>
    <w:rsid w:val="003D0CEE"/>
    <w:rsid w:val="003D1193"/>
    <w:rsid w:val="003D140E"/>
    <w:rsid w:val="003D1FD9"/>
    <w:rsid w:val="003D211F"/>
    <w:rsid w:val="003D25C4"/>
    <w:rsid w:val="003D3F4D"/>
    <w:rsid w:val="003D4746"/>
    <w:rsid w:val="003D4B65"/>
    <w:rsid w:val="003D4F2C"/>
    <w:rsid w:val="003D5517"/>
    <w:rsid w:val="003D57B5"/>
    <w:rsid w:val="003D588B"/>
    <w:rsid w:val="003D5B30"/>
    <w:rsid w:val="003D73FD"/>
    <w:rsid w:val="003D748E"/>
    <w:rsid w:val="003D7584"/>
    <w:rsid w:val="003D7965"/>
    <w:rsid w:val="003E008A"/>
    <w:rsid w:val="003E020B"/>
    <w:rsid w:val="003E04BB"/>
    <w:rsid w:val="003E0737"/>
    <w:rsid w:val="003E0B91"/>
    <w:rsid w:val="003E0D7D"/>
    <w:rsid w:val="003E0EEE"/>
    <w:rsid w:val="003E1809"/>
    <w:rsid w:val="003E18E2"/>
    <w:rsid w:val="003E1BF7"/>
    <w:rsid w:val="003E2DD0"/>
    <w:rsid w:val="003E3944"/>
    <w:rsid w:val="003E3F7A"/>
    <w:rsid w:val="003E4182"/>
    <w:rsid w:val="003E424C"/>
    <w:rsid w:val="003E448F"/>
    <w:rsid w:val="003E52DE"/>
    <w:rsid w:val="003E581D"/>
    <w:rsid w:val="003E5BFD"/>
    <w:rsid w:val="003E722C"/>
    <w:rsid w:val="003E7506"/>
    <w:rsid w:val="003E7797"/>
    <w:rsid w:val="003F13B9"/>
    <w:rsid w:val="003F2016"/>
    <w:rsid w:val="003F248A"/>
    <w:rsid w:val="003F2BE3"/>
    <w:rsid w:val="003F3EF6"/>
    <w:rsid w:val="003F4E95"/>
    <w:rsid w:val="003F562D"/>
    <w:rsid w:val="003F5A9C"/>
    <w:rsid w:val="003F619F"/>
    <w:rsid w:val="003F7A75"/>
    <w:rsid w:val="003F7B05"/>
    <w:rsid w:val="003F7CB2"/>
    <w:rsid w:val="003F7FB2"/>
    <w:rsid w:val="00400320"/>
    <w:rsid w:val="00400B65"/>
    <w:rsid w:val="00401376"/>
    <w:rsid w:val="004013C5"/>
    <w:rsid w:val="00401DCB"/>
    <w:rsid w:val="0040200F"/>
    <w:rsid w:val="00402864"/>
    <w:rsid w:val="00402B7F"/>
    <w:rsid w:val="00402DF9"/>
    <w:rsid w:val="0040329E"/>
    <w:rsid w:val="00403E56"/>
    <w:rsid w:val="0040458F"/>
    <w:rsid w:val="0040494A"/>
    <w:rsid w:val="00404988"/>
    <w:rsid w:val="00405191"/>
    <w:rsid w:val="0040759A"/>
    <w:rsid w:val="004101A2"/>
    <w:rsid w:val="00410215"/>
    <w:rsid w:val="00410C3F"/>
    <w:rsid w:val="004124E8"/>
    <w:rsid w:val="004125C7"/>
    <w:rsid w:val="00412B5D"/>
    <w:rsid w:val="00412D30"/>
    <w:rsid w:val="00412FDF"/>
    <w:rsid w:val="004140FF"/>
    <w:rsid w:val="0041583D"/>
    <w:rsid w:val="0041686A"/>
    <w:rsid w:val="00416A77"/>
    <w:rsid w:val="00416AB7"/>
    <w:rsid w:val="00416BC2"/>
    <w:rsid w:val="00416E1D"/>
    <w:rsid w:val="004171F7"/>
    <w:rsid w:val="004203C2"/>
    <w:rsid w:val="004203F2"/>
    <w:rsid w:val="0042068B"/>
    <w:rsid w:val="00420C76"/>
    <w:rsid w:val="00420DF1"/>
    <w:rsid w:val="00421421"/>
    <w:rsid w:val="00421AB0"/>
    <w:rsid w:val="00422AAD"/>
    <w:rsid w:val="0042334F"/>
    <w:rsid w:val="00423413"/>
    <w:rsid w:val="0042350B"/>
    <w:rsid w:val="00423D34"/>
    <w:rsid w:val="004244D5"/>
    <w:rsid w:val="004252D6"/>
    <w:rsid w:val="00425418"/>
    <w:rsid w:val="004259FF"/>
    <w:rsid w:val="00425E0D"/>
    <w:rsid w:val="004261A0"/>
    <w:rsid w:val="004262F8"/>
    <w:rsid w:val="004269F8"/>
    <w:rsid w:val="00426CC0"/>
    <w:rsid w:val="00426EBD"/>
    <w:rsid w:val="0042710A"/>
    <w:rsid w:val="004278B9"/>
    <w:rsid w:val="0043031F"/>
    <w:rsid w:val="004316E3"/>
    <w:rsid w:val="004319B4"/>
    <w:rsid w:val="004334E3"/>
    <w:rsid w:val="0043354D"/>
    <w:rsid w:val="004347CC"/>
    <w:rsid w:val="004354BC"/>
    <w:rsid w:val="004356B9"/>
    <w:rsid w:val="00436811"/>
    <w:rsid w:val="00436843"/>
    <w:rsid w:val="00436ED7"/>
    <w:rsid w:val="00436F07"/>
    <w:rsid w:val="00437143"/>
    <w:rsid w:val="004377EE"/>
    <w:rsid w:val="00440104"/>
    <w:rsid w:val="00440951"/>
    <w:rsid w:val="004409DF"/>
    <w:rsid w:val="00440EC2"/>
    <w:rsid w:val="004411E8"/>
    <w:rsid w:val="004433E1"/>
    <w:rsid w:val="0044369A"/>
    <w:rsid w:val="004437F4"/>
    <w:rsid w:val="004443F8"/>
    <w:rsid w:val="00444ADB"/>
    <w:rsid w:val="00444FE8"/>
    <w:rsid w:val="004456F4"/>
    <w:rsid w:val="0044590A"/>
    <w:rsid w:val="00445A8A"/>
    <w:rsid w:val="00445D3A"/>
    <w:rsid w:val="00445F01"/>
    <w:rsid w:val="004478C7"/>
    <w:rsid w:val="00450851"/>
    <w:rsid w:val="00450BDE"/>
    <w:rsid w:val="0045100A"/>
    <w:rsid w:val="004516B8"/>
    <w:rsid w:val="00451C88"/>
    <w:rsid w:val="0045237E"/>
    <w:rsid w:val="0045308C"/>
    <w:rsid w:val="0045349F"/>
    <w:rsid w:val="00453705"/>
    <w:rsid w:val="00454483"/>
    <w:rsid w:val="004547DE"/>
    <w:rsid w:val="00454D8C"/>
    <w:rsid w:val="00454F4A"/>
    <w:rsid w:val="00455F83"/>
    <w:rsid w:val="00460020"/>
    <w:rsid w:val="0046003B"/>
    <w:rsid w:val="00461152"/>
    <w:rsid w:val="004623E3"/>
    <w:rsid w:val="004629FB"/>
    <w:rsid w:val="00462E66"/>
    <w:rsid w:val="004632B7"/>
    <w:rsid w:val="00463739"/>
    <w:rsid w:val="00463C24"/>
    <w:rsid w:val="00464351"/>
    <w:rsid w:val="004643A9"/>
    <w:rsid w:val="00465C32"/>
    <w:rsid w:val="00465D7E"/>
    <w:rsid w:val="00467A8A"/>
    <w:rsid w:val="00467B1C"/>
    <w:rsid w:val="00467B97"/>
    <w:rsid w:val="00467E6E"/>
    <w:rsid w:val="004702A2"/>
    <w:rsid w:val="00470F27"/>
    <w:rsid w:val="004729B3"/>
    <w:rsid w:val="004729FB"/>
    <w:rsid w:val="0047306E"/>
    <w:rsid w:val="004732F9"/>
    <w:rsid w:val="00474B50"/>
    <w:rsid w:val="0047528B"/>
    <w:rsid w:val="00475575"/>
    <w:rsid w:val="00476053"/>
    <w:rsid w:val="00476425"/>
    <w:rsid w:val="004765FC"/>
    <w:rsid w:val="00476884"/>
    <w:rsid w:val="00476D86"/>
    <w:rsid w:val="00477109"/>
    <w:rsid w:val="004777BF"/>
    <w:rsid w:val="00477E4C"/>
    <w:rsid w:val="004810A4"/>
    <w:rsid w:val="0048126F"/>
    <w:rsid w:val="00481A75"/>
    <w:rsid w:val="00482AD6"/>
    <w:rsid w:val="00482CA6"/>
    <w:rsid w:val="00483722"/>
    <w:rsid w:val="00483B58"/>
    <w:rsid w:val="00483FC0"/>
    <w:rsid w:val="0048410F"/>
    <w:rsid w:val="00484659"/>
    <w:rsid w:val="00484777"/>
    <w:rsid w:val="00485761"/>
    <w:rsid w:val="0048668D"/>
    <w:rsid w:val="004869FB"/>
    <w:rsid w:val="0048751A"/>
    <w:rsid w:val="004876B5"/>
    <w:rsid w:val="00490D54"/>
    <w:rsid w:val="00491B04"/>
    <w:rsid w:val="00491DB3"/>
    <w:rsid w:val="00492CDC"/>
    <w:rsid w:val="00492FCF"/>
    <w:rsid w:val="00493948"/>
    <w:rsid w:val="004941AF"/>
    <w:rsid w:val="004942A8"/>
    <w:rsid w:val="00494486"/>
    <w:rsid w:val="0049496A"/>
    <w:rsid w:val="00494E15"/>
    <w:rsid w:val="00495CA1"/>
    <w:rsid w:val="004961E6"/>
    <w:rsid w:val="004965BB"/>
    <w:rsid w:val="00496C52"/>
    <w:rsid w:val="00497956"/>
    <w:rsid w:val="004A0AB1"/>
    <w:rsid w:val="004A1343"/>
    <w:rsid w:val="004A222F"/>
    <w:rsid w:val="004A238E"/>
    <w:rsid w:val="004A3649"/>
    <w:rsid w:val="004A37EF"/>
    <w:rsid w:val="004A4023"/>
    <w:rsid w:val="004A451E"/>
    <w:rsid w:val="004A4991"/>
    <w:rsid w:val="004A55C9"/>
    <w:rsid w:val="004A59A2"/>
    <w:rsid w:val="004A759B"/>
    <w:rsid w:val="004A79A0"/>
    <w:rsid w:val="004B01F5"/>
    <w:rsid w:val="004B07D0"/>
    <w:rsid w:val="004B08CE"/>
    <w:rsid w:val="004B0925"/>
    <w:rsid w:val="004B0C0C"/>
    <w:rsid w:val="004B19BC"/>
    <w:rsid w:val="004B23CC"/>
    <w:rsid w:val="004B254F"/>
    <w:rsid w:val="004B2B7C"/>
    <w:rsid w:val="004B364D"/>
    <w:rsid w:val="004B389A"/>
    <w:rsid w:val="004B40B5"/>
    <w:rsid w:val="004B40C3"/>
    <w:rsid w:val="004B4994"/>
    <w:rsid w:val="004B5FA9"/>
    <w:rsid w:val="004B6279"/>
    <w:rsid w:val="004B659F"/>
    <w:rsid w:val="004B6DD0"/>
    <w:rsid w:val="004B7872"/>
    <w:rsid w:val="004B7891"/>
    <w:rsid w:val="004B79DB"/>
    <w:rsid w:val="004B7BC4"/>
    <w:rsid w:val="004C0502"/>
    <w:rsid w:val="004C0D33"/>
    <w:rsid w:val="004C14BB"/>
    <w:rsid w:val="004C1F3A"/>
    <w:rsid w:val="004C269C"/>
    <w:rsid w:val="004C3BA2"/>
    <w:rsid w:val="004C3BD1"/>
    <w:rsid w:val="004C3C6A"/>
    <w:rsid w:val="004C3CE2"/>
    <w:rsid w:val="004C4329"/>
    <w:rsid w:val="004C4994"/>
    <w:rsid w:val="004C5594"/>
    <w:rsid w:val="004C5A33"/>
    <w:rsid w:val="004C5CB5"/>
    <w:rsid w:val="004C68AD"/>
    <w:rsid w:val="004C6B3F"/>
    <w:rsid w:val="004D0851"/>
    <w:rsid w:val="004D0E2A"/>
    <w:rsid w:val="004D121E"/>
    <w:rsid w:val="004D123B"/>
    <w:rsid w:val="004D149B"/>
    <w:rsid w:val="004D1B61"/>
    <w:rsid w:val="004D2F80"/>
    <w:rsid w:val="004D317B"/>
    <w:rsid w:val="004D317D"/>
    <w:rsid w:val="004D33A2"/>
    <w:rsid w:val="004D3543"/>
    <w:rsid w:val="004D38F3"/>
    <w:rsid w:val="004D4504"/>
    <w:rsid w:val="004D52B4"/>
    <w:rsid w:val="004D612D"/>
    <w:rsid w:val="004D626F"/>
    <w:rsid w:val="004D6C6B"/>
    <w:rsid w:val="004D7F83"/>
    <w:rsid w:val="004E0319"/>
    <w:rsid w:val="004E06FD"/>
    <w:rsid w:val="004E176E"/>
    <w:rsid w:val="004E17C7"/>
    <w:rsid w:val="004E23F6"/>
    <w:rsid w:val="004E2C1C"/>
    <w:rsid w:val="004E2D2F"/>
    <w:rsid w:val="004E3183"/>
    <w:rsid w:val="004E34AC"/>
    <w:rsid w:val="004E3BCF"/>
    <w:rsid w:val="004E3EAB"/>
    <w:rsid w:val="004E5197"/>
    <w:rsid w:val="004E6784"/>
    <w:rsid w:val="004E696B"/>
    <w:rsid w:val="004E6A8F"/>
    <w:rsid w:val="004E6D3E"/>
    <w:rsid w:val="004E72CE"/>
    <w:rsid w:val="004E7398"/>
    <w:rsid w:val="004E76B8"/>
    <w:rsid w:val="004E7BAD"/>
    <w:rsid w:val="004E7C87"/>
    <w:rsid w:val="004F001B"/>
    <w:rsid w:val="004F005D"/>
    <w:rsid w:val="004F02B0"/>
    <w:rsid w:val="004F0507"/>
    <w:rsid w:val="004F2339"/>
    <w:rsid w:val="004F3399"/>
    <w:rsid w:val="004F3A47"/>
    <w:rsid w:val="004F4253"/>
    <w:rsid w:val="004F4A37"/>
    <w:rsid w:val="004F4DF6"/>
    <w:rsid w:val="004F52FC"/>
    <w:rsid w:val="004F5B1C"/>
    <w:rsid w:val="004F5B70"/>
    <w:rsid w:val="004F6117"/>
    <w:rsid w:val="004F6C45"/>
    <w:rsid w:val="004F6FF0"/>
    <w:rsid w:val="004F718E"/>
    <w:rsid w:val="004F7A37"/>
    <w:rsid w:val="005001B1"/>
    <w:rsid w:val="0050084B"/>
    <w:rsid w:val="00500D62"/>
    <w:rsid w:val="00501248"/>
    <w:rsid w:val="005028B6"/>
    <w:rsid w:val="00503CAD"/>
    <w:rsid w:val="00504319"/>
    <w:rsid w:val="00505C20"/>
    <w:rsid w:val="005069A2"/>
    <w:rsid w:val="00506E61"/>
    <w:rsid w:val="00507457"/>
    <w:rsid w:val="00507CAD"/>
    <w:rsid w:val="00507CD4"/>
    <w:rsid w:val="00507E2E"/>
    <w:rsid w:val="005106DF"/>
    <w:rsid w:val="005109E9"/>
    <w:rsid w:val="00511272"/>
    <w:rsid w:val="00512838"/>
    <w:rsid w:val="00513D6A"/>
    <w:rsid w:val="00515754"/>
    <w:rsid w:val="00515973"/>
    <w:rsid w:val="00515D7D"/>
    <w:rsid w:val="00515DE3"/>
    <w:rsid w:val="00515E6C"/>
    <w:rsid w:val="00516537"/>
    <w:rsid w:val="0051676F"/>
    <w:rsid w:val="00520238"/>
    <w:rsid w:val="005203A9"/>
    <w:rsid w:val="00521764"/>
    <w:rsid w:val="00521A84"/>
    <w:rsid w:val="00521B95"/>
    <w:rsid w:val="00521C02"/>
    <w:rsid w:val="00521F0B"/>
    <w:rsid w:val="0052213D"/>
    <w:rsid w:val="0052239D"/>
    <w:rsid w:val="0052277F"/>
    <w:rsid w:val="00523BC6"/>
    <w:rsid w:val="00523FC3"/>
    <w:rsid w:val="0052417D"/>
    <w:rsid w:val="00524F7F"/>
    <w:rsid w:val="00525205"/>
    <w:rsid w:val="0052552A"/>
    <w:rsid w:val="0052585E"/>
    <w:rsid w:val="00526F35"/>
    <w:rsid w:val="00530056"/>
    <w:rsid w:val="00531C94"/>
    <w:rsid w:val="005323C6"/>
    <w:rsid w:val="00533958"/>
    <w:rsid w:val="00533CD3"/>
    <w:rsid w:val="00534B3E"/>
    <w:rsid w:val="0053650E"/>
    <w:rsid w:val="00536DA4"/>
    <w:rsid w:val="00537C63"/>
    <w:rsid w:val="00537CE6"/>
    <w:rsid w:val="0054053B"/>
    <w:rsid w:val="0054138E"/>
    <w:rsid w:val="0054177A"/>
    <w:rsid w:val="00541958"/>
    <w:rsid w:val="00542EEF"/>
    <w:rsid w:val="00543C17"/>
    <w:rsid w:val="0054431F"/>
    <w:rsid w:val="00544510"/>
    <w:rsid w:val="00544597"/>
    <w:rsid w:val="00544666"/>
    <w:rsid w:val="0054486B"/>
    <w:rsid w:val="00545E35"/>
    <w:rsid w:val="005465BB"/>
    <w:rsid w:val="0054690A"/>
    <w:rsid w:val="00546C39"/>
    <w:rsid w:val="00546D67"/>
    <w:rsid w:val="0054728A"/>
    <w:rsid w:val="00547B84"/>
    <w:rsid w:val="00547F98"/>
    <w:rsid w:val="00547FC5"/>
    <w:rsid w:val="00550630"/>
    <w:rsid w:val="005508BB"/>
    <w:rsid w:val="00550ADF"/>
    <w:rsid w:val="00550D90"/>
    <w:rsid w:val="0055100D"/>
    <w:rsid w:val="005510FD"/>
    <w:rsid w:val="00551CA0"/>
    <w:rsid w:val="00552132"/>
    <w:rsid w:val="00553086"/>
    <w:rsid w:val="00553697"/>
    <w:rsid w:val="0055394C"/>
    <w:rsid w:val="00554874"/>
    <w:rsid w:val="00554A22"/>
    <w:rsid w:val="00554A3A"/>
    <w:rsid w:val="00555E82"/>
    <w:rsid w:val="005570FB"/>
    <w:rsid w:val="005571AB"/>
    <w:rsid w:val="0056002E"/>
    <w:rsid w:val="00560109"/>
    <w:rsid w:val="00561FFC"/>
    <w:rsid w:val="0056235B"/>
    <w:rsid w:val="005626D5"/>
    <w:rsid w:val="0056274E"/>
    <w:rsid w:val="00562E1E"/>
    <w:rsid w:val="005638F3"/>
    <w:rsid w:val="00563BA6"/>
    <w:rsid w:val="005641ED"/>
    <w:rsid w:val="00564285"/>
    <w:rsid w:val="005645E9"/>
    <w:rsid w:val="0056466D"/>
    <w:rsid w:val="005647DF"/>
    <w:rsid w:val="00566BB9"/>
    <w:rsid w:val="00567DBF"/>
    <w:rsid w:val="00567FA0"/>
    <w:rsid w:val="00570DCD"/>
    <w:rsid w:val="005714B5"/>
    <w:rsid w:val="005726B0"/>
    <w:rsid w:val="005735B0"/>
    <w:rsid w:val="005735BC"/>
    <w:rsid w:val="00573D35"/>
    <w:rsid w:val="005745FD"/>
    <w:rsid w:val="00574759"/>
    <w:rsid w:val="00574A18"/>
    <w:rsid w:val="00575598"/>
    <w:rsid w:val="00575608"/>
    <w:rsid w:val="00575BAD"/>
    <w:rsid w:val="00575BF7"/>
    <w:rsid w:val="00575F56"/>
    <w:rsid w:val="005764BA"/>
    <w:rsid w:val="00577586"/>
    <w:rsid w:val="0057787E"/>
    <w:rsid w:val="005778A1"/>
    <w:rsid w:val="00577DBF"/>
    <w:rsid w:val="00580175"/>
    <w:rsid w:val="00580526"/>
    <w:rsid w:val="00580CFD"/>
    <w:rsid w:val="0058106E"/>
    <w:rsid w:val="005811D1"/>
    <w:rsid w:val="00583A7F"/>
    <w:rsid w:val="0058410C"/>
    <w:rsid w:val="00584B0D"/>
    <w:rsid w:val="00585162"/>
    <w:rsid w:val="005853E3"/>
    <w:rsid w:val="00586A12"/>
    <w:rsid w:val="00587350"/>
    <w:rsid w:val="005873DB"/>
    <w:rsid w:val="005875A4"/>
    <w:rsid w:val="00587DA3"/>
    <w:rsid w:val="00587FF3"/>
    <w:rsid w:val="00590317"/>
    <w:rsid w:val="005919E8"/>
    <w:rsid w:val="00591A74"/>
    <w:rsid w:val="00591B77"/>
    <w:rsid w:val="00592D4C"/>
    <w:rsid w:val="00593123"/>
    <w:rsid w:val="005940DD"/>
    <w:rsid w:val="00594300"/>
    <w:rsid w:val="005947B3"/>
    <w:rsid w:val="00594D23"/>
    <w:rsid w:val="00594E37"/>
    <w:rsid w:val="00594FDF"/>
    <w:rsid w:val="00595259"/>
    <w:rsid w:val="00596F3C"/>
    <w:rsid w:val="00597E42"/>
    <w:rsid w:val="00597F36"/>
    <w:rsid w:val="00597F90"/>
    <w:rsid w:val="005A0140"/>
    <w:rsid w:val="005A0921"/>
    <w:rsid w:val="005A0BF1"/>
    <w:rsid w:val="005A10DE"/>
    <w:rsid w:val="005A139D"/>
    <w:rsid w:val="005A1763"/>
    <w:rsid w:val="005A22A7"/>
    <w:rsid w:val="005A2507"/>
    <w:rsid w:val="005A3384"/>
    <w:rsid w:val="005A36C4"/>
    <w:rsid w:val="005A3D0A"/>
    <w:rsid w:val="005A3EF1"/>
    <w:rsid w:val="005A57A7"/>
    <w:rsid w:val="005A5BDC"/>
    <w:rsid w:val="005A6C88"/>
    <w:rsid w:val="005A70F2"/>
    <w:rsid w:val="005A76C8"/>
    <w:rsid w:val="005A7CBC"/>
    <w:rsid w:val="005A7FD6"/>
    <w:rsid w:val="005B0DCF"/>
    <w:rsid w:val="005B1B07"/>
    <w:rsid w:val="005B2892"/>
    <w:rsid w:val="005B28C8"/>
    <w:rsid w:val="005B2A16"/>
    <w:rsid w:val="005B40D2"/>
    <w:rsid w:val="005B492B"/>
    <w:rsid w:val="005B4C8F"/>
    <w:rsid w:val="005B56E2"/>
    <w:rsid w:val="005B5EEB"/>
    <w:rsid w:val="005B5F53"/>
    <w:rsid w:val="005B7066"/>
    <w:rsid w:val="005B7233"/>
    <w:rsid w:val="005B7E3E"/>
    <w:rsid w:val="005C0007"/>
    <w:rsid w:val="005C0094"/>
    <w:rsid w:val="005C0D9B"/>
    <w:rsid w:val="005C115E"/>
    <w:rsid w:val="005C12FA"/>
    <w:rsid w:val="005C131D"/>
    <w:rsid w:val="005C1343"/>
    <w:rsid w:val="005C1BCD"/>
    <w:rsid w:val="005C27CF"/>
    <w:rsid w:val="005C2E68"/>
    <w:rsid w:val="005C3027"/>
    <w:rsid w:val="005C3671"/>
    <w:rsid w:val="005C3A34"/>
    <w:rsid w:val="005C3D18"/>
    <w:rsid w:val="005C4213"/>
    <w:rsid w:val="005C4333"/>
    <w:rsid w:val="005C4424"/>
    <w:rsid w:val="005C4D5B"/>
    <w:rsid w:val="005C5A8D"/>
    <w:rsid w:val="005C5F44"/>
    <w:rsid w:val="005C69E9"/>
    <w:rsid w:val="005C6E66"/>
    <w:rsid w:val="005C7151"/>
    <w:rsid w:val="005C726B"/>
    <w:rsid w:val="005C780F"/>
    <w:rsid w:val="005D0540"/>
    <w:rsid w:val="005D09C8"/>
    <w:rsid w:val="005D1AAE"/>
    <w:rsid w:val="005D2295"/>
    <w:rsid w:val="005D27CC"/>
    <w:rsid w:val="005D2E88"/>
    <w:rsid w:val="005D4AC9"/>
    <w:rsid w:val="005D4D13"/>
    <w:rsid w:val="005D4FA2"/>
    <w:rsid w:val="005D54AF"/>
    <w:rsid w:val="005D565A"/>
    <w:rsid w:val="005D5782"/>
    <w:rsid w:val="005D5A6E"/>
    <w:rsid w:val="005D5F75"/>
    <w:rsid w:val="005D6605"/>
    <w:rsid w:val="005D70C6"/>
    <w:rsid w:val="005D71A5"/>
    <w:rsid w:val="005E0BF7"/>
    <w:rsid w:val="005E1170"/>
    <w:rsid w:val="005E1F9B"/>
    <w:rsid w:val="005E1FDA"/>
    <w:rsid w:val="005E36E0"/>
    <w:rsid w:val="005E36ED"/>
    <w:rsid w:val="005E39F2"/>
    <w:rsid w:val="005E3A82"/>
    <w:rsid w:val="005E3C31"/>
    <w:rsid w:val="005E3DF9"/>
    <w:rsid w:val="005E400A"/>
    <w:rsid w:val="005E40AF"/>
    <w:rsid w:val="005E412F"/>
    <w:rsid w:val="005E42D7"/>
    <w:rsid w:val="005E5D3A"/>
    <w:rsid w:val="005F0CDA"/>
    <w:rsid w:val="005F0D17"/>
    <w:rsid w:val="005F16FD"/>
    <w:rsid w:val="005F2630"/>
    <w:rsid w:val="005F2BE7"/>
    <w:rsid w:val="005F312B"/>
    <w:rsid w:val="005F3B31"/>
    <w:rsid w:val="005F4310"/>
    <w:rsid w:val="005F58F8"/>
    <w:rsid w:val="005F5E84"/>
    <w:rsid w:val="005F733A"/>
    <w:rsid w:val="005F7822"/>
    <w:rsid w:val="005F7B85"/>
    <w:rsid w:val="005F7CDB"/>
    <w:rsid w:val="00600710"/>
    <w:rsid w:val="006007E6"/>
    <w:rsid w:val="0060110A"/>
    <w:rsid w:val="0060114C"/>
    <w:rsid w:val="00601BAB"/>
    <w:rsid w:val="0060205D"/>
    <w:rsid w:val="0060274D"/>
    <w:rsid w:val="0060341A"/>
    <w:rsid w:val="0060358A"/>
    <w:rsid w:val="006038FB"/>
    <w:rsid w:val="00603E6E"/>
    <w:rsid w:val="00604354"/>
    <w:rsid w:val="006043AE"/>
    <w:rsid w:val="00604753"/>
    <w:rsid w:val="00605038"/>
    <w:rsid w:val="006050D2"/>
    <w:rsid w:val="00605353"/>
    <w:rsid w:val="00605676"/>
    <w:rsid w:val="006059F7"/>
    <w:rsid w:val="00606254"/>
    <w:rsid w:val="00606FA6"/>
    <w:rsid w:val="006070F1"/>
    <w:rsid w:val="006074D9"/>
    <w:rsid w:val="006079FF"/>
    <w:rsid w:val="00610912"/>
    <w:rsid w:val="00610F11"/>
    <w:rsid w:val="00611043"/>
    <w:rsid w:val="0061162D"/>
    <w:rsid w:val="0061164C"/>
    <w:rsid w:val="006128B4"/>
    <w:rsid w:val="00613811"/>
    <w:rsid w:val="00613CD8"/>
    <w:rsid w:val="00614097"/>
    <w:rsid w:val="00614242"/>
    <w:rsid w:val="006143EF"/>
    <w:rsid w:val="00614957"/>
    <w:rsid w:val="00615EB9"/>
    <w:rsid w:val="006161C8"/>
    <w:rsid w:val="00617246"/>
    <w:rsid w:val="0061763F"/>
    <w:rsid w:val="00617D8B"/>
    <w:rsid w:val="00620180"/>
    <w:rsid w:val="006205F3"/>
    <w:rsid w:val="00620679"/>
    <w:rsid w:val="006207B3"/>
    <w:rsid w:val="00620B00"/>
    <w:rsid w:val="00620E6F"/>
    <w:rsid w:val="00621389"/>
    <w:rsid w:val="00621965"/>
    <w:rsid w:val="00621AE0"/>
    <w:rsid w:val="0062232A"/>
    <w:rsid w:val="00622E8C"/>
    <w:rsid w:val="00623261"/>
    <w:rsid w:val="006250B2"/>
    <w:rsid w:val="00626E8E"/>
    <w:rsid w:val="00626FA2"/>
    <w:rsid w:val="006274B5"/>
    <w:rsid w:val="006303AC"/>
    <w:rsid w:val="00631526"/>
    <w:rsid w:val="006332D7"/>
    <w:rsid w:val="00633352"/>
    <w:rsid w:val="00633607"/>
    <w:rsid w:val="0063471A"/>
    <w:rsid w:val="006358C4"/>
    <w:rsid w:val="0063606C"/>
    <w:rsid w:val="006360AA"/>
    <w:rsid w:val="00636190"/>
    <w:rsid w:val="006372E8"/>
    <w:rsid w:val="00637605"/>
    <w:rsid w:val="00637ACA"/>
    <w:rsid w:val="00637C06"/>
    <w:rsid w:val="0064043F"/>
    <w:rsid w:val="00640A89"/>
    <w:rsid w:val="00640F48"/>
    <w:rsid w:val="00641FA4"/>
    <w:rsid w:val="00642A82"/>
    <w:rsid w:val="006439A7"/>
    <w:rsid w:val="00643F0D"/>
    <w:rsid w:val="0064532A"/>
    <w:rsid w:val="00645640"/>
    <w:rsid w:val="0064632D"/>
    <w:rsid w:val="00647642"/>
    <w:rsid w:val="0064769E"/>
    <w:rsid w:val="006509EE"/>
    <w:rsid w:val="0065141F"/>
    <w:rsid w:val="006515A9"/>
    <w:rsid w:val="00651E25"/>
    <w:rsid w:val="006525AB"/>
    <w:rsid w:val="0065291E"/>
    <w:rsid w:val="00654A52"/>
    <w:rsid w:val="00654C2B"/>
    <w:rsid w:val="00654E4D"/>
    <w:rsid w:val="00655F78"/>
    <w:rsid w:val="00656FEE"/>
    <w:rsid w:val="0065781C"/>
    <w:rsid w:val="00657E44"/>
    <w:rsid w:val="00660157"/>
    <w:rsid w:val="00662280"/>
    <w:rsid w:val="00663A2A"/>
    <w:rsid w:val="006652B7"/>
    <w:rsid w:val="006656F7"/>
    <w:rsid w:val="006658F9"/>
    <w:rsid w:val="00665AA8"/>
    <w:rsid w:val="00665D36"/>
    <w:rsid w:val="00666A2D"/>
    <w:rsid w:val="00666BD4"/>
    <w:rsid w:val="00667BBA"/>
    <w:rsid w:val="00670162"/>
    <w:rsid w:val="0067062E"/>
    <w:rsid w:val="006713D6"/>
    <w:rsid w:val="0067147E"/>
    <w:rsid w:val="006719FD"/>
    <w:rsid w:val="00671F6B"/>
    <w:rsid w:val="00672AD5"/>
    <w:rsid w:val="00672CEA"/>
    <w:rsid w:val="00672E5B"/>
    <w:rsid w:val="006732CE"/>
    <w:rsid w:val="0067397B"/>
    <w:rsid w:val="0067413C"/>
    <w:rsid w:val="0067484B"/>
    <w:rsid w:val="00674BC4"/>
    <w:rsid w:val="006759DD"/>
    <w:rsid w:val="00675A95"/>
    <w:rsid w:val="006761FA"/>
    <w:rsid w:val="00676689"/>
    <w:rsid w:val="00676AD2"/>
    <w:rsid w:val="00677FAF"/>
    <w:rsid w:val="006801C5"/>
    <w:rsid w:val="00680411"/>
    <w:rsid w:val="0068043A"/>
    <w:rsid w:val="0068061A"/>
    <w:rsid w:val="00680797"/>
    <w:rsid w:val="00680988"/>
    <w:rsid w:val="00680A90"/>
    <w:rsid w:val="006822F1"/>
    <w:rsid w:val="006824CC"/>
    <w:rsid w:val="0068293F"/>
    <w:rsid w:val="0068430C"/>
    <w:rsid w:val="00684A94"/>
    <w:rsid w:val="00684F3D"/>
    <w:rsid w:val="0068526C"/>
    <w:rsid w:val="0068531B"/>
    <w:rsid w:val="00685B3F"/>
    <w:rsid w:val="00685FD6"/>
    <w:rsid w:val="00687941"/>
    <w:rsid w:val="00687AE0"/>
    <w:rsid w:val="00687C0B"/>
    <w:rsid w:val="00687C83"/>
    <w:rsid w:val="00687DEB"/>
    <w:rsid w:val="00690481"/>
    <w:rsid w:val="006916BF"/>
    <w:rsid w:val="00691857"/>
    <w:rsid w:val="006921FF"/>
    <w:rsid w:val="0069233C"/>
    <w:rsid w:val="00692A8F"/>
    <w:rsid w:val="0069312C"/>
    <w:rsid w:val="0069364E"/>
    <w:rsid w:val="00693E5D"/>
    <w:rsid w:val="00694EE9"/>
    <w:rsid w:val="00695381"/>
    <w:rsid w:val="006957C2"/>
    <w:rsid w:val="00695F18"/>
    <w:rsid w:val="00696BC9"/>
    <w:rsid w:val="006975EC"/>
    <w:rsid w:val="006A02E5"/>
    <w:rsid w:val="006A0F10"/>
    <w:rsid w:val="006A1B49"/>
    <w:rsid w:val="006A2BE6"/>
    <w:rsid w:val="006A372F"/>
    <w:rsid w:val="006A44F8"/>
    <w:rsid w:val="006A4663"/>
    <w:rsid w:val="006A4C95"/>
    <w:rsid w:val="006A51C4"/>
    <w:rsid w:val="006A527C"/>
    <w:rsid w:val="006A718C"/>
    <w:rsid w:val="006B04F0"/>
    <w:rsid w:val="006B0C06"/>
    <w:rsid w:val="006B11DA"/>
    <w:rsid w:val="006B19A2"/>
    <w:rsid w:val="006B19C8"/>
    <w:rsid w:val="006B1ADA"/>
    <w:rsid w:val="006B20EC"/>
    <w:rsid w:val="006B2503"/>
    <w:rsid w:val="006B3151"/>
    <w:rsid w:val="006B369D"/>
    <w:rsid w:val="006B4077"/>
    <w:rsid w:val="006B41B9"/>
    <w:rsid w:val="006B41C6"/>
    <w:rsid w:val="006B41EA"/>
    <w:rsid w:val="006B47BF"/>
    <w:rsid w:val="006B4F7B"/>
    <w:rsid w:val="006B591B"/>
    <w:rsid w:val="006B5C5C"/>
    <w:rsid w:val="006B7CC8"/>
    <w:rsid w:val="006C047F"/>
    <w:rsid w:val="006C1598"/>
    <w:rsid w:val="006C1C54"/>
    <w:rsid w:val="006C1EB0"/>
    <w:rsid w:val="006C2FD6"/>
    <w:rsid w:val="006C36AA"/>
    <w:rsid w:val="006C3FDB"/>
    <w:rsid w:val="006C575B"/>
    <w:rsid w:val="006C595B"/>
    <w:rsid w:val="006C6458"/>
    <w:rsid w:val="006C6574"/>
    <w:rsid w:val="006C758E"/>
    <w:rsid w:val="006C7CDB"/>
    <w:rsid w:val="006D09CB"/>
    <w:rsid w:val="006D1046"/>
    <w:rsid w:val="006D108B"/>
    <w:rsid w:val="006D11F2"/>
    <w:rsid w:val="006D124A"/>
    <w:rsid w:val="006D1511"/>
    <w:rsid w:val="006D1FCC"/>
    <w:rsid w:val="006D2E20"/>
    <w:rsid w:val="006D2F61"/>
    <w:rsid w:val="006D3294"/>
    <w:rsid w:val="006D3479"/>
    <w:rsid w:val="006D38F3"/>
    <w:rsid w:val="006D4060"/>
    <w:rsid w:val="006D43F7"/>
    <w:rsid w:val="006D467A"/>
    <w:rsid w:val="006D47E0"/>
    <w:rsid w:val="006D4812"/>
    <w:rsid w:val="006D6143"/>
    <w:rsid w:val="006D6250"/>
    <w:rsid w:val="006D6536"/>
    <w:rsid w:val="006D6DCC"/>
    <w:rsid w:val="006D7369"/>
    <w:rsid w:val="006D7853"/>
    <w:rsid w:val="006D7CAF"/>
    <w:rsid w:val="006E0428"/>
    <w:rsid w:val="006E06D2"/>
    <w:rsid w:val="006E0D4E"/>
    <w:rsid w:val="006E11F5"/>
    <w:rsid w:val="006E1545"/>
    <w:rsid w:val="006E271F"/>
    <w:rsid w:val="006E2764"/>
    <w:rsid w:val="006E30ED"/>
    <w:rsid w:val="006E3200"/>
    <w:rsid w:val="006E35AC"/>
    <w:rsid w:val="006E4254"/>
    <w:rsid w:val="006E520D"/>
    <w:rsid w:val="006F00A0"/>
    <w:rsid w:val="006F0D09"/>
    <w:rsid w:val="006F0E5C"/>
    <w:rsid w:val="006F1928"/>
    <w:rsid w:val="006F2291"/>
    <w:rsid w:val="006F2941"/>
    <w:rsid w:val="006F2F8F"/>
    <w:rsid w:val="006F34B8"/>
    <w:rsid w:val="006F3904"/>
    <w:rsid w:val="006F3B00"/>
    <w:rsid w:val="006F3EC4"/>
    <w:rsid w:val="006F42B1"/>
    <w:rsid w:val="006F64D7"/>
    <w:rsid w:val="006F6F8A"/>
    <w:rsid w:val="006F748B"/>
    <w:rsid w:val="006F7CB2"/>
    <w:rsid w:val="00700C24"/>
    <w:rsid w:val="00702390"/>
    <w:rsid w:val="00702E1E"/>
    <w:rsid w:val="0070527B"/>
    <w:rsid w:val="00706871"/>
    <w:rsid w:val="0070737B"/>
    <w:rsid w:val="00707673"/>
    <w:rsid w:val="00707F43"/>
    <w:rsid w:val="00711A00"/>
    <w:rsid w:val="0071267F"/>
    <w:rsid w:val="007135E0"/>
    <w:rsid w:val="00713D11"/>
    <w:rsid w:val="00713ED8"/>
    <w:rsid w:val="00713F8A"/>
    <w:rsid w:val="007145B2"/>
    <w:rsid w:val="00714643"/>
    <w:rsid w:val="00714B80"/>
    <w:rsid w:val="00714D1B"/>
    <w:rsid w:val="00715246"/>
    <w:rsid w:val="00715763"/>
    <w:rsid w:val="00716544"/>
    <w:rsid w:val="00716AAE"/>
    <w:rsid w:val="0071790D"/>
    <w:rsid w:val="00720047"/>
    <w:rsid w:val="0072198D"/>
    <w:rsid w:val="00722AEC"/>
    <w:rsid w:val="007238D2"/>
    <w:rsid w:val="00723B01"/>
    <w:rsid w:val="007240B0"/>
    <w:rsid w:val="00724EDA"/>
    <w:rsid w:val="007254EF"/>
    <w:rsid w:val="007256B7"/>
    <w:rsid w:val="00726BC9"/>
    <w:rsid w:val="007274CC"/>
    <w:rsid w:val="00727D7E"/>
    <w:rsid w:val="00727DC2"/>
    <w:rsid w:val="00730113"/>
    <w:rsid w:val="007312F4"/>
    <w:rsid w:val="007320A9"/>
    <w:rsid w:val="00733E35"/>
    <w:rsid w:val="00733E52"/>
    <w:rsid w:val="007345AF"/>
    <w:rsid w:val="0073537C"/>
    <w:rsid w:val="00735461"/>
    <w:rsid w:val="00735598"/>
    <w:rsid w:val="00736456"/>
    <w:rsid w:val="00736EEB"/>
    <w:rsid w:val="007371A0"/>
    <w:rsid w:val="007374FC"/>
    <w:rsid w:val="00737DCD"/>
    <w:rsid w:val="007404AF"/>
    <w:rsid w:val="007407A0"/>
    <w:rsid w:val="00740D09"/>
    <w:rsid w:val="007416E9"/>
    <w:rsid w:val="00742931"/>
    <w:rsid w:val="00742E46"/>
    <w:rsid w:val="00742FFC"/>
    <w:rsid w:val="007432CB"/>
    <w:rsid w:val="00743CE3"/>
    <w:rsid w:val="00744F41"/>
    <w:rsid w:val="00745007"/>
    <w:rsid w:val="00745161"/>
    <w:rsid w:val="00745487"/>
    <w:rsid w:val="00745A4A"/>
    <w:rsid w:val="007463AD"/>
    <w:rsid w:val="00747347"/>
    <w:rsid w:val="007474D6"/>
    <w:rsid w:val="007500D0"/>
    <w:rsid w:val="00752510"/>
    <w:rsid w:val="00752615"/>
    <w:rsid w:val="00753C12"/>
    <w:rsid w:val="0075400E"/>
    <w:rsid w:val="00754124"/>
    <w:rsid w:val="00755164"/>
    <w:rsid w:val="00755FF8"/>
    <w:rsid w:val="00756E12"/>
    <w:rsid w:val="00757BD9"/>
    <w:rsid w:val="00757F71"/>
    <w:rsid w:val="0076002E"/>
    <w:rsid w:val="00760067"/>
    <w:rsid w:val="007613B2"/>
    <w:rsid w:val="00761A96"/>
    <w:rsid w:val="00762174"/>
    <w:rsid w:val="0076217B"/>
    <w:rsid w:val="00762E6E"/>
    <w:rsid w:val="0076336F"/>
    <w:rsid w:val="00763883"/>
    <w:rsid w:val="00763E86"/>
    <w:rsid w:val="007641C2"/>
    <w:rsid w:val="00764425"/>
    <w:rsid w:val="00765004"/>
    <w:rsid w:val="007659B7"/>
    <w:rsid w:val="007664AF"/>
    <w:rsid w:val="00766709"/>
    <w:rsid w:val="00766CB4"/>
    <w:rsid w:val="00766EB0"/>
    <w:rsid w:val="00766EF9"/>
    <w:rsid w:val="007670FB"/>
    <w:rsid w:val="007672FF"/>
    <w:rsid w:val="00770352"/>
    <w:rsid w:val="0077093D"/>
    <w:rsid w:val="00770C67"/>
    <w:rsid w:val="00770DA9"/>
    <w:rsid w:val="00771BE6"/>
    <w:rsid w:val="00771C34"/>
    <w:rsid w:val="007724C4"/>
    <w:rsid w:val="00773E1A"/>
    <w:rsid w:val="00774992"/>
    <w:rsid w:val="00774E69"/>
    <w:rsid w:val="0077504D"/>
    <w:rsid w:val="00776A51"/>
    <w:rsid w:val="007770FB"/>
    <w:rsid w:val="00777730"/>
    <w:rsid w:val="00777CA6"/>
    <w:rsid w:val="007803E8"/>
    <w:rsid w:val="007807D8"/>
    <w:rsid w:val="00780BCA"/>
    <w:rsid w:val="00782150"/>
    <w:rsid w:val="007824FF"/>
    <w:rsid w:val="007827FD"/>
    <w:rsid w:val="00782972"/>
    <w:rsid w:val="00783041"/>
    <w:rsid w:val="00784362"/>
    <w:rsid w:val="007852E3"/>
    <w:rsid w:val="00785762"/>
    <w:rsid w:val="00785EF9"/>
    <w:rsid w:val="007862A8"/>
    <w:rsid w:val="00787D8E"/>
    <w:rsid w:val="00787F4E"/>
    <w:rsid w:val="0079058C"/>
    <w:rsid w:val="00790A7E"/>
    <w:rsid w:val="00790F35"/>
    <w:rsid w:val="007919A3"/>
    <w:rsid w:val="00791AA2"/>
    <w:rsid w:val="00792D18"/>
    <w:rsid w:val="0079388E"/>
    <w:rsid w:val="00793996"/>
    <w:rsid w:val="0079426D"/>
    <w:rsid w:val="00794446"/>
    <w:rsid w:val="0079535D"/>
    <w:rsid w:val="00795B88"/>
    <w:rsid w:val="0079696B"/>
    <w:rsid w:val="007974D9"/>
    <w:rsid w:val="0079782F"/>
    <w:rsid w:val="007A33BC"/>
    <w:rsid w:val="007A36CF"/>
    <w:rsid w:val="007A4C07"/>
    <w:rsid w:val="007A5BA0"/>
    <w:rsid w:val="007B07B4"/>
    <w:rsid w:val="007B11F5"/>
    <w:rsid w:val="007B1711"/>
    <w:rsid w:val="007B2B4B"/>
    <w:rsid w:val="007B3890"/>
    <w:rsid w:val="007B3CE6"/>
    <w:rsid w:val="007B48D7"/>
    <w:rsid w:val="007B4BCE"/>
    <w:rsid w:val="007B4FD7"/>
    <w:rsid w:val="007B5C27"/>
    <w:rsid w:val="007B5C81"/>
    <w:rsid w:val="007B6133"/>
    <w:rsid w:val="007B6C25"/>
    <w:rsid w:val="007B7152"/>
    <w:rsid w:val="007B7644"/>
    <w:rsid w:val="007B76DF"/>
    <w:rsid w:val="007C06F4"/>
    <w:rsid w:val="007C1614"/>
    <w:rsid w:val="007C2255"/>
    <w:rsid w:val="007C301B"/>
    <w:rsid w:val="007C33B4"/>
    <w:rsid w:val="007C3538"/>
    <w:rsid w:val="007C3A8A"/>
    <w:rsid w:val="007C4C3C"/>
    <w:rsid w:val="007C53E7"/>
    <w:rsid w:val="007C562C"/>
    <w:rsid w:val="007C6321"/>
    <w:rsid w:val="007C678C"/>
    <w:rsid w:val="007C68FF"/>
    <w:rsid w:val="007C6AA4"/>
    <w:rsid w:val="007C73AB"/>
    <w:rsid w:val="007C79A3"/>
    <w:rsid w:val="007C7B75"/>
    <w:rsid w:val="007D02FA"/>
    <w:rsid w:val="007D0749"/>
    <w:rsid w:val="007D0E00"/>
    <w:rsid w:val="007D100C"/>
    <w:rsid w:val="007D19A7"/>
    <w:rsid w:val="007D1D57"/>
    <w:rsid w:val="007D1FC3"/>
    <w:rsid w:val="007D2681"/>
    <w:rsid w:val="007D3444"/>
    <w:rsid w:val="007D5166"/>
    <w:rsid w:val="007D5454"/>
    <w:rsid w:val="007D67BC"/>
    <w:rsid w:val="007D686C"/>
    <w:rsid w:val="007D7C99"/>
    <w:rsid w:val="007E00C6"/>
    <w:rsid w:val="007E08DD"/>
    <w:rsid w:val="007E09E2"/>
    <w:rsid w:val="007E13A5"/>
    <w:rsid w:val="007E1E59"/>
    <w:rsid w:val="007E1FBB"/>
    <w:rsid w:val="007E211D"/>
    <w:rsid w:val="007E2828"/>
    <w:rsid w:val="007E311A"/>
    <w:rsid w:val="007E3B0E"/>
    <w:rsid w:val="007E4BFB"/>
    <w:rsid w:val="007E5B82"/>
    <w:rsid w:val="007E7168"/>
    <w:rsid w:val="007E753F"/>
    <w:rsid w:val="007E76C8"/>
    <w:rsid w:val="007E7926"/>
    <w:rsid w:val="007F15C8"/>
    <w:rsid w:val="007F1BA7"/>
    <w:rsid w:val="007F1BF3"/>
    <w:rsid w:val="007F2484"/>
    <w:rsid w:val="007F405B"/>
    <w:rsid w:val="007F5FBF"/>
    <w:rsid w:val="007F6C6A"/>
    <w:rsid w:val="007F6CEB"/>
    <w:rsid w:val="007F70DD"/>
    <w:rsid w:val="007F7128"/>
    <w:rsid w:val="007F7689"/>
    <w:rsid w:val="007F7B16"/>
    <w:rsid w:val="007F7C44"/>
    <w:rsid w:val="0080109A"/>
    <w:rsid w:val="00802551"/>
    <w:rsid w:val="008025DE"/>
    <w:rsid w:val="00804724"/>
    <w:rsid w:val="008048FF"/>
    <w:rsid w:val="00805F04"/>
    <w:rsid w:val="008065D5"/>
    <w:rsid w:val="00806ED6"/>
    <w:rsid w:val="00807366"/>
    <w:rsid w:val="008101B6"/>
    <w:rsid w:val="00811130"/>
    <w:rsid w:val="00811198"/>
    <w:rsid w:val="00811EB1"/>
    <w:rsid w:val="008120BF"/>
    <w:rsid w:val="008124E4"/>
    <w:rsid w:val="00812804"/>
    <w:rsid w:val="00812D65"/>
    <w:rsid w:val="00813477"/>
    <w:rsid w:val="008141B0"/>
    <w:rsid w:val="00815C64"/>
    <w:rsid w:val="00816167"/>
    <w:rsid w:val="0081683D"/>
    <w:rsid w:val="00816CA6"/>
    <w:rsid w:val="0081712F"/>
    <w:rsid w:val="00817405"/>
    <w:rsid w:val="008175BD"/>
    <w:rsid w:val="00817D5B"/>
    <w:rsid w:val="00817D72"/>
    <w:rsid w:val="00817D9B"/>
    <w:rsid w:val="00820D83"/>
    <w:rsid w:val="00822720"/>
    <w:rsid w:val="00822FF1"/>
    <w:rsid w:val="0082313A"/>
    <w:rsid w:val="00823DBC"/>
    <w:rsid w:val="00825E13"/>
    <w:rsid w:val="008263D5"/>
    <w:rsid w:val="00826544"/>
    <w:rsid w:val="00827A60"/>
    <w:rsid w:val="00827D59"/>
    <w:rsid w:val="0083064F"/>
    <w:rsid w:val="00830825"/>
    <w:rsid w:val="00830B00"/>
    <w:rsid w:val="00830BDD"/>
    <w:rsid w:val="008312B0"/>
    <w:rsid w:val="00832155"/>
    <w:rsid w:val="008328A6"/>
    <w:rsid w:val="00832BBD"/>
    <w:rsid w:val="00833F99"/>
    <w:rsid w:val="0083420B"/>
    <w:rsid w:val="008343D8"/>
    <w:rsid w:val="00834C73"/>
    <w:rsid w:val="0083586B"/>
    <w:rsid w:val="00835F4C"/>
    <w:rsid w:val="0083668E"/>
    <w:rsid w:val="00836982"/>
    <w:rsid w:val="008408B3"/>
    <w:rsid w:val="00841A86"/>
    <w:rsid w:val="00841F54"/>
    <w:rsid w:val="0084301F"/>
    <w:rsid w:val="008435A5"/>
    <w:rsid w:val="00843E78"/>
    <w:rsid w:val="00844352"/>
    <w:rsid w:val="00844A69"/>
    <w:rsid w:val="00844FB9"/>
    <w:rsid w:val="00845EDC"/>
    <w:rsid w:val="00846F89"/>
    <w:rsid w:val="0084744B"/>
    <w:rsid w:val="0085014B"/>
    <w:rsid w:val="008501F1"/>
    <w:rsid w:val="0085084B"/>
    <w:rsid w:val="008508DA"/>
    <w:rsid w:val="0085093D"/>
    <w:rsid w:val="00850979"/>
    <w:rsid w:val="00851D9B"/>
    <w:rsid w:val="00852F20"/>
    <w:rsid w:val="00853D48"/>
    <w:rsid w:val="00854099"/>
    <w:rsid w:val="008540D3"/>
    <w:rsid w:val="008540F5"/>
    <w:rsid w:val="008542DC"/>
    <w:rsid w:val="0085437C"/>
    <w:rsid w:val="0085474E"/>
    <w:rsid w:val="00854847"/>
    <w:rsid w:val="00855361"/>
    <w:rsid w:val="00855D67"/>
    <w:rsid w:val="00855EEB"/>
    <w:rsid w:val="008562AA"/>
    <w:rsid w:val="00856B67"/>
    <w:rsid w:val="00856C8F"/>
    <w:rsid w:val="00857724"/>
    <w:rsid w:val="00860749"/>
    <w:rsid w:val="00860D1A"/>
    <w:rsid w:val="00861B40"/>
    <w:rsid w:val="008628C1"/>
    <w:rsid w:val="00863DCD"/>
    <w:rsid w:val="008647EE"/>
    <w:rsid w:val="0086601E"/>
    <w:rsid w:val="00866421"/>
    <w:rsid w:val="0086789C"/>
    <w:rsid w:val="008678F8"/>
    <w:rsid w:val="00867A7F"/>
    <w:rsid w:val="00867B4A"/>
    <w:rsid w:val="008700A3"/>
    <w:rsid w:val="008700CF"/>
    <w:rsid w:val="00870177"/>
    <w:rsid w:val="00870BFC"/>
    <w:rsid w:val="008724ED"/>
    <w:rsid w:val="00872801"/>
    <w:rsid w:val="00873AF3"/>
    <w:rsid w:val="00874D1E"/>
    <w:rsid w:val="00875FEE"/>
    <w:rsid w:val="00876410"/>
    <w:rsid w:val="008767F4"/>
    <w:rsid w:val="00877575"/>
    <w:rsid w:val="0088028D"/>
    <w:rsid w:val="00881530"/>
    <w:rsid w:val="00881829"/>
    <w:rsid w:val="0088199C"/>
    <w:rsid w:val="00882738"/>
    <w:rsid w:val="00882F13"/>
    <w:rsid w:val="008835F6"/>
    <w:rsid w:val="00883648"/>
    <w:rsid w:val="008845DC"/>
    <w:rsid w:val="00885072"/>
    <w:rsid w:val="00885AE7"/>
    <w:rsid w:val="00886AAD"/>
    <w:rsid w:val="00887303"/>
    <w:rsid w:val="0088753F"/>
    <w:rsid w:val="00887FF4"/>
    <w:rsid w:val="00890FC6"/>
    <w:rsid w:val="0089184A"/>
    <w:rsid w:val="00892AA4"/>
    <w:rsid w:val="0089315C"/>
    <w:rsid w:val="008934B4"/>
    <w:rsid w:val="0089362C"/>
    <w:rsid w:val="0089387E"/>
    <w:rsid w:val="00893F1C"/>
    <w:rsid w:val="00895133"/>
    <w:rsid w:val="008960A0"/>
    <w:rsid w:val="00896333"/>
    <w:rsid w:val="00896678"/>
    <w:rsid w:val="00896BCF"/>
    <w:rsid w:val="0089729C"/>
    <w:rsid w:val="00897541"/>
    <w:rsid w:val="00897970"/>
    <w:rsid w:val="00897A36"/>
    <w:rsid w:val="008A05D5"/>
    <w:rsid w:val="008A0FEC"/>
    <w:rsid w:val="008A1C17"/>
    <w:rsid w:val="008A23A2"/>
    <w:rsid w:val="008A25A4"/>
    <w:rsid w:val="008A4508"/>
    <w:rsid w:val="008A4985"/>
    <w:rsid w:val="008A4F4D"/>
    <w:rsid w:val="008A5CAC"/>
    <w:rsid w:val="008A6598"/>
    <w:rsid w:val="008A6F12"/>
    <w:rsid w:val="008B17FF"/>
    <w:rsid w:val="008B1F75"/>
    <w:rsid w:val="008B247F"/>
    <w:rsid w:val="008B268A"/>
    <w:rsid w:val="008B2744"/>
    <w:rsid w:val="008B372E"/>
    <w:rsid w:val="008B3853"/>
    <w:rsid w:val="008B411A"/>
    <w:rsid w:val="008B480E"/>
    <w:rsid w:val="008B7D9D"/>
    <w:rsid w:val="008C02A4"/>
    <w:rsid w:val="008C0E8E"/>
    <w:rsid w:val="008C16E9"/>
    <w:rsid w:val="008C2B78"/>
    <w:rsid w:val="008C37EA"/>
    <w:rsid w:val="008C3BF5"/>
    <w:rsid w:val="008C3E91"/>
    <w:rsid w:val="008C4CF7"/>
    <w:rsid w:val="008C4F79"/>
    <w:rsid w:val="008C504E"/>
    <w:rsid w:val="008C5289"/>
    <w:rsid w:val="008C567D"/>
    <w:rsid w:val="008C5CF2"/>
    <w:rsid w:val="008C6C55"/>
    <w:rsid w:val="008C7843"/>
    <w:rsid w:val="008D0020"/>
    <w:rsid w:val="008D09E0"/>
    <w:rsid w:val="008D0D3F"/>
    <w:rsid w:val="008D1775"/>
    <w:rsid w:val="008D286A"/>
    <w:rsid w:val="008D2CF5"/>
    <w:rsid w:val="008D40CA"/>
    <w:rsid w:val="008D4280"/>
    <w:rsid w:val="008D5395"/>
    <w:rsid w:val="008D5BE9"/>
    <w:rsid w:val="008D5C9D"/>
    <w:rsid w:val="008D63D5"/>
    <w:rsid w:val="008D64BA"/>
    <w:rsid w:val="008D68D9"/>
    <w:rsid w:val="008D6C06"/>
    <w:rsid w:val="008D774A"/>
    <w:rsid w:val="008E02AB"/>
    <w:rsid w:val="008E13B4"/>
    <w:rsid w:val="008E14E2"/>
    <w:rsid w:val="008E25BA"/>
    <w:rsid w:val="008E272E"/>
    <w:rsid w:val="008E28D1"/>
    <w:rsid w:val="008E2968"/>
    <w:rsid w:val="008E2992"/>
    <w:rsid w:val="008E3448"/>
    <w:rsid w:val="008E3ED3"/>
    <w:rsid w:val="008E40A2"/>
    <w:rsid w:val="008E41A8"/>
    <w:rsid w:val="008E53C4"/>
    <w:rsid w:val="008E5F6B"/>
    <w:rsid w:val="008E616F"/>
    <w:rsid w:val="008E78A2"/>
    <w:rsid w:val="008E7B06"/>
    <w:rsid w:val="008E7FD4"/>
    <w:rsid w:val="008F090E"/>
    <w:rsid w:val="008F166B"/>
    <w:rsid w:val="008F175A"/>
    <w:rsid w:val="008F19A5"/>
    <w:rsid w:val="008F2DE5"/>
    <w:rsid w:val="008F39E2"/>
    <w:rsid w:val="008F4744"/>
    <w:rsid w:val="008F4A0A"/>
    <w:rsid w:val="008F4C3A"/>
    <w:rsid w:val="008F4C6F"/>
    <w:rsid w:val="008F5600"/>
    <w:rsid w:val="008F6564"/>
    <w:rsid w:val="009002D1"/>
    <w:rsid w:val="00900CEB"/>
    <w:rsid w:val="00900DCE"/>
    <w:rsid w:val="0090107A"/>
    <w:rsid w:val="009011AF"/>
    <w:rsid w:val="0090167D"/>
    <w:rsid w:val="00901FC7"/>
    <w:rsid w:val="00902169"/>
    <w:rsid w:val="009030B6"/>
    <w:rsid w:val="009032C3"/>
    <w:rsid w:val="00903A93"/>
    <w:rsid w:val="00904B45"/>
    <w:rsid w:val="00904F7F"/>
    <w:rsid w:val="009050FB"/>
    <w:rsid w:val="009061BC"/>
    <w:rsid w:val="009062F9"/>
    <w:rsid w:val="009065EC"/>
    <w:rsid w:val="0090684C"/>
    <w:rsid w:val="00906E02"/>
    <w:rsid w:val="00907EEA"/>
    <w:rsid w:val="009100AA"/>
    <w:rsid w:val="00910117"/>
    <w:rsid w:val="00912509"/>
    <w:rsid w:val="00912963"/>
    <w:rsid w:val="00912DA3"/>
    <w:rsid w:val="0091328D"/>
    <w:rsid w:val="009134EF"/>
    <w:rsid w:val="00913887"/>
    <w:rsid w:val="00914E93"/>
    <w:rsid w:val="00915316"/>
    <w:rsid w:val="00915DA1"/>
    <w:rsid w:val="00921557"/>
    <w:rsid w:val="009217D6"/>
    <w:rsid w:val="009221DC"/>
    <w:rsid w:val="00922201"/>
    <w:rsid w:val="00922662"/>
    <w:rsid w:val="009226AE"/>
    <w:rsid w:val="00922CC5"/>
    <w:rsid w:val="00922FA9"/>
    <w:rsid w:val="009234B4"/>
    <w:rsid w:val="00923B2E"/>
    <w:rsid w:val="00923B3F"/>
    <w:rsid w:val="00924466"/>
    <w:rsid w:val="00926CD9"/>
    <w:rsid w:val="009279DB"/>
    <w:rsid w:val="00930A28"/>
    <w:rsid w:val="00930EED"/>
    <w:rsid w:val="009326CD"/>
    <w:rsid w:val="00932A64"/>
    <w:rsid w:val="00932B28"/>
    <w:rsid w:val="0093357A"/>
    <w:rsid w:val="00933B57"/>
    <w:rsid w:val="00934223"/>
    <w:rsid w:val="0093441A"/>
    <w:rsid w:val="00934506"/>
    <w:rsid w:val="009358A0"/>
    <w:rsid w:val="00936B6C"/>
    <w:rsid w:val="00936C67"/>
    <w:rsid w:val="00936CB4"/>
    <w:rsid w:val="00937C37"/>
    <w:rsid w:val="00937FE1"/>
    <w:rsid w:val="0094013B"/>
    <w:rsid w:val="00940B49"/>
    <w:rsid w:val="00940C52"/>
    <w:rsid w:val="00940D14"/>
    <w:rsid w:val="00941420"/>
    <w:rsid w:val="00942A4C"/>
    <w:rsid w:val="00942E1A"/>
    <w:rsid w:val="00942FBE"/>
    <w:rsid w:val="00943413"/>
    <w:rsid w:val="00943B7F"/>
    <w:rsid w:val="00943C3E"/>
    <w:rsid w:val="00943E11"/>
    <w:rsid w:val="00944102"/>
    <w:rsid w:val="009445F3"/>
    <w:rsid w:val="0094470B"/>
    <w:rsid w:val="00944E6A"/>
    <w:rsid w:val="009453B4"/>
    <w:rsid w:val="00945843"/>
    <w:rsid w:val="0094686F"/>
    <w:rsid w:val="00947134"/>
    <w:rsid w:val="00947653"/>
    <w:rsid w:val="009478D8"/>
    <w:rsid w:val="0095035A"/>
    <w:rsid w:val="0095109F"/>
    <w:rsid w:val="00951C07"/>
    <w:rsid w:val="00951D22"/>
    <w:rsid w:val="00952ED1"/>
    <w:rsid w:val="00953784"/>
    <w:rsid w:val="00953C80"/>
    <w:rsid w:val="00953CD1"/>
    <w:rsid w:val="0095474C"/>
    <w:rsid w:val="00955403"/>
    <w:rsid w:val="0095621D"/>
    <w:rsid w:val="00956B57"/>
    <w:rsid w:val="00956D39"/>
    <w:rsid w:val="00960C1F"/>
    <w:rsid w:val="0096135B"/>
    <w:rsid w:val="00961A75"/>
    <w:rsid w:val="00961C7B"/>
    <w:rsid w:val="00962074"/>
    <w:rsid w:val="00962367"/>
    <w:rsid w:val="00962B8A"/>
    <w:rsid w:val="009639B7"/>
    <w:rsid w:val="00963F4E"/>
    <w:rsid w:val="00964EB1"/>
    <w:rsid w:val="009657C1"/>
    <w:rsid w:val="0096588A"/>
    <w:rsid w:val="00965FC0"/>
    <w:rsid w:val="0096732A"/>
    <w:rsid w:val="00967E93"/>
    <w:rsid w:val="00967F7A"/>
    <w:rsid w:val="009703E2"/>
    <w:rsid w:val="00970671"/>
    <w:rsid w:val="00970E75"/>
    <w:rsid w:val="00971BD1"/>
    <w:rsid w:val="00971D8A"/>
    <w:rsid w:val="00971F61"/>
    <w:rsid w:val="00972209"/>
    <w:rsid w:val="00972D09"/>
    <w:rsid w:val="009733D5"/>
    <w:rsid w:val="00973AD0"/>
    <w:rsid w:val="009758DD"/>
    <w:rsid w:val="00975B43"/>
    <w:rsid w:val="00976543"/>
    <w:rsid w:val="009769BF"/>
    <w:rsid w:val="00976CAF"/>
    <w:rsid w:val="00976F4E"/>
    <w:rsid w:val="00977691"/>
    <w:rsid w:val="009777B0"/>
    <w:rsid w:val="00977BB9"/>
    <w:rsid w:val="00980F11"/>
    <w:rsid w:val="00981BFF"/>
    <w:rsid w:val="00981CE4"/>
    <w:rsid w:val="0098230A"/>
    <w:rsid w:val="00982527"/>
    <w:rsid w:val="00982F9C"/>
    <w:rsid w:val="0098304E"/>
    <w:rsid w:val="00983BDC"/>
    <w:rsid w:val="00983D39"/>
    <w:rsid w:val="009841E3"/>
    <w:rsid w:val="009842C0"/>
    <w:rsid w:val="0098475E"/>
    <w:rsid w:val="0098491F"/>
    <w:rsid w:val="00985C68"/>
    <w:rsid w:val="009864D4"/>
    <w:rsid w:val="00986A6F"/>
    <w:rsid w:val="00986CDE"/>
    <w:rsid w:val="00987406"/>
    <w:rsid w:val="0098777C"/>
    <w:rsid w:val="00987BDE"/>
    <w:rsid w:val="009901AD"/>
    <w:rsid w:val="00990233"/>
    <w:rsid w:val="0099030A"/>
    <w:rsid w:val="00990606"/>
    <w:rsid w:val="00991026"/>
    <w:rsid w:val="0099168E"/>
    <w:rsid w:val="009916A3"/>
    <w:rsid w:val="00991D9E"/>
    <w:rsid w:val="00991FC3"/>
    <w:rsid w:val="009928DB"/>
    <w:rsid w:val="00992ACD"/>
    <w:rsid w:val="00992E84"/>
    <w:rsid w:val="0099422A"/>
    <w:rsid w:val="00995E1F"/>
    <w:rsid w:val="009965A5"/>
    <w:rsid w:val="00996608"/>
    <w:rsid w:val="00996A66"/>
    <w:rsid w:val="00996ED0"/>
    <w:rsid w:val="0099726D"/>
    <w:rsid w:val="0099747A"/>
    <w:rsid w:val="009974D4"/>
    <w:rsid w:val="0099750F"/>
    <w:rsid w:val="009A02D5"/>
    <w:rsid w:val="009A0826"/>
    <w:rsid w:val="009A094D"/>
    <w:rsid w:val="009A11E1"/>
    <w:rsid w:val="009A1F68"/>
    <w:rsid w:val="009A2966"/>
    <w:rsid w:val="009A3A01"/>
    <w:rsid w:val="009A3E2F"/>
    <w:rsid w:val="009A41BC"/>
    <w:rsid w:val="009A537B"/>
    <w:rsid w:val="009A5612"/>
    <w:rsid w:val="009A60D3"/>
    <w:rsid w:val="009A60EA"/>
    <w:rsid w:val="009A6786"/>
    <w:rsid w:val="009A7127"/>
    <w:rsid w:val="009A73F9"/>
    <w:rsid w:val="009A794C"/>
    <w:rsid w:val="009A7BE4"/>
    <w:rsid w:val="009B00B5"/>
    <w:rsid w:val="009B12B0"/>
    <w:rsid w:val="009B27AF"/>
    <w:rsid w:val="009B2A8E"/>
    <w:rsid w:val="009B2C0A"/>
    <w:rsid w:val="009B345D"/>
    <w:rsid w:val="009B3635"/>
    <w:rsid w:val="009B3864"/>
    <w:rsid w:val="009B4D51"/>
    <w:rsid w:val="009B5531"/>
    <w:rsid w:val="009B5EBE"/>
    <w:rsid w:val="009B62F3"/>
    <w:rsid w:val="009B728F"/>
    <w:rsid w:val="009B7315"/>
    <w:rsid w:val="009B73A3"/>
    <w:rsid w:val="009B7801"/>
    <w:rsid w:val="009C0560"/>
    <w:rsid w:val="009C0A5C"/>
    <w:rsid w:val="009C0C80"/>
    <w:rsid w:val="009C23AE"/>
    <w:rsid w:val="009C28DE"/>
    <w:rsid w:val="009C32E9"/>
    <w:rsid w:val="009C3403"/>
    <w:rsid w:val="009C342C"/>
    <w:rsid w:val="009C4C4A"/>
    <w:rsid w:val="009C4E76"/>
    <w:rsid w:val="009C59CF"/>
    <w:rsid w:val="009C62B2"/>
    <w:rsid w:val="009C79A8"/>
    <w:rsid w:val="009D06D3"/>
    <w:rsid w:val="009D0851"/>
    <w:rsid w:val="009D20F0"/>
    <w:rsid w:val="009D2CA0"/>
    <w:rsid w:val="009D3C09"/>
    <w:rsid w:val="009D424A"/>
    <w:rsid w:val="009D43CF"/>
    <w:rsid w:val="009D47FA"/>
    <w:rsid w:val="009D4908"/>
    <w:rsid w:val="009D4CB2"/>
    <w:rsid w:val="009D53EC"/>
    <w:rsid w:val="009D66BB"/>
    <w:rsid w:val="009D6EF9"/>
    <w:rsid w:val="009D7E5D"/>
    <w:rsid w:val="009D7F68"/>
    <w:rsid w:val="009E005E"/>
    <w:rsid w:val="009E0F43"/>
    <w:rsid w:val="009E3738"/>
    <w:rsid w:val="009E44E5"/>
    <w:rsid w:val="009E4C37"/>
    <w:rsid w:val="009E5B29"/>
    <w:rsid w:val="009E6567"/>
    <w:rsid w:val="009E6A6D"/>
    <w:rsid w:val="009E6BE3"/>
    <w:rsid w:val="009E7CC2"/>
    <w:rsid w:val="009F15CE"/>
    <w:rsid w:val="009F192F"/>
    <w:rsid w:val="009F1ABA"/>
    <w:rsid w:val="009F1BD2"/>
    <w:rsid w:val="009F2304"/>
    <w:rsid w:val="009F260B"/>
    <w:rsid w:val="009F29CC"/>
    <w:rsid w:val="009F37FC"/>
    <w:rsid w:val="009F392F"/>
    <w:rsid w:val="009F39BD"/>
    <w:rsid w:val="009F3A5D"/>
    <w:rsid w:val="009F4647"/>
    <w:rsid w:val="009F50E6"/>
    <w:rsid w:val="009F527F"/>
    <w:rsid w:val="009F53EB"/>
    <w:rsid w:val="009F54DB"/>
    <w:rsid w:val="009F55B9"/>
    <w:rsid w:val="009F5C0A"/>
    <w:rsid w:val="009F6D2F"/>
    <w:rsid w:val="009F6E3F"/>
    <w:rsid w:val="009F704E"/>
    <w:rsid w:val="00A0008A"/>
    <w:rsid w:val="00A0077D"/>
    <w:rsid w:val="00A00AE8"/>
    <w:rsid w:val="00A01BAD"/>
    <w:rsid w:val="00A01BDB"/>
    <w:rsid w:val="00A030E2"/>
    <w:rsid w:val="00A0389C"/>
    <w:rsid w:val="00A03FFB"/>
    <w:rsid w:val="00A04466"/>
    <w:rsid w:val="00A0465F"/>
    <w:rsid w:val="00A05261"/>
    <w:rsid w:val="00A0527E"/>
    <w:rsid w:val="00A05BA0"/>
    <w:rsid w:val="00A05FF7"/>
    <w:rsid w:val="00A06299"/>
    <w:rsid w:val="00A0646A"/>
    <w:rsid w:val="00A07383"/>
    <w:rsid w:val="00A07846"/>
    <w:rsid w:val="00A07BA5"/>
    <w:rsid w:val="00A1032D"/>
    <w:rsid w:val="00A1055E"/>
    <w:rsid w:val="00A109CA"/>
    <w:rsid w:val="00A10E64"/>
    <w:rsid w:val="00A1103B"/>
    <w:rsid w:val="00A11609"/>
    <w:rsid w:val="00A122FF"/>
    <w:rsid w:val="00A1338F"/>
    <w:rsid w:val="00A137D7"/>
    <w:rsid w:val="00A14E0A"/>
    <w:rsid w:val="00A14E53"/>
    <w:rsid w:val="00A15BC9"/>
    <w:rsid w:val="00A163C6"/>
    <w:rsid w:val="00A163CC"/>
    <w:rsid w:val="00A16A33"/>
    <w:rsid w:val="00A20209"/>
    <w:rsid w:val="00A2023F"/>
    <w:rsid w:val="00A20BB7"/>
    <w:rsid w:val="00A20D5A"/>
    <w:rsid w:val="00A21349"/>
    <w:rsid w:val="00A226C7"/>
    <w:rsid w:val="00A2467B"/>
    <w:rsid w:val="00A24974"/>
    <w:rsid w:val="00A255A3"/>
    <w:rsid w:val="00A255E7"/>
    <w:rsid w:val="00A26240"/>
    <w:rsid w:val="00A267B9"/>
    <w:rsid w:val="00A26DC0"/>
    <w:rsid w:val="00A31D4C"/>
    <w:rsid w:val="00A32084"/>
    <w:rsid w:val="00A32BB7"/>
    <w:rsid w:val="00A32F87"/>
    <w:rsid w:val="00A33EB9"/>
    <w:rsid w:val="00A33EF4"/>
    <w:rsid w:val="00A340DE"/>
    <w:rsid w:val="00A350D7"/>
    <w:rsid w:val="00A35292"/>
    <w:rsid w:val="00A358B2"/>
    <w:rsid w:val="00A35B1B"/>
    <w:rsid w:val="00A36048"/>
    <w:rsid w:val="00A3630B"/>
    <w:rsid w:val="00A36575"/>
    <w:rsid w:val="00A36AFB"/>
    <w:rsid w:val="00A36F89"/>
    <w:rsid w:val="00A372CD"/>
    <w:rsid w:val="00A37E1A"/>
    <w:rsid w:val="00A405B0"/>
    <w:rsid w:val="00A41056"/>
    <w:rsid w:val="00A41195"/>
    <w:rsid w:val="00A4197E"/>
    <w:rsid w:val="00A419EB"/>
    <w:rsid w:val="00A422DD"/>
    <w:rsid w:val="00A42D15"/>
    <w:rsid w:val="00A43F3F"/>
    <w:rsid w:val="00A44A8A"/>
    <w:rsid w:val="00A45148"/>
    <w:rsid w:val="00A45BCA"/>
    <w:rsid w:val="00A46AE5"/>
    <w:rsid w:val="00A478AC"/>
    <w:rsid w:val="00A479C3"/>
    <w:rsid w:val="00A50510"/>
    <w:rsid w:val="00A5076F"/>
    <w:rsid w:val="00A515C5"/>
    <w:rsid w:val="00A5198B"/>
    <w:rsid w:val="00A521A2"/>
    <w:rsid w:val="00A52FC3"/>
    <w:rsid w:val="00A52FFB"/>
    <w:rsid w:val="00A53211"/>
    <w:rsid w:val="00A53436"/>
    <w:rsid w:val="00A5343E"/>
    <w:rsid w:val="00A53CCD"/>
    <w:rsid w:val="00A54B53"/>
    <w:rsid w:val="00A55153"/>
    <w:rsid w:val="00A55D41"/>
    <w:rsid w:val="00A563A5"/>
    <w:rsid w:val="00A57736"/>
    <w:rsid w:val="00A57CC2"/>
    <w:rsid w:val="00A57E22"/>
    <w:rsid w:val="00A60520"/>
    <w:rsid w:val="00A60CD0"/>
    <w:rsid w:val="00A61069"/>
    <w:rsid w:val="00A61356"/>
    <w:rsid w:val="00A61526"/>
    <w:rsid w:val="00A61AB6"/>
    <w:rsid w:val="00A62637"/>
    <w:rsid w:val="00A62D71"/>
    <w:rsid w:val="00A62F11"/>
    <w:rsid w:val="00A62FA3"/>
    <w:rsid w:val="00A63C09"/>
    <w:rsid w:val="00A63EFD"/>
    <w:rsid w:val="00A6407D"/>
    <w:rsid w:val="00A65E0E"/>
    <w:rsid w:val="00A66571"/>
    <w:rsid w:val="00A6793B"/>
    <w:rsid w:val="00A67FEE"/>
    <w:rsid w:val="00A7018E"/>
    <w:rsid w:val="00A7021E"/>
    <w:rsid w:val="00A70E71"/>
    <w:rsid w:val="00A71850"/>
    <w:rsid w:val="00A72834"/>
    <w:rsid w:val="00A7287F"/>
    <w:rsid w:val="00A72C23"/>
    <w:rsid w:val="00A73070"/>
    <w:rsid w:val="00A73560"/>
    <w:rsid w:val="00A73C33"/>
    <w:rsid w:val="00A741C2"/>
    <w:rsid w:val="00A74456"/>
    <w:rsid w:val="00A75632"/>
    <w:rsid w:val="00A75A70"/>
    <w:rsid w:val="00A75A7F"/>
    <w:rsid w:val="00A75DEF"/>
    <w:rsid w:val="00A76288"/>
    <w:rsid w:val="00A7644D"/>
    <w:rsid w:val="00A76AB1"/>
    <w:rsid w:val="00A76BEC"/>
    <w:rsid w:val="00A77DAC"/>
    <w:rsid w:val="00A800AA"/>
    <w:rsid w:val="00A80ECA"/>
    <w:rsid w:val="00A82287"/>
    <w:rsid w:val="00A82329"/>
    <w:rsid w:val="00A827A5"/>
    <w:rsid w:val="00A82B7E"/>
    <w:rsid w:val="00A8306A"/>
    <w:rsid w:val="00A83FA7"/>
    <w:rsid w:val="00A84847"/>
    <w:rsid w:val="00A84B17"/>
    <w:rsid w:val="00A85BF2"/>
    <w:rsid w:val="00A861FA"/>
    <w:rsid w:val="00A86D36"/>
    <w:rsid w:val="00A87488"/>
    <w:rsid w:val="00A87977"/>
    <w:rsid w:val="00A87D6C"/>
    <w:rsid w:val="00A90290"/>
    <w:rsid w:val="00A90F79"/>
    <w:rsid w:val="00A9178F"/>
    <w:rsid w:val="00A91901"/>
    <w:rsid w:val="00A91E5F"/>
    <w:rsid w:val="00A92697"/>
    <w:rsid w:val="00A930CA"/>
    <w:rsid w:val="00A93F78"/>
    <w:rsid w:val="00A94095"/>
    <w:rsid w:val="00A94782"/>
    <w:rsid w:val="00A94AFD"/>
    <w:rsid w:val="00A96345"/>
    <w:rsid w:val="00A96619"/>
    <w:rsid w:val="00A9664C"/>
    <w:rsid w:val="00A96E49"/>
    <w:rsid w:val="00A978DF"/>
    <w:rsid w:val="00AA0164"/>
    <w:rsid w:val="00AA1372"/>
    <w:rsid w:val="00AA1515"/>
    <w:rsid w:val="00AA1936"/>
    <w:rsid w:val="00AA2603"/>
    <w:rsid w:val="00AA3222"/>
    <w:rsid w:val="00AA353E"/>
    <w:rsid w:val="00AA3733"/>
    <w:rsid w:val="00AA37D3"/>
    <w:rsid w:val="00AA3AC2"/>
    <w:rsid w:val="00AA3EAE"/>
    <w:rsid w:val="00AA40F6"/>
    <w:rsid w:val="00AA45F4"/>
    <w:rsid w:val="00AA49AE"/>
    <w:rsid w:val="00AA4C4D"/>
    <w:rsid w:val="00AA513C"/>
    <w:rsid w:val="00AA5798"/>
    <w:rsid w:val="00AA696E"/>
    <w:rsid w:val="00AA7453"/>
    <w:rsid w:val="00AB011A"/>
    <w:rsid w:val="00AB05B6"/>
    <w:rsid w:val="00AB06AE"/>
    <w:rsid w:val="00AB0FE8"/>
    <w:rsid w:val="00AB1767"/>
    <w:rsid w:val="00AB1EB0"/>
    <w:rsid w:val="00AB2833"/>
    <w:rsid w:val="00AB28BD"/>
    <w:rsid w:val="00AB2920"/>
    <w:rsid w:val="00AB2B1B"/>
    <w:rsid w:val="00AB2E62"/>
    <w:rsid w:val="00AB3510"/>
    <w:rsid w:val="00AB3F94"/>
    <w:rsid w:val="00AB5077"/>
    <w:rsid w:val="00AB591D"/>
    <w:rsid w:val="00AB5A19"/>
    <w:rsid w:val="00AB608B"/>
    <w:rsid w:val="00AB64A8"/>
    <w:rsid w:val="00AB6F53"/>
    <w:rsid w:val="00AB7497"/>
    <w:rsid w:val="00AB76EB"/>
    <w:rsid w:val="00AB7837"/>
    <w:rsid w:val="00AB78DD"/>
    <w:rsid w:val="00AB7F5F"/>
    <w:rsid w:val="00AC0625"/>
    <w:rsid w:val="00AC1346"/>
    <w:rsid w:val="00AC1597"/>
    <w:rsid w:val="00AC221D"/>
    <w:rsid w:val="00AC2CEC"/>
    <w:rsid w:val="00AC2D73"/>
    <w:rsid w:val="00AC36CF"/>
    <w:rsid w:val="00AC4B37"/>
    <w:rsid w:val="00AC5385"/>
    <w:rsid w:val="00AC53F8"/>
    <w:rsid w:val="00AC56DA"/>
    <w:rsid w:val="00AC603B"/>
    <w:rsid w:val="00AC6FFB"/>
    <w:rsid w:val="00AD02A7"/>
    <w:rsid w:val="00AD0D15"/>
    <w:rsid w:val="00AD15B3"/>
    <w:rsid w:val="00AD15F1"/>
    <w:rsid w:val="00AD1A57"/>
    <w:rsid w:val="00AD1B40"/>
    <w:rsid w:val="00AD1B75"/>
    <w:rsid w:val="00AD24C7"/>
    <w:rsid w:val="00AD24E9"/>
    <w:rsid w:val="00AD35F7"/>
    <w:rsid w:val="00AD3E59"/>
    <w:rsid w:val="00AD4363"/>
    <w:rsid w:val="00AD4AA5"/>
    <w:rsid w:val="00AD4AD6"/>
    <w:rsid w:val="00AD5D4A"/>
    <w:rsid w:val="00AD6BB8"/>
    <w:rsid w:val="00AD7C24"/>
    <w:rsid w:val="00AD7D52"/>
    <w:rsid w:val="00AE0B3E"/>
    <w:rsid w:val="00AE2462"/>
    <w:rsid w:val="00AE3B7C"/>
    <w:rsid w:val="00AE617D"/>
    <w:rsid w:val="00AE61CB"/>
    <w:rsid w:val="00AE6335"/>
    <w:rsid w:val="00AE6EBC"/>
    <w:rsid w:val="00AE7D64"/>
    <w:rsid w:val="00AF10B3"/>
    <w:rsid w:val="00AF1757"/>
    <w:rsid w:val="00AF1DE1"/>
    <w:rsid w:val="00AF1F9E"/>
    <w:rsid w:val="00AF20CD"/>
    <w:rsid w:val="00AF221D"/>
    <w:rsid w:val="00AF2630"/>
    <w:rsid w:val="00AF2E5A"/>
    <w:rsid w:val="00AF3809"/>
    <w:rsid w:val="00AF3CA4"/>
    <w:rsid w:val="00AF40BB"/>
    <w:rsid w:val="00AF499E"/>
    <w:rsid w:val="00AF54E9"/>
    <w:rsid w:val="00AF5F5D"/>
    <w:rsid w:val="00AF6627"/>
    <w:rsid w:val="00AF69A0"/>
    <w:rsid w:val="00AF6A9D"/>
    <w:rsid w:val="00AF6C7D"/>
    <w:rsid w:val="00AF7D92"/>
    <w:rsid w:val="00AF7F10"/>
    <w:rsid w:val="00B00F49"/>
    <w:rsid w:val="00B01699"/>
    <w:rsid w:val="00B0209B"/>
    <w:rsid w:val="00B02419"/>
    <w:rsid w:val="00B02729"/>
    <w:rsid w:val="00B02DB2"/>
    <w:rsid w:val="00B0324B"/>
    <w:rsid w:val="00B032AF"/>
    <w:rsid w:val="00B03442"/>
    <w:rsid w:val="00B038CD"/>
    <w:rsid w:val="00B03AA2"/>
    <w:rsid w:val="00B0478C"/>
    <w:rsid w:val="00B050CE"/>
    <w:rsid w:val="00B05BAE"/>
    <w:rsid w:val="00B05E7E"/>
    <w:rsid w:val="00B06863"/>
    <w:rsid w:val="00B072A2"/>
    <w:rsid w:val="00B078BA"/>
    <w:rsid w:val="00B07FC0"/>
    <w:rsid w:val="00B10388"/>
    <w:rsid w:val="00B10481"/>
    <w:rsid w:val="00B1080E"/>
    <w:rsid w:val="00B109BB"/>
    <w:rsid w:val="00B111C5"/>
    <w:rsid w:val="00B1135E"/>
    <w:rsid w:val="00B1164A"/>
    <w:rsid w:val="00B1166D"/>
    <w:rsid w:val="00B1271B"/>
    <w:rsid w:val="00B12F6C"/>
    <w:rsid w:val="00B13424"/>
    <w:rsid w:val="00B13670"/>
    <w:rsid w:val="00B139A9"/>
    <w:rsid w:val="00B139AA"/>
    <w:rsid w:val="00B13D62"/>
    <w:rsid w:val="00B14F13"/>
    <w:rsid w:val="00B15170"/>
    <w:rsid w:val="00B15FD5"/>
    <w:rsid w:val="00B16D27"/>
    <w:rsid w:val="00B17C1D"/>
    <w:rsid w:val="00B2043B"/>
    <w:rsid w:val="00B20C81"/>
    <w:rsid w:val="00B213A7"/>
    <w:rsid w:val="00B219E1"/>
    <w:rsid w:val="00B21C87"/>
    <w:rsid w:val="00B22CB7"/>
    <w:rsid w:val="00B2326C"/>
    <w:rsid w:val="00B23592"/>
    <w:rsid w:val="00B23A5B"/>
    <w:rsid w:val="00B26110"/>
    <w:rsid w:val="00B263E1"/>
    <w:rsid w:val="00B2695F"/>
    <w:rsid w:val="00B2760E"/>
    <w:rsid w:val="00B30268"/>
    <w:rsid w:val="00B3093E"/>
    <w:rsid w:val="00B3096A"/>
    <w:rsid w:val="00B31964"/>
    <w:rsid w:val="00B31F8C"/>
    <w:rsid w:val="00B32B48"/>
    <w:rsid w:val="00B33EA8"/>
    <w:rsid w:val="00B34187"/>
    <w:rsid w:val="00B34435"/>
    <w:rsid w:val="00B3485C"/>
    <w:rsid w:val="00B34903"/>
    <w:rsid w:val="00B34AC2"/>
    <w:rsid w:val="00B34E53"/>
    <w:rsid w:val="00B350EC"/>
    <w:rsid w:val="00B354A6"/>
    <w:rsid w:val="00B35A4C"/>
    <w:rsid w:val="00B35A52"/>
    <w:rsid w:val="00B36176"/>
    <w:rsid w:val="00B362F8"/>
    <w:rsid w:val="00B363A5"/>
    <w:rsid w:val="00B364E3"/>
    <w:rsid w:val="00B36871"/>
    <w:rsid w:val="00B369F3"/>
    <w:rsid w:val="00B37620"/>
    <w:rsid w:val="00B410A7"/>
    <w:rsid w:val="00B413B6"/>
    <w:rsid w:val="00B41584"/>
    <w:rsid w:val="00B41A5B"/>
    <w:rsid w:val="00B42976"/>
    <w:rsid w:val="00B43193"/>
    <w:rsid w:val="00B431A7"/>
    <w:rsid w:val="00B43289"/>
    <w:rsid w:val="00B43979"/>
    <w:rsid w:val="00B43A3A"/>
    <w:rsid w:val="00B440AD"/>
    <w:rsid w:val="00B44238"/>
    <w:rsid w:val="00B45B0B"/>
    <w:rsid w:val="00B4692E"/>
    <w:rsid w:val="00B4739B"/>
    <w:rsid w:val="00B47A7D"/>
    <w:rsid w:val="00B47A94"/>
    <w:rsid w:val="00B47F5D"/>
    <w:rsid w:val="00B505A9"/>
    <w:rsid w:val="00B50AB9"/>
    <w:rsid w:val="00B50D8C"/>
    <w:rsid w:val="00B519CD"/>
    <w:rsid w:val="00B53120"/>
    <w:rsid w:val="00B533FD"/>
    <w:rsid w:val="00B5570C"/>
    <w:rsid w:val="00B559B9"/>
    <w:rsid w:val="00B562DC"/>
    <w:rsid w:val="00B56BBA"/>
    <w:rsid w:val="00B577F4"/>
    <w:rsid w:val="00B57ADE"/>
    <w:rsid w:val="00B57D75"/>
    <w:rsid w:val="00B600A6"/>
    <w:rsid w:val="00B6105E"/>
    <w:rsid w:val="00B616B6"/>
    <w:rsid w:val="00B6180B"/>
    <w:rsid w:val="00B62A05"/>
    <w:rsid w:val="00B62B42"/>
    <w:rsid w:val="00B643BC"/>
    <w:rsid w:val="00B645F1"/>
    <w:rsid w:val="00B64975"/>
    <w:rsid w:val="00B64C52"/>
    <w:rsid w:val="00B65937"/>
    <w:rsid w:val="00B65DB9"/>
    <w:rsid w:val="00B66886"/>
    <w:rsid w:val="00B669C7"/>
    <w:rsid w:val="00B6730E"/>
    <w:rsid w:val="00B67494"/>
    <w:rsid w:val="00B67A24"/>
    <w:rsid w:val="00B67B67"/>
    <w:rsid w:val="00B708B3"/>
    <w:rsid w:val="00B713DE"/>
    <w:rsid w:val="00B71658"/>
    <w:rsid w:val="00B71C89"/>
    <w:rsid w:val="00B73121"/>
    <w:rsid w:val="00B73983"/>
    <w:rsid w:val="00B7499C"/>
    <w:rsid w:val="00B75205"/>
    <w:rsid w:val="00B75B6E"/>
    <w:rsid w:val="00B75EB0"/>
    <w:rsid w:val="00B765C5"/>
    <w:rsid w:val="00B76D53"/>
    <w:rsid w:val="00B76D9D"/>
    <w:rsid w:val="00B77FBA"/>
    <w:rsid w:val="00B800C5"/>
    <w:rsid w:val="00B80258"/>
    <w:rsid w:val="00B80E11"/>
    <w:rsid w:val="00B817AA"/>
    <w:rsid w:val="00B819A5"/>
    <w:rsid w:val="00B819B3"/>
    <w:rsid w:val="00B81C3A"/>
    <w:rsid w:val="00B824E1"/>
    <w:rsid w:val="00B834ED"/>
    <w:rsid w:val="00B8588B"/>
    <w:rsid w:val="00B86145"/>
    <w:rsid w:val="00B86925"/>
    <w:rsid w:val="00B86D4E"/>
    <w:rsid w:val="00B87808"/>
    <w:rsid w:val="00B87879"/>
    <w:rsid w:val="00B8791C"/>
    <w:rsid w:val="00B90037"/>
    <w:rsid w:val="00B908B7"/>
    <w:rsid w:val="00B90E7E"/>
    <w:rsid w:val="00B911DB"/>
    <w:rsid w:val="00B9133D"/>
    <w:rsid w:val="00B91C11"/>
    <w:rsid w:val="00B92829"/>
    <w:rsid w:val="00B93952"/>
    <w:rsid w:val="00B939DC"/>
    <w:rsid w:val="00B93B33"/>
    <w:rsid w:val="00B93D66"/>
    <w:rsid w:val="00B94738"/>
    <w:rsid w:val="00B94EA4"/>
    <w:rsid w:val="00B953BE"/>
    <w:rsid w:val="00B95635"/>
    <w:rsid w:val="00B963F1"/>
    <w:rsid w:val="00B964D6"/>
    <w:rsid w:val="00B9677C"/>
    <w:rsid w:val="00B96D19"/>
    <w:rsid w:val="00B96DE5"/>
    <w:rsid w:val="00B974C0"/>
    <w:rsid w:val="00B975E5"/>
    <w:rsid w:val="00B97905"/>
    <w:rsid w:val="00B97949"/>
    <w:rsid w:val="00BA214F"/>
    <w:rsid w:val="00BA236B"/>
    <w:rsid w:val="00BA247E"/>
    <w:rsid w:val="00BA2ED9"/>
    <w:rsid w:val="00BA387E"/>
    <w:rsid w:val="00BA3FBF"/>
    <w:rsid w:val="00BA42B6"/>
    <w:rsid w:val="00BA484A"/>
    <w:rsid w:val="00BA5DAA"/>
    <w:rsid w:val="00BA6A76"/>
    <w:rsid w:val="00BA6D6A"/>
    <w:rsid w:val="00BA7413"/>
    <w:rsid w:val="00BA76EA"/>
    <w:rsid w:val="00BA7A26"/>
    <w:rsid w:val="00BA7BAA"/>
    <w:rsid w:val="00BA7E7A"/>
    <w:rsid w:val="00BB14BE"/>
    <w:rsid w:val="00BB16FC"/>
    <w:rsid w:val="00BB1924"/>
    <w:rsid w:val="00BB1969"/>
    <w:rsid w:val="00BB1974"/>
    <w:rsid w:val="00BB3517"/>
    <w:rsid w:val="00BB3655"/>
    <w:rsid w:val="00BB3A82"/>
    <w:rsid w:val="00BB554F"/>
    <w:rsid w:val="00BB565A"/>
    <w:rsid w:val="00BB5D7B"/>
    <w:rsid w:val="00BB69F1"/>
    <w:rsid w:val="00BB7342"/>
    <w:rsid w:val="00BC0157"/>
    <w:rsid w:val="00BC0334"/>
    <w:rsid w:val="00BC19D6"/>
    <w:rsid w:val="00BC1F1D"/>
    <w:rsid w:val="00BC1FC5"/>
    <w:rsid w:val="00BC2294"/>
    <w:rsid w:val="00BC2387"/>
    <w:rsid w:val="00BC2460"/>
    <w:rsid w:val="00BC2964"/>
    <w:rsid w:val="00BC2FB3"/>
    <w:rsid w:val="00BC3945"/>
    <w:rsid w:val="00BC3D47"/>
    <w:rsid w:val="00BC4E30"/>
    <w:rsid w:val="00BC4F40"/>
    <w:rsid w:val="00BC5665"/>
    <w:rsid w:val="00BC5DF7"/>
    <w:rsid w:val="00BC639D"/>
    <w:rsid w:val="00BC6E08"/>
    <w:rsid w:val="00BC7E7E"/>
    <w:rsid w:val="00BD1DDE"/>
    <w:rsid w:val="00BD26DC"/>
    <w:rsid w:val="00BD2C15"/>
    <w:rsid w:val="00BD2E79"/>
    <w:rsid w:val="00BD3293"/>
    <w:rsid w:val="00BD352D"/>
    <w:rsid w:val="00BD4A7E"/>
    <w:rsid w:val="00BD54D5"/>
    <w:rsid w:val="00BD5822"/>
    <w:rsid w:val="00BD6A58"/>
    <w:rsid w:val="00BD6B7E"/>
    <w:rsid w:val="00BD6DE2"/>
    <w:rsid w:val="00BD70C1"/>
    <w:rsid w:val="00BD7302"/>
    <w:rsid w:val="00BD7756"/>
    <w:rsid w:val="00BE0304"/>
    <w:rsid w:val="00BE0B75"/>
    <w:rsid w:val="00BE0D38"/>
    <w:rsid w:val="00BE0F20"/>
    <w:rsid w:val="00BE2303"/>
    <w:rsid w:val="00BE2B29"/>
    <w:rsid w:val="00BE3078"/>
    <w:rsid w:val="00BE34DE"/>
    <w:rsid w:val="00BE4BAD"/>
    <w:rsid w:val="00BE5C49"/>
    <w:rsid w:val="00BE62BE"/>
    <w:rsid w:val="00BE637F"/>
    <w:rsid w:val="00BE66E8"/>
    <w:rsid w:val="00BE67B5"/>
    <w:rsid w:val="00BE691C"/>
    <w:rsid w:val="00BE6C91"/>
    <w:rsid w:val="00BE72F1"/>
    <w:rsid w:val="00BE7DD5"/>
    <w:rsid w:val="00BF00AD"/>
    <w:rsid w:val="00BF1238"/>
    <w:rsid w:val="00BF23F7"/>
    <w:rsid w:val="00BF271D"/>
    <w:rsid w:val="00BF3C29"/>
    <w:rsid w:val="00BF467E"/>
    <w:rsid w:val="00BF4963"/>
    <w:rsid w:val="00BF5015"/>
    <w:rsid w:val="00BF519C"/>
    <w:rsid w:val="00BF5C1D"/>
    <w:rsid w:val="00BF63D1"/>
    <w:rsid w:val="00BF6FCF"/>
    <w:rsid w:val="00BF71BA"/>
    <w:rsid w:val="00BF71E9"/>
    <w:rsid w:val="00BF7BBB"/>
    <w:rsid w:val="00BF7F95"/>
    <w:rsid w:val="00C00B19"/>
    <w:rsid w:val="00C01414"/>
    <w:rsid w:val="00C01E98"/>
    <w:rsid w:val="00C02D0E"/>
    <w:rsid w:val="00C02EB5"/>
    <w:rsid w:val="00C03752"/>
    <w:rsid w:val="00C0474A"/>
    <w:rsid w:val="00C05343"/>
    <w:rsid w:val="00C05724"/>
    <w:rsid w:val="00C069CF"/>
    <w:rsid w:val="00C06A97"/>
    <w:rsid w:val="00C06DF2"/>
    <w:rsid w:val="00C102AE"/>
    <w:rsid w:val="00C10AB0"/>
    <w:rsid w:val="00C10EE8"/>
    <w:rsid w:val="00C117C4"/>
    <w:rsid w:val="00C126C0"/>
    <w:rsid w:val="00C127C3"/>
    <w:rsid w:val="00C13D9B"/>
    <w:rsid w:val="00C13E6D"/>
    <w:rsid w:val="00C14371"/>
    <w:rsid w:val="00C14A4A"/>
    <w:rsid w:val="00C150ED"/>
    <w:rsid w:val="00C150F4"/>
    <w:rsid w:val="00C15335"/>
    <w:rsid w:val="00C15A2E"/>
    <w:rsid w:val="00C1699F"/>
    <w:rsid w:val="00C16E51"/>
    <w:rsid w:val="00C179BC"/>
    <w:rsid w:val="00C17BB9"/>
    <w:rsid w:val="00C17BC3"/>
    <w:rsid w:val="00C17E71"/>
    <w:rsid w:val="00C206C3"/>
    <w:rsid w:val="00C207EA"/>
    <w:rsid w:val="00C20DB7"/>
    <w:rsid w:val="00C21415"/>
    <w:rsid w:val="00C21CF2"/>
    <w:rsid w:val="00C226CF"/>
    <w:rsid w:val="00C22A1D"/>
    <w:rsid w:val="00C22B41"/>
    <w:rsid w:val="00C22CDE"/>
    <w:rsid w:val="00C22E1A"/>
    <w:rsid w:val="00C23B7C"/>
    <w:rsid w:val="00C251E2"/>
    <w:rsid w:val="00C25EA9"/>
    <w:rsid w:val="00C26016"/>
    <w:rsid w:val="00C26F1A"/>
    <w:rsid w:val="00C27833"/>
    <w:rsid w:val="00C27BB5"/>
    <w:rsid w:val="00C31BDE"/>
    <w:rsid w:val="00C32A65"/>
    <w:rsid w:val="00C33B08"/>
    <w:rsid w:val="00C35A9F"/>
    <w:rsid w:val="00C35CF0"/>
    <w:rsid w:val="00C36CCC"/>
    <w:rsid w:val="00C37584"/>
    <w:rsid w:val="00C402B3"/>
    <w:rsid w:val="00C406E6"/>
    <w:rsid w:val="00C4152F"/>
    <w:rsid w:val="00C41B21"/>
    <w:rsid w:val="00C429E4"/>
    <w:rsid w:val="00C43486"/>
    <w:rsid w:val="00C43DF9"/>
    <w:rsid w:val="00C44B08"/>
    <w:rsid w:val="00C45DDE"/>
    <w:rsid w:val="00C460BB"/>
    <w:rsid w:val="00C46565"/>
    <w:rsid w:val="00C46AAB"/>
    <w:rsid w:val="00C46CF5"/>
    <w:rsid w:val="00C4712D"/>
    <w:rsid w:val="00C47FC2"/>
    <w:rsid w:val="00C50313"/>
    <w:rsid w:val="00C50B0E"/>
    <w:rsid w:val="00C51CB4"/>
    <w:rsid w:val="00C51CEF"/>
    <w:rsid w:val="00C51F5B"/>
    <w:rsid w:val="00C52052"/>
    <w:rsid w:val="00C52F8D"/>
    <w:rsid w:val="00C5341B"/>
    <w:rsid w:val="00C5346B"/>
    <w:rsid w:val="00C53F62"/>
    <w:rsid w:val="00C54BF4"/>
    <w:rsid w:val="00C553CC"/>
    <w:rsid w:val="00C5592E"/>
    <w:rsid w:val="00C55F2B"/>
    <w:rsid w:val="00C56148"/>
    <w:rsid w:val="00C568D0"/>
    <w:rsid w:val="00C5734C"/>
    <w:rsid w:val="00C576D8"/>
    <w:rsid w:val="00C57E7E"/>
    <w:rsid w:val="00C6248F"/>
    <w:rsid w:val="00C62518"/>
    <w:rsid w:val="00C6267D"/>
    <w:rsid w:val="00C629FD"/>
    <w:rsid w:val="00C638E6"/>
    <w:rsid w:val="00C639BD"/>
    <w:rsid w:val="00C63B44"/>
    <w:rsid w:val="00C63F58"/>
    <w:rsid w:val="00C64628"/>
    <w:rsid w:val="00C6478C"/>
    <w:rsid w:val="00C64877"/>
    <w:rsid w:val="00C64BEF"/>
    <w:rsid w:val="00C6504C"/>
    <w:rsid w:val="00C65583"/>
    <w:rsid w:val="00C656DA"/>
    <w:rsid w:val="00C65DBE"/>
    <w:rsid w:val="00C6635A"/>
    <w:rsid w:val="00C66534"/>
    <w:rsid w:val="00C7033D"/>
    <w:rsid w:val="00C703DE"/>
    <w:rsid w:val="00C708F2"/>
    <w:rsid w:val="00C70B44"/>
    <w:rsid w:val="00C70BC3"/>
    <w:rsid w:val="00C70CFE"/>
    <w:rsid w:val="00C71170"/>
    <w:rsid w:val="00C71F57"/>
    <w:rsid w:val="00C72B44"/>
    <w:rsid w:val="00C72D12"/>
    <w:rsid w:val="00C73671"/>
    <w:rsid w:val="00C73F91"/>
    <w:rsid w:val="00C742B2"/>
    <w:rsid w:val="00C742CC"/>
    <w:rsid w:val="00C74825"/>
    <w:rsid w:val="00C7494A"/>
    <w:rsid w:val="00C74DA3"/>
    <w:rsid w:val="00C759C9"/>
    <w:rsid w:val="00C75AF5"/>
    <w:rsid w:val="00C769B8"/>
    <w:rsid w:val="00C776BC"/>
    <w:rsid w:val="00C77916"/>
    <w:rsid w:val="00C77A31"/>
    <w:rsid w:val="00C801C0"/>
    <w:rsid w:val="00C80D4F"/>
    <w:rsid w:val="00C81CCA"/>
    <w:rsid w:val="00C82587"/>
    <w:rsid w:val="00C846E6"/>
    <w:rsid w:val="00C849B1"/>
    <w:rsid w:val="00C84A39"/>
    <w:rsid w:val="00C85551"/>
    <w:rsid w:val="00C85573"/>
    <w:rsid w:val="00C85ABC"/>
    <w:rsid w:val="00C85DD3"/>
    <w:rsid w:val="00C869F7"/>
    <w:rsid w:val="00C87340"/>
    <w:rsid w:val="00C874C5"/>
    <w:rsid w:val="00C87606"/>
    <w:rsid w:val="00C8767B"/>
    <w:rsid w:val="00C8783B"/>
    <w:rsid w:val="00C917A9"/>
    <w:rsid w:val="00C92E18"/>
    <w:rsid w:val="00C93032"/>
    <w:rsid w:val="00C93C02"/>
    <w:rsid w:val="00C94C67"/>
    <w:rsid w:val="00C95161"/>
    <w:rsid w:val="00C957CB"/>
    <w:rsid w:val="00C95E7C"/>
    <w:rsid w:val="00C96B0B"/>
    <w:rsid w:val="00C97FC0"/>
    <w:rsid w:val="00CA06ED"/>
    <w:rsid w:val="00CA0B86"/>
    <w:rsid w:val="00CA1A97"/>
    <w:rsid w:val="00CA1C41"/>
    <w:rsid w:val="00CA25BA"/>
    <w:rsid w:val="00CA2817"/>
    <w:rsid w:val="00CA2F30"/>
    <w:rsid w:val="00CA428C"/>
    <w:rsid w:val="00CA5159"/>
    <w:rsid w:val="00CA5B9F"/>
    <w:rsid w:val="00CA5F44"/>
    <w:rsid w:val="00CA6B18"/>
    <w:rsid w:val="00CA7612"/>
    <w:rsid w:val="00CA7671"/>
    <w:rsid w:val="00CB167D"/>
    <w:rsid w:val="00CB1B66"/>
    <w:rsid w:val="00CB1C4F"/>
    <w:rsid w:val="00CB1E2D"/>
    <w:rsid w:val="00CB25C8"/>
    <w:rsid w:val="00CB2C74"/>
    <w:rsid w:val="00CB3262"/>
    <w:rsid w:val="00CB3764"/>
    <w:rsid w:val="00CB3B05"/>
    <w:rsid w:val="00CB4046"/>
    <w:rsid w:val="00CB51BC"/>
    <w:rsid w:val="00CB549F"/>
    <w:rsid w:val="00CB5C2A"/>
    <w:rsid w:val="00CB67D8"/>
    <w:rsid w:val="00CB6CB1"/>
    <w:rsid w:val="00CB6EC9"/>
    <w:rsid w:val="00CB6FC6"/>
    <w:rsid w:val="00CB7354"/>
    <w:rsid w:val="00CC0185"/>
    <w:rsid w:val="00CC0D17"/>
    <w:rsid w:val="00CC1C93"/>
    <w:rsid w:val="00CC34FC"/>
    <w:rsid w:val="00CC3530"/>
    <w:rsid w:val="00CC3898"/>
    <w:rsid w:val="00CC409E"/>
    <w:rsid w:val="00CC4909"/>
    <w:rsid w:val="00CC6D3F"/>
    <w:rsid w:val="00CC7BFC"/>
    <w:rsid w:val="00CD03A2"/>
    <w:rsid w:val="00CD09BD"/>
    <w:rsid w:val="00CD09F0"/>
    <w:rsid w:val="00CD1039"/>
    <w:rsid w:val="00CD2BA1"/>
    <w:rsid w:val="00CD2E20"/>
    <w:rsid w:val="00CD2F64"/>
    <w:rsid w:val="00CD42CE"/>
    <w:rsid w:val="00CD4938"/>
    <w:rsid w:val="00CD5530"/>
    <w:rsid w:val="00CD5A1B"/>
    <w:rsid w:val="00CD5C3D"/>
    <w:rsid w:val="00CD62CB"/>
    <w:rsid w:val="00CD646D"/>
    <w:rsid w:val="00CD69C6"/>
    <w:rsid w:val="00CD6BC1"/>
    <w:rsid w:val="00CD7068"/>
    <w:rsid w:val="00CE00A0"/>
    <w:rsid w:val="00CE14AE"/>
    <w:rsid w:val="00CE1EA9"/>
    <w:rsid w:val="00CE218B"/>
    <w:rsid w:val="00CE2749"/>
    <w:rsid w:val="00CE2827"/>
    <w:rsid w:val="00CE2E27"/>
    <w:rsid w:val="00CE44AA"/>
    <w:rsid w:val="00CE4638"/>
    <w:rsid w:val="00CE46D8"/>
    <w:rsid w:val="00CE48EB"/>
    <w:rsid w:val="00CE4D55"/>
    <w:rsid w:val="00CE4D61"/>
    <w:rsid w:val="00CE4F16"/>
    <w:rsid w:val="00CE5228"/>
    <w:rsid w:val="00CE53E4"/>
    <w:rsid w:val="00CE5ED0"/>
    <w:rsid w:val="00CE66B6"/>
    <w:rsid w:val="00CE6B68"/>
    <w:rsid w:val="00CE7233"/>
    <w:rsid w:val="00CE7AB9"/>
    <w:rsid w:val="00CF021D"/>
    <w:rsid w:val="00CF0969"/>
    <w:rsid w:val="00CF120D"/>
    <w:rsid w:val="00CF3538"/>
    <w:rsid w:val="00CF3C6D"/>
    <w:rsid w:val="00CF3CBE"/>
    <w:rsid w:val="00CF4B9D"/>
    <w:rsid w:val="00CF5651"/>
    <w:rsid w:val="00CF5EF2"/>
    <w:rsid w:val="00CF6871"/>
    <w:rsid w:val="00CF742F"/>
    <w:rsid w:val="00CF7E01"/>
    <w:rsid w:val="00D01546"/>
    <w:rsid w:val="00D01F70"/>
    <w:rsid w:val="00D0330C"/>
    <w:rsid w:val="00D03435"/>
    <w:rsid w:val="00D03D6A"/>
    <w:rsid w:val="00D043E0"/>
    <w:rsid w:val="00D04572"/>
    <w:rsid w:val="00D04C89"/>
    <w:rsid w:val="00D0524B"/>
    <w:rsid w:val="00D05F17"/>
    <w:rsid w:val="00D06081"/>
    <w:rsid w:val="00D065CB"/>
    <w:rsid w:val="00D10D65"/>
    <w:rsid w:val="00D118CE"/>
    <w:rsid w:val="00D11E84"/>
    <w:rsid w:val="00D11F03"/>
    <w:rsid w:val="00D13079"/>
    <w:rsid w:val="00D13124"/>
    <w:rsid w:val="00D13940"/>
    <w:rsid w:val="00D13BB4"/>
    <w:rsid w:val="00D14643"/>
    <w:rsid w:val="00D16B63"/>
    <w:rsid w:val="00D16C99"/>
    <w:rsid w:val="00D170C3"/>
    <w:rsid w:val="00D20477"/>
    <w:rsid w:val="00D2080E"/>
    <w:rsid w:val="00D21507"/>
    <w:rsid w:val="00D218D4"/>
    <w:rsid w:val="00D21F0B"/>
    <w:rsid w:val="00D22A60"/>
    <w:rsid w:val="00D236B3"/>
    <w:rsid w:val="00D23CCB"/>
    <w:rsid w:val="00D24078"/>
    <w:rsid w:val="00D241B2"/>
    <w:rsid w:val="00D2426C"/>
    <w:rsid w:val="00D24AF1"/>
    <w:rsid w:val="00D253F1"/>
    <w:rsid w:val="00D2547F"/>
    <w:rsid w:val="00D260B9"/>
    <w:rsid w:val="00D2679B"/>
    <w:rsid w:val="00D26BC4"/>
    <w:rsid w:val="00D26CEC"/>
    <w:rsid w:val="00D2743E"/>
    <w:rsid w:val="00D27B2A"/>
    <w:rsid w:val="00D27EE8"/>
    <w:rsid w:val="00D27FFD"/>
    <w:rsid w:val="00D30296"/>
    <w:rsid w:val="00D30586"/>
    <w:rsid w:val="00D30731"/>
    <w:rsid w:val="00D30F9E"/>
    <w:rsid w:val="00D3121A"/>
    <w:rsid w:val="00D32740"/>
    <w:rsid w:val="00D337F5"/>
    <w:rsid w:val="00D340D6"/>
    <w:rsid w:val="00D342E3"/>
    <w:rsid w:val="00D351C4"/>
    <w:rsid w:val="00D35590"/>
    <w:rsid w:val="00D35B36"/>
    <w:rsid w:val="00D368B6"/>
    <w:rsid w:val="00D41CF8"/>
    <w:rsid w:val="00D41D6A"/>
    <w:rsid w:val="00D422E5"/>
    <w:rsid w:val="00D434A6"/>
    <w:rsid w:val="00D43695"/>
    <w:rsid w:val="00D43A3E"/>
    <w:rsid w:val="00D43C5C"/>
    <w:rsid w:val="00D4430C"/>
    <w:rsid w:val="00D45854"/>
    <w:rsid w:val="00D45FC9"/>
    <w:rsid w:val="00D46BDB"/>
    <w:rsid w:val="00D46C0C"/>
    <w:rsid w:val="00D46D0E"/>
    <w:rsid w:val="00D46ED5"/>
    <w:rsid w:val="00D46F08"/>
    <w:rsid w:val="00D47285"/>
    <w:rsid w:val="00D474A5"/>
    <w:rsid w:val="00D50072"/>
    <w:rsid w:val="00D50D28"/>
    <w:rsid w:val="00D511FA"/>
    <w:rsid w:val="00D51562"/>
    <w:rsid w:val="00D521D8"/>
    <w:rsid w:val="00D52795"/>
    <w:rsid w:val="00D52D9D"/>
    <w:rsid w:val="00D53786"/>
    <w:rsid w:val="00D53E20"/>
    <w:rsid w:val="00D54107"/>
    <w:rsid w:val="00D5455E"/>
    <w:rsid w:val="00D54C55"/>
    <w:rsid w:val="00D54E11"/>
    <w:rsid w:val="00D55130"/>
    <w:rsid w:val="00D5544E"/>
    <w:rsid w:val="00D55ED6"/>
    <w:rsid w:val="00D55F09"/>
    <w:rsid w:val="00D56136"/>
    <w:rsid w:val="00D56F53"/>
    <w:rsid w:val="00D5710F"/>
    <w:rsid w:val="00D5731B"/>
    <w:rsid w:val="00D57F95"/>
    <w:rsid w:val="00D60013"/>
    <w:rsid w:val="00D6124A"/>
    <w:rsid w:val="00D6153D"/>
    <w:rsid w:val="00D61683"/>
    <w:rsid w:val="00D64252"/>
    <w:rsid w:val="00D65885"/>
    <w:rsid w:val="00D65988"/>
    <w:rsid w:val="00D66C2B"/>
    <w:rsid w:val="00D67A74"/>
    <w:rsid w:val="00D67B92"/>
    <w:rsid w:val="00D67C42"/>
    <w:rsid w:val="00D7029A"/>
    <w:rsid w:val="00D70542"/>
    <w:rsid w:val="00D70580"/>
    <w:rsid w:val="00D71043"/>
    <w:rsid w:val="00D71123"/>
    <w:rsid w:val="00D71243"/>
    <w:rsid w:val="00D71599"/>
    <w:rsid w:val="00D71B47"/>
    <w:rsid w:val="00D71CCD"/>
    <w:rsid w:val="00D726A5"/>
    <w:rsid w:val="00D72751"/>
    <w:rsid w:val="00D727E0"/>
    <w:rsid w:val="00D72E19"/>
    <w:rsid w:val="00D748F8"/>
    <w:rsid w:val="00D74CE6"/>
    <w:rsid w:val="00D74F19"/>
    <w:rsid w:val="00D74FC4"/>
    <w:rsid w:val="00D753BD"/>
    <w:rsid w:val="00D75816"/>
    <w:rsid w:val="00D75941"/>
    <w:rsid w:val="00D776A2"/>
    <w:rsid w:val="00D777C4"/>
    <w:rsid w:val="00D77B72"/>
    <w:rsid w:val="00D80520"/>
    <w:rsid w:val="00D80C4D"/>
    <w:rsid w:val="00D80CFD"/>
    <w:rsid w:val="00D80D4F"/>
    <w:rsid w:val="00D80F78"/>
    <w:rsid w:val="00D812B9"/>
    <w:rsid w:val="00D82270"/>
    <w:rsid w:val="00D822D0"/>
    <w:rsid w:val="00D82A72"/>
    <w:rsid w:val="00D82F24"/>
    <w:rsid w:val="00D834AA"/>
    <w:rsid w:val="00D839F2"/>
    <w:rsid w:val="00D83D60"/>
    <w:rsid w:val="00D83E83"/>
    <w:rsid w:val="00D84213"/>
    <w:rsid w:val="00D842A5"/>
    <w:rsid w:val="00D84932"/>
    <w:rsid w:val="00D84A08"/>
    <w:rsid w:val="00D84B00"/>
    <w:rsid w:val="00D85248"/>
    <w:rsid w:val="00D85313"/>
    <w:rsid w:val="00D85868"/>
    <w:rsid w:val="00D85B38"/>
    <w:rsid w:val="00D87282"/>
    <w:rsid w:val="00D873D6"/>
    <w:rsid w:val="00D874F9"/>
    <w:rsid w:val="00D87B21"/>
    <w:rsid w:val="00D87B7E"/>
    <w:rsid w:val="00D9039B"/>
    <w:rsid w:val="00D90585"/>
    <w:rsid w:val="00D90857"/>
    <w:rsid w:val="00D911E7"/>
    <w:rsid w:val="00D91C40"/>
    <w:rsid w:val="00D951B9"/>
    <w:rsid w:val="00D9554D"/>
    <w:rsid w:val="00D95ECB"/>
    <w:rsid w:val="00D960EE"/>
    <w:rsid w:val="00D967EA"/>
    <w:rsid w:val="00D96A4F"/>
    <w:rsid w:val="00D96CCB"/>
    <w:rsid w:val="00D9758F"/>
    <w:rsid w:val="00DA00BD"/>
    <w:rsid w:val="00DA1682"/>
    <w:rsid w:val="00DA2BEB"/>
    <w:rsid w:val="00DA4365"/>
    <w:rsid w:val="00DA4F9D"/>
    <w:rsid w:val="00DA5831"/>
    <w:rsid w:val="00DA5E11"/>
    <w:rsid w:val="00DA757B"/>
    <w:rsid w:val="00DA7A17"/>
    <w:rsid w:val="00DA7A43"/>
    <w:rsid w:val="00DA7F62"/>
    <w:rsid w:val="00DB02A4"/>
    <w:rsid w:val="00DB06D2"/>
    <w:rsid w:val="00DB0797"/>
    <w:rsid w:val="00DB0940"/>
    <w:rsid w:val="00DB1276"/>
    <w:rsid w:val="00DB1F7E"/>
    <w:rsid w:val="00DB217E"/>
    <w:rsid w:val="00DB3519"/>
    <w:rsid w:val="00DB4B35"/>
    <w:rsid w:val="00DB54B4"/>
    <w:rsid w:val="00DB5D24"/>
    <w:rsid w:val="00DB5EAF"/>
    <w:rsid w:val="00DB64C5"/>
    <w:rsid w:val="00DB6957"/>
    <w:rsid w:val="00DB7966"/>
    <w:rsid w:val="00DB7C3D"/>
    <w:rsid w:val="00DC041F"/>
    <w:rsid w:val="00DC083E"/>
    <w:rsid w:val="00DC1576"/>
    <w:rsid w:val="00DC1B46"/>
    <w:rsid w:val="00DC20E1"/>
    <w:rsid w:val="00DC2436"/>
    <w:rsid w:val="00DC2C7C"/>
    <w:rsid w:val="00DC2DCA"/>
    <w:rsid w:val="00DC2EBC"/>
    <w:rsid w:val="00DC32F4"/>
    <w:rsid w:val="00DC4166"/>
    <w:rsid w:val="00DC436E"/>
    <w:rsid w:val="00DC5010"/>
    <w:rsid w:val="00DC5304"/>
    <w:rsid w:val="00DC5350"/>
    <w:rsid w:val="00DC59B5"/>
    <w:rsid w:val="00DC5C23"/>
    <w:rsid w:val="00DC5E0C"/>
    <w:rsid w:val="00DC6A3D"/>
    <w:rsid w:val="00DC761E"/>
    <w:rsid w:val="00DC7C3D"/>
    <w:rsid w:val="00DC7DCE"/>
    <w:rsid w:val="00DD242B"/>
    <w:rsid w:val="00DD2D44"/>
    <w:rsid w:val="00DD3126"/>
    <w:rsid w:val="00DD324E"/>
    <w:rsid w:val="00DD3923"/>
    <w:rsid w:val="00DD57DD"/>
    <w:rsid w:val="00DD583F"/>
    <w:rsid w:val="00DD5BA8"/>
    <w:rsid w:val="00DD6C04"/>
    <w:rsid w:val="00DD6D56"/>
    <w:rsid w:val="00DD7C8A"/>
    <w:rsid w:val="00DD7D3D"/>
    <w:rsid w:val="00DE0059"/>
    <w:rsid w:val="00DE05AE"/>
    <w:rsid w:val="00DE0F25"/>
    <w:rsid w:val="00DE1A86"/>
    <w:rsid w:val="00DE1CBC"/>
    <w:rsid w:val="00DE2514"/>
    <w:rsid w:val="00DE299B"/>
    <w:rsid w:val="00DE3095"/>
    <w:rsid w:val="00DE31E8"/>
    <w:rsid w:val="00DE36C2"/>
    <w:rsid w:val="00DE3F48"/>
    <w:rsid w:val="00DE4597"/>
    <w:rsid w:val="00DE4F5E"/>
    <w:rsid w:val="00DE5381"/>
    <w:rsid w:val="00DE5475"/>
    <w:rsid w:val="00DE63BD"/>
    <w:rsid w:val="00DE669D"/>
    <w:rsid w:val="00DE6902"/>
    <w:rsid w:val="00DE6B6E"/>
    <w:rsid w:val="00DE7154"/>
    <w:rsid w:val="00DF082C"/>
    <w:rsid w:val="00DF10B7"/>
    <w:rsid w:val="00DF12D1"/>
    <w:rsid w:val="00DF1693"/>
    <w:rsid w:val="00DF1B45"/>
    <w:rsid w:val="00DF1DC0"/>
    <w:rsid w:val="00DF2262"/>
    <w:rsid w:val="00DF2AD9"/>
    <w:rsid w:val="00DF2D16"/>
    <w:rsid w:val="00DF36FD"/>
    <w:rsid w:val="00DF43CC"/>
    <w:rsid w:val="00DF49B8"/>
    <w:rsid w:val="00DF5106"/>
    <w:rsid w:val="00DF68B6"/>
    <w:rsid w:val="00DF7957"/>
    <w:rsid w:val="00DF7A8B"/>
    <w:rsid w:val="00DF7CBF"/>
    <w:rsid w:val="00E00025"/>
    <w:rsid w:val="00E004D5"/>
    <w:rsid w:val="00E00B4E"/>
    <w:rsid w:val="00E00B68"/>
    <w:rsid w:val="00E00F20"/>
    <w:rsid w:val="00E01429"/>
    <w:rsid w:val="00E020EA"/>
    <w:rsid w:val="00E023A6"/>
    <w:rsid w:val="00E02E2B"/>
    <w:rsid w:val="00E035E1"/>
    <w:rsid w:val="00E03F40"/>
    <w:rsid w:val="00E03FBE"/>
    <w:rsid w:val="00E04197"/>
    <w:rsid w:val="00E04CA9"/>
    <w:rsid w:val="00E04EFA"/>
    <w:rsid w:val="00E05763"/>
    <w:rsid w:val="00E064CD"/>
    <w:rsid w:val="00E068CA"/>
    <w:rsid w:val="00E06C60"/>
    <w:rsid w:val="00E06EB1"/>
    <w:rsid w:val="00E074A3"/>
    <w:rsid w:val="00E0779B"/>
    <w:rsid w:val="00E079AF"/>
    <w:rsid w:val="00E07AC6"/>
    <w:rsid w:val="00E10ECD"/>
    <w:rsid w:val="00E123B2"/>
    <w:rsid w:val="00E127B1"/>
    <w:rsid w:val="00E12A47"/>
    <w:rsid w:val="00E12B16"/>
    <w:rsid w:val="00E1353E"/>
    <w:rsid w:val="00E135E8"/>
    <w:rsid w:val="00E14823"/>
    <w:rsid w:val="00E14E14"/>
    <w:rsid w:val="00E15087"/>
    <w:rsid w:val="00E15770"/>
    <w:rsid w:val="00E1603E"/>
    <w:rsid w:val="00E16DCB"/>
    <w:rsid w:val="00E177DE"/>
    <w:rsid w:val="00E2056F"/>
    <w:rsid w:val="00E20581"/>
    <w:rsid w:val="00E20702"/>
    <w:rsid w:val="00E2097A"/>
    <w:rsid w:val="00E20996"/>
    <w:rsid w:val="00E20A07"/>
    <w:rsid w:val="00E20B47"/>
    <w:rsid w:val="00E2141D"/>
    <w:rsid w:val="00E21F7F"/>
    <w:rsid w:val="00E22EE5"/>
    <w:rsid w:val="00E231C5"/>
    <w:rsid w:val="00E2358B"/>
    <w:rsid w:val="00E2372C"/>
    <w:rsid w:val="00E23DB2"/>
    <w:rsid w:val="00E24508"/>
    <w:rsid w:val="00E24C46"/>
    <w:rsid w:val="00E25307"/>
    <w:rsid w:val="00E25A69"/>
    <w:rsid w:val="00E26A7E"/>
    <w:rsid w:val="00E26DE3"/>
    <w:rsid w:val="00E273AE"/>
    <w:rsid w:val="00E27DBA"/>
    <w:rsid w:val="00E308C1"/>
    <w:rsid w:val="00E314D5"/>
    <w:rsid w:val="00E3175F"/>
    <w:rsid w:val="00E3196D"/>
    <w:rsid w:val="00E32A35"/>
    <w:rsid w:val="00E32CEF"/>
    <w:rsid w:val="00E33BD7"/>
    <w:rsid w:val="00E340A2"/>
    <w:rsid w:val="00E350E4"/>
    <w:rsid w:val="00E36E94"/>
    <w:rsid w:val="00E37A40"/>
    <w:rsid w:val="00E37DD7"/>
    <w:rsid w:val="00E405EF"/>
    <w:rsid w:val="00E406AD"/>
    <w:rsid w:val="00E40F2E"/>
    <w:rsid w:val="00E41A9E"/>
    <w:rsid w:val="00E41E1C"/>
    <w:rsid w:val="00E41F73"/>
    <w:rsid w:val="00E420D0"/>
    <w:rsid w:val="00E43FBC"/>
    <w:rsid w:val="00E4465E"/>
    <w:rsid w:val="00E4586E"/>
    <w:rsid w:val="00E46B90"/>
    <w:rsid w:val="00E46C8F"/>
    <w:rsid w:val="00E46E67"/>
    <w:rsid w:val="00E47495"/>
    <w:rsid w:val="00E47BBC"/>
    <w:rsid w:val="00E47CB1"/>
    <w:rsid w:val="00E502DB"/>
    <w:rsid w:val="00E50898"/>
    <w:rsid w:val="00E50A58"/>
    <w:rsid w:val="00E50B75"/>
    <w:rsid w:val="00E50FD7"/>
    <w:rsid w:val="00E511F1"/>
    <w:rsid w:val="00E516D7"/>
    <w:rsid w:val="00E524E6"/>
    <w:rsid w:val="00E527BC"/>
    <w:rsid w:val="00E52821"/>
    <w:rsid w:val="00E52EC3"/>
    <w:rsid w:val="00E531E8"/>
    <w:rsid w:val="00E53834"/>
    <w:rsid w:val="00E542B1"/>
    <w:rsid w:val="00E548FB"/>
    <w:rsid w:val="00E54B87"/>
    <w:rsid w:val="00E54CBF"/>
    <w:rsid w:val="00E55034"/>
    <w:rsid w:val="00E55389"/>
    <w:rsid w:val="00E562DF"/>
    <w:rsid w:val="00E570C4"/>
    <w:rsid w:val="00E5720D"/>
    <w:rsid w:val="00E57328"/>
    <w:rsid w:val="00E610AB"/>
    <w:rsid w:val="00E6181C"/>
    <w:rsid w:val="00E618FF"/>
    <w:rsid w:val="00E61A5E"/>
    <w:rsid w:val="00E61FB1"/>
    <w:rsid w:val="00E62077"/>
    <w:rsid w:val="00E6281A"/>
    <w:rsid w:val="00E62ED2"/>
    <w:rsid w:val="00E63F16"/>
    <w:rsid w:val="00E649C4"/>
    <w:rsid w:val="00E64A60"/>
    <w:rsid w:val="00E6550E"/>
    <w:rsid w:val="00E65D03"/>
    <w:rsid w:val="00E66097"/>
    <w:rsid w:val="00E660E9"/>
    <w:rsid w:val="00E665E7"/>
    <w:rsid w:val="00E66F44"/>
    <w:rsid w:val="00E670D5"/>
    <w:rsid w:val="00E672EF"/>
    <w:rsid w:val="00E67706"/>
    <w:rsid w:val="00E67B23"/>
    <w:rsid w:val="00E67EC1"/>
    <w:rsid w:val="00E70854"/>
    <w:rsid w:val="00E70DBB"/>
    <w:rsid w:val="00E70E85"/>
    <w:rsid w:val="00E722C7"/>
    <w:rsid w:val="00E72DE1"/>
    <w:rsid w:val="00E73B0A"/>
    <w:rsid w:val="00E7427C"/>
    <w:rsid w:val="00E74534"/>
    <w:rsid w:val="00E745E1"/>
    <w:rsid w:val="00E7481C"/>
    <w:rsid w:val="00E74F75"/>
    <w:rsid w:val="00E75111"/>
    <w:rsid w:val="00E7517C"/>
    <w:rsid w:val="00E75536"/>
    <w:rsid w:val="00E7632C"/>
    <w:rsid w:val="00E76FFD"/>
    <w:rsid w:val="00E7792D"/>
    <w:rsid w:val="00E803A1"/>
    <w:rsid w:val="00E8075F"/>
    <w:rsid w:val="00E80BB3"/>
    <w:rsid w:val="00E81393"/>
    <w:rsid w:val="00E81F4C"/>
    <w:rsid w:val="00E826D5"/>
    <w:rsid w:val="00E82DAD"/>
    <w:rsid w:val="00E83156"/>
    <w:rsid w:val="00E847BE"/>
    <w:rsid w:val="00E84E4D"/>
    <w:rsid w:val="00E84FA7"/>
    <w:rsid w:val="00E853CF"/>
    <w:rsid w:val="00E85628"/>
    <w:rsid w:val="00E86AEF"/>
    <w:rsid w:val="00E8721A"/>
    <w:rsid w:val="00E87343"/>
    <w:rsid w:val="00E876E0"/>
    <w:rsid w:val="00E879F8"/>
    <w:rsid w:val="00E87C95"/>
    <w:rsid w:val="00E9038B"/>
    <w:rsid w:val="00E907D3"/>
    <w:rsid w:val="00E90B5E"/>
    <w:rsid w:val="00E90E63"/>
    <w:rsid w:val="00E91254"/>
    <w:rsid w:val="00E91699"/>
    <w:rsid w:val="00E91CE9"/>
    <w:rsid w:val="00E926B9"/>
    <w:rsid w:val="00E92B91"/>
    <w:rsid w:val="00E95161"/>
    <w:rsid w:val="00E9549B"/>
    <w:rsid w:val="00E95CFA"/>
    <w:rsid w:val="00E95FA1"/>
    <w:rsid w:val="00E96CFF"/>
    <w:rsid w:val="00E96D0A"/>
    <w:rsid w:val="00E96E36"/>
    <w:rsid w:val="00E97D60"/>
    <w:rsid w:val="00EA109E"/>
    <w:rsid w:val="00EA157A"/>
    <w:rsid w:val="00EA15B4"/>
    <w:rsid w:val="00EA1AE3"/>
    <w:rsid w:val="00EA1FEB"/>
    <w:rsid w:val="00EA280C"/>
    <w:rsid w:val="00EA28AE"/>
    <w:rsid w:val="00EA3252"/>
    <w:rsid w:val="00EA37E3"/>
    <w:rsid w:val="00EA3C01"/>
    <w:rsid w:val="00EA4098"/>
    <w:rsid w:val="00EA550A"/>
    <w:rsid w:val="00EA5F10"/>
    <w:rsid w:val="00EA635C"/>
    <w:rsid w:val="00EA639F"/>
    <w:rsid w:val="00EA6550"/>
    <w:rsid w:val="00EA7B14"/>
    <w:rsid w:val="00EB0A9B"/>
    <w:rsid w:val="00EB1859"/>
    <w:rsid w:val="00EB256A"/>
    <w:rsid w:val="00EB2803"/>
    <w:rsid w:val="00EB3815"/>
    <w:rsid w:val="00EB3A5E"/>
    <w:rsid w:val="00EB4FB1"/>
    <w:rsid w:val="00EB5C26"/>
    <w:rsid w:val="00EB5D9C"/>
    <w:rsid w:val="00EB6464"/>
    <w:rsid w:val="00EB6EAD"/>
    <w:rsid w:val="00EB7402"/>
    <w:rsid w:val="00EB7D89"/>
    <w:rsid w:val="00EC0349"/>
    <w:rsid w:val="00EC066C"/>
    <w:rsid w:val="00EC11EB"/>
    <w:rsid w:val="00EC4B65"/>
    <w:rsid w:val="00EC5566"/>
    <w:rsid w:val="00EC5D37"/>
    <w:rsid w:val="00EC6184"/>
    <w:rsid w:val="00EC6539"/>
    <w:rsid w:val="00EC7E4E"/>
    <w:rsid w:val="00ED00D8"/>
    <w:rsid w:val="00ED049F"/>
    <w:rsid w:val="00ED0998"/>
    <w:rsid w:val="00ED0FDD"/>
    <w:rsid w:val="00ED1C3E"/>
    <w:rsid w:val="00ED2280"/>
    <w:rsid w:val="00ED2B7A"/>
    <w:rsid w:val="00ED2BED"/>
    <w:rsid w:val="00ED2DD6"/>
    <w:rsid w:val="00ED32BC"/>
    <w:rsid w:val="00ED4BA4"/>
    <w:rsid w:val="00ED4D49"/>
    <w:rsid w:val="00ED57B4"/>
    <w:rsid w:val="00ED57DC"/>
    <w:rsid w:val="00ED5B2D"/>
    <w:rsid w:val="00ED639D"/>
    <w:rsid w:val="00ED6ACF"/>
    <w:rsid w:val="00ED6B0B"/>
    <w:rsid w:val="00ED6BAB"/>
    <w:rsid w:val="00ED6BE7"/>
    <w:rsid w:val="00ED6D92"/>
    <w:rsid w:val="00ED79FA"/>
    <w:rsid w:val="00EE01FD"/>
    <w:rsid w:val="00EE02B8"/>
    <w:rsid w:val="00EE06FF"/>
    <w:rsid w:val="00EE1572"/>
    <w:rsid w:val="00EE20FE"/>
    <w:rsid w:val="00EE28C5"/>
    <w:rsid w:val="00EE509F"/>
    <w:rsid w:val="00EE5198"/>
    <w:rsid w:val="00EE623E"/>
    <w:rsid w:val="00EE67E7"/>
    <w:rsid w:val="00EE6DD1"/>
    <w:rsid w:val="00EE7F8B"/>
    <w:rsid w:val="00EF0942"/>
    <w:rsid w:val="00EF3589"/>
    <w:rsid w:val="00EF524C"/>
    <w:rsid w:val="00EF54D6"/>
    <w:rsid w:val="00EF5A9E"/>
    <w:rsid w:val="00EF5FBF"/>
    <w:rsid w:val="00EF61EA"/>
    <w:rsid w:val="00EF6439"/>
    <w:rsid w:val="00EF6D70"/>
    <w:rsid w:val="00EF6FCD"/>
    <w:rsid w:val="00F0055F"/>
    <w:rsid w:val="00F00D11"/>
    <w:rsid w:val="00F0166A"/>
    <w:rsid w:val="00F018B8"/>
    <w:rsid w:val="00F02741"/>
    <w:rsid w:val="00F02928"/>
    <w:rsid w:val="00F03182"/>
    <w:rsid w:val="00F03224"/>
    <w:rsid w:val="00F03C79"/>
    <w:rsid w:val="00F03F24"/>
    <w:rsid w:val="00F04439"/>
    <w:rsid w:val="00F0462A"/>
    <w:rsid w:val="00F04702"/>
    <w:rsid w:val="00F04758"/>
    <w:rsid w:val="00F04CE3"/>
    <w:rsid w:val="00F04EFA"/>
    <w:rsid w:val="00F05123"/>
    <w:rsid w:val="00F05229"/>
    <w:rsid w:val="00F05999"/>
    <w:rsid w:val="00F06432"/>
    <w:rsid w:val="00F06541"/>
    <w:rsid w:val="00F10A4A"/>
    <w:rsid w:val="00F10D34"/>
    <w:rsid w:val="00F11F90"/>
    <w:rsid w:val="00F121FD"/>
    <w:rsid w:val="00F122A6"/>
    <w:rsid w:val="00F122D2"/>
    <w:rsid w:val="00F12600"/>
    <w:rsid w:val="00F13080"/>
    <w:rsid w:val="00F13305"/>
    <w:rsid w:val="00F13BC1"/>
    <w:rsid w:val="00F14DAE"/>
    <w:rsid w:val="00F1533E"/>
    <w:rsid w:val="00F1572E"/>
    <w:rsid w:val="00F1580A"/>
    <w:rsid w:val="00F15A14"/>
    <w:rsid w:val="00F15C70"/>
    <w:rsid w:val="00F164A9"/>
    <w:rsid w:val="00F16A7F"/>
    <w:rsid w:val="00F17257"/>
    <w:rsid w:val="00F1773D"/>
    <w:rsid w:val="00F203A4"/>
    <w:rsid w:val="00F20653"/>
    <w:rsid w:val="00F21603"/>
    <w:rsid w:val="00F217F4"/>
    <w:rsid w:val="00F223F8"/>
    <w:rsid w:val="00F22B98"/>
    <w:rsid w:val="00F23D60"/>
    <w:rsid w:val="00F2525F"/>
    <w:rsid w:val="00F2535E"/>
    <w:rsid w:val="00F25402"/>
    <w:rsid w:val="00F257C1"/>
    <w:rsid w:val="00F260F4"/>
    <w:rsid w:val="00F2695C"/>
    <w:rsid w:val="00F303CA"/>
    <w:rsid w:val="00F31378"/>
    <w:rsid w:val="00F3166D"/>
    <w:rsid w:val="00F317C3"/>
    <w:rsid w:val="00F3213F"/>
    <w:rsid w:val="00F32784"/>
    <w:rsid w:val="00F32A2E"/>
    <w:rsid w:val="00F32E3E"/>
    <w:rsid w:val="00F332B3"/>
    <w:rsid w:val="00F3370E"/>
    <w:rsid w:val="00F3488B"/>
    <w:rsid w:val="00F34C4B"/>
    <w:rsid w:val="00F34C60"/>
    <w:rsid w:val="00F34EEB"/>
    <w:rsid w:val="00F34EFF"/>
    <w:rsid w:val="00F351EE"/>
    <w:rsid w:val="00F353F2"/>
    <w:rsid w:val="00F354FA"/>
    <w:rsid w:val="00F373CE"/>
    <w:rsid w:val="00F375FD"/>
    <w:rsid w:val="00F37A56"/>
    <w:rsid w:val="00F37FD2"/>
    <w:rsid w:val="00F40201"/>
    <w:rsid w:val="00F40529"/>
    <w:rsid w:val="00F405C0"/>
    <w:rsid w:val="00F40D8E"/>
    <w:rsid w:val="00F410AF"/>
    <w:rsid w:val="00F41334"/>
    <w:rsid w:val="00F419D3"/>
    <w:rsid w:val="00F43082"/>
    <w:rsid w:val="00F43589"/>
    <w:rsid w:val="00F446F2"/>
    <w:rsid w:val="00F453FE"/>
    <w:rsid w:val="00F45AFB"/>
    <w:rsid w:val="00F45E54"/>
    <w:rsid w:val="00F46AF0"/>
    <w:rsid w:val="00F47519"/>
    <w:rsid w:val="00F4774C"/>
    <w:rsid w:val="00F477F9"/>
    <w:rsid w:val="00F5091C"/>
    <w:rsid w:val="00F5192F"/>
    <w:rsid w:val="00F53067"/>
    <w:rsid w:val="00F53778"/>
    <w:rsid w:val="00F54904"/>
    <w:rsid w:val="00F5535E"/>
    <w:rsid w:val="00F562F5"/>
    <w:rsid w:val="00F56BF9"/>
    <w:rsid w:val="00F570E6"/>
    <w:rsid w:val="00F579DC"/>
    <w:rsid w:val="00F57E67"/>
    <w:rsid w:val="00F60052"/>
    <w:rsid w:val="00F60130"/>
    <w:rsid w:val="00F60982"/>
    <w:rsid w:val="00F61858"/>
    <w:rsid w:val="00F61961"/>
    <w:rsid w:val="00F6243F"/>
    <w:rsid w:val="00F636EE"/>
    <w:rsid w:val="00F646B4"/>
    <w:rsid w:val="00F651A7"/>
    <w:rsid w:val="00F6595A"/>
    <w:rsid w:val="00F65AE0"/>
    <w:rsid w:val="00F65DDC"/>
    <w:rsid w:val="00F6628B"/>
    <w:rsid w:val="00F6719C"/>
    <w:rsid w:val="00F677B5"/>
    <w:rsid w:val="00F6791A"/>
    <w:rsid w:val="00F67B88"/>
    <w:rsid w:val="00F702ED"/>
    <w:rsid w:val="00F7072F"/>
    <w:rsid w:val="00F707C3"/>
    <w:rsid w:val="00F70E15"/>
    <w:rsid w:val="00F7118A"/>
    <w:rsid w:val="00F71201"/>
    <w:rsid w:val="00F71528"/>
    <w:rsid w:val="00F723D6"/>
    <w:rsid w:val="00F72498"/>
    <w:rsid w:val="00F7287C"/>
    <w:rsid w:val="00F7393A"/>
    <w:rsid w:val="00F75188"/>
    <w:rsid w:val="00F7630E"/>
    <w:rsid w:val="00F765EB"/>
    <w:rsid w:val="00F76839"/>
    <w:rsid w:val="00F76B90"/>
    <w:rsid w:val="00F77097"/>
    <w:rsid w:val="00F7753E"/>
    <w:rsid w:val="00F77A39"/>
    <w:rsid w:val="00F77A8D"/>
    <w:rsid w:val="00F81682"/>
    <w:rsid w:val="00F82347"/>
    <w:rsid w:val="00F83A21"/>
    <w:rsid w:val="00F83BCB"/>
    <w:rsid w:val="00F83E61"/>
    <w:rsid w:val="00F853DB"/>
    <w:rsid w:val="00F856CD"/>
    <w:rsid w:val="00F85752"/>
    <w:rsid w:val="00F85F0B"/>
    <w:rsid w:val="00F8741B"/>
    <w:rsid w:val="00F879A8"/>
    <w:rsid w:val="00F87C6D"/>
    <w:rsid w:val="00F87C9B"/>
    <w:rsid w:val="00F90C7B"/>
    <w:rsid w:val="00F9113E"/>
    <w:rsid w:val="00F91F85"/>
    <w:rsid w:val="00F9232B"/>
    <w:rsid w:val="00F92845"/>
    <w:rsid w:val="00F93EF4"/>
    <w:rsid w:val="00F94154"/>
    <w:rsid w:val="00F941A1"/>
    <w:rsid w:val="00F94654"/>
    <w:rsid w:val="00F9486A"/>
    <w:rsid w:val="00F94B0B"/>
    <w:rsid w:val="00F94F43"/>
    <w:rsid w:val="00F94F63"/>
    <w:rsid w:val="00F96008"/>
    <w:rsid w:val="00F9630D"/>
    <w:rsid w:val="00F97E66"/>
    <w:rsid w:val="00FA10B4"/>
    <w:rsid w:val="00FA1733"/>
    <w:rsid w:val="00FA1821"/>
    <w:rsid w:val="00FA19A5"/>
    <w:rsid w:val="00FA1D49"/>
    <w:rsid w:val="00FA246D"/>
    <w:rsid w:val="00FA2D5D"/>
    <w:rsid w:val="00FA2F67"/>
    <w:rsid w:val="00FA3066"/>
    <w:rsid w:val="00FA38ED"/>
    <w:rsid w:val="00FA3CAF"/>
    <w:rsid w:val="00FA3CD7"/>
    <w:rsid w:val="00FA59E7"/>
    <w:rsid w:val="00FA5C6A"/>
    <w:rsid w:val="00FA62D0"/>
    <w:rsid w:val="00FA6E06"/>
    <w:rsid w:val="00FA738D"/>
    <w:rsid w:val="00FA7A4E"/>
    <w:rsid w:val="00FA7E06"/>
    <w:rsid w:val="00FA7F62"/>
    <w:rsid w:val="00FB05B5"/>
    <w:rsid w:val="00FB08FD"/>
    <w:rsid w:val="00FB14DF"/>
    <w:rsid w:val="00FB1892"/>
    <w:rsid w:val="00FB300F"/>
    <w:rsid w:val="00FB3508"/>
    <w:rsid w:val="00FB394B"/>
    <w:rsid w:val="00FB47D3"/>
    <w:rsid w:val="00FB4C6A"/>
    <w:rsid w:val="00FB53C6"/>
    <w:rsid w:val="00FB65C8"/>
    <w:rsid w:val="00FB6FE7"/>
    <w:rsid w:val="00FB738D"/>
    <w:rsid w:val="00FB796F"/>
    <w:rsid w:val="00FB7E57"/>
    <w:rsid w:val="00FC05BD"/>
    <w:rsid w:val="00FC19FC"/>
    <w:rsid w:val="00FC1CFC"/>
    <w:rsid w:val="00FC1D89"/>
    <w:rsid w:val="00FC208C"/>
    <w:rsid w:val="00FC4C82"/>
    <w:rsid w:val="00FC5C86"/>
    <w:rsid w:val="00FC68C3"/>
    <w:rsid w:val="00FC6A78"/>
    <w:rsid w:val="00FC6EF4"/>
    <w:rsid w:val="00FC7069"/>
    <w:rsid w:val="00FC7A72"/>
    <w:rsid w:val="00FC7D9D"/>
    <w:rsid w:val="00FD017F"/>
    <w:rsid w:val="00FD0742"/>
    <w:rsid w:val="00FD0EA1"/>
    <w:rsid w:val="00FD118D"/>
    <w:rsid w:val="00FD127D"/>
    <w:rsid w:val="00FD155E"/>
    <w:rsid w:val="00FD1FE0"/>
    <w:rsid w:val="00FD353E"/>
    <w:rsid w:val="00FD3ADC"/>
    <w:rsid w:val="00FD3DCC"/>
    <w:rsid w:val="00FD3DEE"/>
    <w:rsid w:val="00FD468E"/>
    <w:rsid w:val="00FD5372"/>
    <w:rsid w:val="00FD6BAE"/>
    <w:rsid w:val="00FD6E34"/>
    <w:rsid w:val="00FD754C"/>
    <w:rsid w:val="00FD7649"/>
    <w:rsid w:val="00FD7E8F"/>
    <w:rsid w:val="00FD7FC3"/>
    <w:rsid w:val="00FE00FE"/>
    <w:rsid w:val="00FE099D"/>
    <w:rsid w:val="00FE1236"/>
    <w:rsid w:val="00FE24CD"/>
    <w:rsid w:val="00FE2C39"/>
    <w:rsid w:val="00FE2C9A"/>
    <w:rsid w:val="00FE30CA"/>
    <w:rsid w:val="00FE31B6"/>
    <w:rsid w:val="00FE389D"/>
    <w:rsid w:val="00FE43F0"/>
    <w:rsid w:val="00FE4887"/>
    <w:rsid w:val="00FE4AD3"/>
    <w:rsid w:val="00FE4C40"/>
    <w:rsid w:val="00FE5500"/>
    <w:rsid w:val="00FE5881"/>
    <w:rsid w:val="00FE5941"/>
    <w:rsid w:val="00FE5BA2"/>
    <w:rsid w:val="00FE5F77"/>
    <w:rsid w:val="00FE704A"/>
    <w:rsid w:val="00FE76A9"/>
    <w:rsid w:val="00FE780E"/>
    <w:rsid w:val="00FE7E30"/>
    <w:rsid w:val="00FF0760"/>
    <w:rsid w:val="00FF4165"/>
    <w:rsid w:val="00FF46D3"/>
    <w:rsid w:val="00FF4C94"/>
    <w:rsid w:val="00FF54A2"/>
    <w:rsid w:val="00FF5E3C"/>
    <w:rsid w:val="00FF6898"/>
    <w:rsid w:val="00FF7105"/>
    <w:rsid w:val="00FF7149"/>
    <w:rsid w:val="00FF7794"/>
    <w:rsid w:val="00FF77D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A4A75C2"/>
  <w15:chartTrackingRefBased/>
  <w15:docId w15:val="{44491D4E-2EF0-2140-86C2-E50690761F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en-US"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34"/>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312C"/>
    <w:pPr>
      <w:spacing w:before="120" w:after="120" w:line="276" w:lineRule="auto"/>
    </w:pPr>
    <w:rPr>
      <w:szCs w:val="22"/>
      <w:lang w:val="hr-HR" w:eastAsia="en-US"/>
    </w:rPr>
  </w:style>
  <w:style w:type="paragraph" w:styleId="Heading1">
    <w:name w:val="heading 1"/>
    <w:basedOn w:val="Normal"/>
    <w:next w:val="Normal"/>
    <w:link w:val="Heading1Char"/>
    <w:uiPriority w:val="9"/>
    <w:qFormat/>
    <w:rsid w:val="00795B88"/>
    <w:pPr>
      <w:keepNext/>
      <w:keepLines/>
      <w:numPr>
        <w:numId w:val="1"/>
      </w:numPr>
      <w:spacing w:before="60"/>
      <w:outlineLvl w:val="0"/>
    </w:pPr>
    <w:rPr>
      <w:rFonts w:eastAsia="Times New Roman"/>
      <w:bCs/>
      <w:color w:val="1F497D"/>
      <w:sz w:val="28"/>
      <w:szCs w:val="28"/>
      <w:lang w:val="x-none" w:eastAsia="x-none"/>
    </w:rPr>
  </w:style>
  <w:style w:type="paragraph" w:styleId="Heading2">
    <w:name w:val="heading 2"/>
    <w:basedOn w:val="Normal"/>
    <w:next w:val="Normal"/>
    <w:link w:val="Heading2Char"/>
    <w:uiPriority w:val="9"/>
    <w:qFormat/>
    <w:rsid w:val="00481A75"/>
    <w:pPr>
      <w:keepNext/>
      <w:keepLines/>
      <w:numPr>
        <w:ilvl w:val="1"/>
        <w:numId w:val="1"/>
      </w:numPr>
      <w:spacing w:before="200" w:after="0"/>
      <w:ind w:left="578" w:hanging="578"/>
      <w:outlineLvl w:val="1"/>
    </w:pPr>
    <w:rPr>
      <w:rFonts w:eastAsia="Times New Roman"/>
      <w:bCs/>
      <w:color w:val="1F497D"/>
      <w:sz w:val="24"/>
      <w:szCs w:val="26"/>
      <w:lang w:val="en-US" w:eastAsia="x-none"/>
    </w:rPr>
  </w:style>
  <w:style w:type="paragraph" w:styleId="Heading3">
    <w:name w:val="heading 3"/>
    <w:basedOn w:val="Normal"/>
    <w:next w:val="Normal"/>
    <w:link w:val="Heading3Char"/>
    <w:uiPriority w:val="9"/>
    <w:qFormat/>
    <w:rsid w:val="0023292C"/>
    <w:pPr>
      <w:keepNext/>
      <w:keepLines/>
      <w:numPr>
        <w:ilvl w:val="2"/>
        <w:numId w:val="1"/>
      </w:numPr>
      <w:spacing w:before="200" w:after="0"/>
      <w:ind w:left="567" w:hanging="567"/>
      <w:outlineLvl w:val="2"/>
    </w:pPr>
    <w:rPr>
      <w:rFonts w:eastAsia="Times New Roman"/>
      <w:bCs/>
      <w:color w:val="1F497D"/>
      <w:lang w:val="en-US" w:eastAsia="x-none"/>
    </w:rPr>
  </w:style>
  <w:style w:type="paragraph" w:styleId="Heading4">
    <w:name w:val="heading 4"/>
    <w:basedOn w:val="Normal"/>
    <w:next w:val="Normal"/>
    <w:link w:val="Heading4Char"/>
    <w:uiPriority w:val="9"/>
    <w:qFormat/>
    <w:rsid w:val="00ED639D"/>
    <w:pPr>
      <w:keepNext/>
      <w:keepLines/>
      <w:numPr>
        <w:ilvl w:val="3"/>
        <w:numId w:val="1"/>
      </w:numPr>
      <w:spacing w:before="200" w:after="0"/>
      <w:outlineLvl w:val="3"/>
    </w:pPr>
    <w:rPr>
      <w:rFonts w:ascii="Cambria" w:eastAsia="Times New Roman" w:hAnsi="Cambria"/>
      <w:b/>
      <w:bCs/>
      <w:i/>
      <w:iCs/>
      <w:color w:val="4F81BD"/>
      <w:sz w:val="22"/>
      <w:lang w:val="x-none" w:eastAsia="x-none"/>
    </w:rPr>
  </w:style>
  <w:style w:type="paragraph" w:styleId="Heading5">
    <w:name w:val="heading 5"/>
    <w:basedOn w:val="Normal"/>
    <w:next w:val="Normal"/>
    <w:link w:val="Heading5Char"/>
    <w:uiPriority w:val="9"/>
    <w:qFormat/>
    <w:rsid w:val="00ED639D"/>
    <w:pPr>
      <w:keepNext/>
      <w:keepLines/>
      <w:numPr>
        <w:ilvl w:val="4"/>
        <w:numId w:val="1"/>
      </w:numPr>
      <w:spacing w:before="200" w:after="0"/>
      <w:outlineLvl w:val="4"/>
    </w:pPr>
    <w:rPr>
      <w:rFonts w:ascii="Cambria" w:eastAsia="Times New Roman" w:hAnsi="Cambria"/>
      <w:color w:val="243F60"/>
      <w:sz w:val="22"/>
      <w:lang w:val="x-none" w:eastAsia="x-none"/>
    </w:rPr>
  </w:style>
  <w:style w:type="paragraph" w:styleId="Heading6">
    <w:name w:val="heading 6"/>
    <w:basedOn w:val="Normal"/>
    <w:next w:val="Normal"/>
    <w:link w:val="Heading6Char"/>
    <w:uiPriority w:val="9"/>
    <w:qFormat/>
    <w:rsid w:val="00ED639D"/>
    <w:pPr>
      <w:keepNext/>
      <w:keepLines/>
      <w:numPr>
        <w:ilvl w:val="5"/>
        <w:numId w:val="1"/>
      </w:numPr>
      <w:spacing w:before="200" w:after="0"/>
      <w:outlineLvl w:val="5"/>
    </w:pPr>
    <w:rPr>
      <w:rFonts w:ascii="Cambria" w:eastAsia="Times New Roman" w:hAnsi="Cambria"/>
      <w:i/>
      <w:iCs/>
      <w:color w:val="243F60"/>
      <w:sz w:val="22"/>
      <w:lang w:val="x-none" w:eastAsia="x-none"/>
    </w:rPr>
  </w:style>
  <w:style w:type="paragraph" w:styleId="Heading7">
    <w:name w:val="heading 7"/>
    <w:basedOn w:val="Normal"/>
    <w:next w:val="Normal"/>
    <w:link w:val="Heading7Char"/>
    <w:uiPriority w:val="9"/>
    <w:qFormat/>
    <w:rsid w:val="00ED639D"/>
    <w:pPr>
      <w:keepNext/>
      <w:keepLines/>
      <w:numPr>
        <w:ilvl w:val="6"/>
        <w:numId w:val="1"/>
      </w:numPr>
      <w:spacing w:before="200" w:after="0"/>
      <w:outlineLvl w:val="6"/>
    </w:pPr>
    <w:rPr>
      <w:rFonts w:ascii="Cambria" w:eastAsia="Times New Roman" w:hAnsi="Cambria"/>
      <w:i/>
      <w:iCs/>
      <w:color w:val="404040"/>
      <w:sz w:val="22"/>
      <w:lang w:val="x-none" w:eastAsia="x-none"/>
    </w:rPr>
  </w:style>
  <w:style w:type="paragraph" w:styleId="Heading8">
    <w:name w:val="heading 8"/>
    <w:basedOn w:val="Normal"/>
    <w:next w:val="Normal"/>
    <w:link w:val="Heading8Char"/>
    <w:uiPriority w:val="9"/>
    <w:qFormat/>
    <w:rsid w:val="00ED639D"/>
    <w:pPr>
      <w:keepNext/>
      <w:keepLines/>
      <w:numPr>
        <w:ilvl w:val="7"/>
        <w:numId w:val="1"/>
      </w:numPr>
      <w:spacing w:before="200" w:after="0"/>
      <w:outlineLvl w:val="7"/>
    </w:pPr>
    <w:rPr>
      <w:rFonts w:ascii="Cambria" w:eastAsia="Times New Roman" w:hAnsi="Cambria"/>
      <w:color w:val="404040"/>
      <w:szCs w:val="20"/>
      <w:lang w:val="x-none" w:eastAsia="x-none"/>
    </w:rPr>
  </w:style>
  <w:style w:type="paragraph" w:styleId="Heading9">
    <w:name w:val="heading 9"/>
    <w:basedOn w:val="Normal"/>
    <w:next w:val="Normal"/>
    <w:link w:val="Heading9Char"/>
    <w:uiPriority w:val="9"/>
    <w:qFormat/>
    <w:rsid w:val="00ED639D"/>
    <w:pPr>
      <w:keepNext/>
      <w:keepLines/>
      <w:numPr>
        <w:ilvl w:val="8"/>
        <w:numId w:val="1"/>
      </w:numPr>
      <w:spacing w:before="200" w:after="0"/>
      <w:outlineLvl w:val="8"/>
    </w:pPr>
    <w:rPr>
      <w:rFonts w:ascii="Cambria" w:eastAsia="Times New Roman" w:hAnsi="Cambria"/>
      <w:i/>
      <w:iCs/>
      <w:color w:val="404040"/>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795B88"/>
    <w:rPr>
      <w:rFonts w:eastAsia="Times New Roman"/>
      <w:bCs/>
      <w:color w:val="1F497D"/>
      <w:sz w:val="28"/>
      <w:szCs w:val="28"/>
      <w:lang w:val="x-none" w:eastAsia="x-none"/>
    </w:rPr>
  </w:style>
  <w:style w:type="paragraph" w:customStyle="1" w:styleId="ColorfulList-Accent11">
    <w:name w:val="Colorful List - Accent 11"/>
    <w:basedOn w:val="Normal"/>
    <w:uiPriority w:val="34"/>
    <w:qFormat/>
    <w:rsid w:val="00133551"/>
    <w:pPr>
      <w:ind w:left="720"/>
      <w:contextualSpacing/>
    </w:pPr>
  </w:style>
  <w:style w:type="character" w:customStyle="1" w:styleId="Heading2Char">
    <w:name w:val="Heading 2 Char"/>
    <w:link w:val="Heading2"/>
    <w:uiPriority w:val="9"/>
    <w:rsid w:val="00481A75"/>
    <w:rPr>
      <w:rFonts w:eastAsia="Times New Roman"/>
      <w:bCs/>
      <w:color w:val="1F497D"/>
      <w:sz w:val="24"/>
      <w:szCs w:val="26"/>
      <w:lang w:eastAsia="x-none"/>
    </w:rPr>
  </w:style>
  <w:style w:type="character" w:customStyle="1" w:styleId="Heading3Char">
    <w:name w:val="Heading 3 Char"/>
    <w:link w:val="Heading3"/>
    <w:uiPriority w:val="9"/>
    <w:rsid w:val="0023292C"/>
    <w:rPr>
      <w:rFonts w:eastAsia="Times New Roman"/>
      <w:bCs/>
      <w:color w:val="1F497D"/>
      <w:szCs w:val="22"/>
      <w:lang w:eastAsia="x-none"/>
    </w:rPr>
  </w:style>
  <w:style w:type="character" w:customStyle="1" w:styleId="Heading4Char">
    <w:name w:val="Heading 4 Char"/>
    <w:link w:val="Heading4"/>
    <w:uiPriority w:val="9"/>
    <w:rsid w:val="00ED639D"/>
    <w:rPr>
      <w:rFonts w:ascii="Cambria" w:eastAsia="Times New Roman" w:hAnsi="Cambria"/>
      <w:b/>
      <w:bCs/>
      <w:i/>
      <w:iCs/>
      <w:color w:val="4F81BD"/>
      <w:sz w:val="22"/>
      <w:szCs w:val="22"/>
      <w:lang w:val="x-none" w:eastAsia="x-none"/>
    </w:rPr>
  </w:style>
  <w:style w:type="character" w:customStyle="1" w:styleId="Heading5Char">
    <w:name w:val="Heading 5 Char"/>
    <w:link w:val="Heading5"/>
    <w:uiPriority w:val="9"/>
    <w:rsid w:val="00ED639D"/>
    <w:rPr>
      <w:rFonts w:ascii="Cambria" w:eastAsia="Times New Roman" w:hAnsi="Cambria"/>
      <w:color w:val="243F60"/>
      <w:sz w:val="22"/>
      <w:szCs w:val="22"/>
      <w:lang w:val="x-none" w:eastAsia="x-none"/>
    </w:rPr>
  </w:style>
  <w:style w:type="character" w:customStyle="1" w:styleId="Heading6Char">
    <w:name w:val="Heading 6 Char"/>
    <w:link w:val="Heading6"/>
    <w:uiPriority w:val="9"/>
    <w:rsid w:val="00ED639D"/>
    <w:rPr>
      <w:rFonts w:ascii="Cambria" w:eastAsia="Times New Roman" w:hAnsi="Cambria"/>
      <w:i/>
      <w:iCs/>
      <w:color w:val="243F60"/>
      <w:sz w:val="22"/>
      <w:szCs w:val="22"/>
      <w:lang w:val="x-none" w:eastAsia="x-none"/>
    </w:rPr>
  </w:style>
  <w:style w:type="character" w:customStyle="1" w:styleId="Heading7Char">
    <w:name w:val="Heading 7 Char"/>
    <w:link w:val="Heading7"/>
    <w:uiPriority w:val="9"/>
    <w:rsid w:val="00ED639D"/>
    <w:rPr>
      <w:rFonts w:ascii="Cambria" w:eastAsia="Times New Roman" w:hAnsi="Cambria"/>
      <w:i/>
      <w:iCs/>
      <w:color w:val="404040"/>
      <w:sz w:val="22"/>
      <w:szCs w:val="22"/>
      <w:lang w:val="x-none" w:eastAsia="x-none"/>
    </w:rPr>
  </w:style>
  <w:style w:type="character" w:customStyle="1" w:styleId="Heading8Char">
    <w:name w:val="Heading 8 Char"/>
    <w:link w:val="Heading8"/>
    <w:uiPriority w:val="9"/>
    <w:rsid w:val="00ED639D"/>
    <w:rPr>
      <w:rFonts w:ascii="Cambria" w:eastAsia="Times New Roman" w:hAnsi="Cambria"/>
      <w:color w:val="404040"/>
      <w:lang w:val="x-none" w:eastAsia="x-none"/>
    </w:rPr>
  </w:style>
  <w:style w:type="character" w:customStyle="1" w:styleId="Heading9Char">
    <w:name w:val="Heading 9 Char"/>
    <w:link w:val="Heading9"/>
    <w:uiPriority w:val="9"/>
    <w:rsid w:val="00ED639D"/>
    <w:rPr>
      <w:rFonts w:ascii="Cambria" w:eastAsia="Times New Roman" w:hAnsi="Cambria"/>
      <w:i/>
      <w:iCs/>
      <w:color w:val="404040"/>
      <w:lang w:val="x-none" w:eastAsia="x-none"/>
    </w:rPr>
  </w:style>
  <w:style w:type="table" w:styleId="TableGrid">
    <w:name w:val="Table Grid"/>
    <w:basedOn w:val="TableNormal"/>
    <w:uiPriority w:val="39"/>
    <w:rsid w:val="009D47FA"/>
    <w:tblPr>
      <w:tblBorders>
        <w:top w:val="dotted" w:sz="4" w:space="0" w:color="7F7F7F"/>
        <w:left w:val="dotted" w:sz="4" w:space="0" w:color="7F7F7F"/>
        <w:bottom w:val="dotted" w:sz="4" w:space="0" w:color="7F7F7F"/>
        <w:right w:val="dotted" w:sz="4" w:space="0" w:color="7F7F7F"/>
        <w:insideH w:val="dotted" w:sz="4" w:space="0" w:color="7F7F7F"/>
        <w:insideV w:val="dotted" w:sz="4" w:space="0" w:color="7F7F7F"/>
      </w:tblBorders>
    </w:tblPr>
  </w:style>
  <w:style w:type="paragraph" w:customStyle="1" w:styleId="Default">
    <w:name w:val="Default"/>
    <w:qFormat/>
    <w:rsid w:val="00E50898"/>
    <w:pPr>
      <w:autoSpaceDE w:val="0"/>
      <w:autoSpaceDN w:val="0"/>
      <w:adjustRightInd w:val="0"/>
    </w:pPr>
    <w:rPr>
      <w:rFonts w:ascii="Arial" w:hAnsi="Arial" w:cs="Arial"/>
      <w:color w:val="000000"/>
      <w:sz w:val="24"/>
      <w:szCs w:val="24"/>
      <w:lang w:eastAsia="en-US"/>
    </w:rPr>
  </w:style>
  <w:style w:type="paragraph" w:styleId="Caption">
    <w:name w:val="caption"/>
    <w:aliases w:val="Caption Char Char Char Char Char,Caption Char Char Char,Caption_Tabela,2,Map,Tabelle,Beschriftung Char,Beschriftung Char1 Char,Beschriftung Char Char Char Char,Beschriftung Char Char1,Beschriftung Char1 Char Char Char Char,Beschriftung1,Char1"/>
    <w:basedOn w:val="Normal"/>
    <w:next w:val="Normal"/>
    <w:link w:val="CaptionChar"/>
    <w:uiPriority w:val="35"/>
    <w:qFormat/>
    <w:rsid w:val="00E50898"/>
    <w:pPr>
      <w:spacing w:line="240" w:lineRule="auto"/>
    </w:pPr>
    <w:rPr>
      <w:b/>
      <w:bCs/>
      <w:color w:val="4F81BD"/>
      <w:sz w:val="18"/>
      <w:szCs w:val="18"/>
      <w:lang w:val="en-US"/>
    </w:rPr>
  </w:style>
  <w:style w:type="paragraph" w:styleId="Title">
    <w:name w:val="Title"/>
    <w:basedOn w:val="Normal"/>
    <w:link w:val="TitleChar"/>
    <w:qFormat/>
    <w:rsid w:val="009E005E"/>
    <w:pPr>
      <w:spacing w:after="0"/>
      <w:jc w:val="center"/>
    </w:pPr>
    <w:rPr>
      <w:rFonts w:ascii="Times New Roman Bold" w:eastAsia="Times New Roman" w:hAnsi="Times New Roman Bold"/>
      <w:b/>
      <w:color w:val="00539B"/>
      <w:sz w:val="24"/>
      <w:szCs w:val="20"/>
      <w:lang w:val="en-GB" w:eastAsia="en-GB"/>
    </w:rPr>
  </w:style>
  <w:style w:type="character" w:customStyle="1" w:styleId="TitleChar">
    <w:name w:val="Title Char"/>
    <w:link w:val="Title"/>
    <w:rsid w:val="009E005E"/>
    <w:rPr>
      <w:rFonts w:ascii="Times New Roman Bold" w:eastAsia="Times New Roman" w:hAnsi="Times New Roman Bold" w:cs="Times New Roman"/>
      <w:b/>
      <w:color w:val="00539B"/>
      <w:sz w:val="24"/>
      <w:szCs w:val="20"/>
      <w:lang w:val="en-GB" w:eastAsia="en-GB"/>
    </w:rPr>
  </w:style>
  <w:style w:type="paragraph" w:customStyle="1" w:styleId="LetteredList">
    <w:name w:val="Lettered List"/>
    <w:basedOn w:val="Normal"/>
    <w:qFormat/>
    <w:rsid w:val="009E005E"/>
    <w:pPr>
      <w:numPr>
        <w:numId w:val="2"/>
      </w:numPr>
      <w:tabs>
        <w:tab w:val="clear" w:pos="720"/>
      </w:tabs>
    </w:pPr>
    <w:rPr>
      <w:rFonts w:ascii="Times New Roman" w:eastAsia="Times New Roman" w:hAnsi="Times New Roman"/>
      <w:sz w:val="24"/>
      <w:szCs w:val="20"/>
      <w:lang w:val="en-GB" w:eastAsia="en-GB"/>
    </w:rPr>
  </w:style>
  <w:style w:type="paragraph" w:styleId="Header">
    <w:name w:val="header"/>
    <w:basedOn w:val="Normal"/>
    <w:link w:val="HeaderChar"/>
    <w:uiPriority w:val="99"/>
    <w:unhideWhenUsed/>
    <w:rsid w:val="001832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183222"/>
  </w:style>
  <w:style w:type="paragraph" w:styleId="Footer">
    <w:name w:val="footer"/>
    <w:basedOn w:val="Normal"/>
    <w:link w:val="FooterChar"/>
    <w:uiPriority w:val="99"/>
    <w:unhideWhenUsed/>
    <w:rsid w:val="001832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183222"/>
  </w:style>
  <w:style w:type="character" w:styleId="Hyperlink">
    <w:name w:val="Hyperlink"/>
    <w:uiPriority w:val="99"/>
    <w:unhideWhenUsed/>
    <w:rsid w:val="00F373CE"/>
    <w:rPr>
      <w:rFonts w:ascii="Calibri" w:hAnsi="Calibri"/>
      <w:color w:val="0000FF"/>
      <w:u w:val="single"/>
    </w:rPr>
  </w:style>
  <w:style w:type="paragraph" w:styleId="TOC1">
    <w:name w:val="toc 1"/>
    <w:basedOn w:val="Normal"/>
    <w:next w:val="Normal"/>
    <w:autoRedefine/>
    <w:uiPriority w:val="39"/>
    <w:unhideWhenUsed/>
    <w:rsid w:val="00857724"/>
    <w:pPr>
      <w:spacing w:before="60" w:after="60"/>
      <w:jc w:val="both"/>
    </w:pPr>
    <w:rPr>
      <w:b/>
      <w:szCs w:val="20"/>
      <w:lang w:val="en-GB"/>
    </w:rPr>
  </w:style>
  <w:style w:type="paragraph" w:styleId="TOC2">
    <w:name w:val="toc 2"/>
    <w:basedOn w:val="Normal"/>
    <w:next w:val="Normal"/>
    <w:autoRedefine/>
    <w:uiPriority w:val="39"/>
    <w:unhideWhenUsed/>
    <w:rsid w:val="00284391"/>
    <w:pPr>
      <w:tabs>
        <w:tab w:val="left" w:pos="720"/>
        <w:tab w:val="right" w:leader="dot" w:pos="9020"/>
      </w:tabs>
      <w:spacing w:after="0"/>
      <w:ind w:left="216"/>
      <w:jc w:val="both"/>
    </w:pPr>
    <w:rPr>
      <w:szCs w:val="20"/>
      <w:lang w:val="en-GB"/>
    </w:rPr>
  </w:style>
  <w:style w:type="paragraph" w:styleId="TOC3">
    <w:name w:val="toc 3"/>
    <w:basedOn w:val="Normal"/>
    <w:next w:val="Normal"/>
    <w:autoRedefine/>
    <w:uiPriority w:val="39"/>
    <w:unhideWhenUsed/>
    <w:rsid w:val="00481A75"/>
    <w:pPr>
      <w:tabs>
        <w:tab w:val="left" w:pos="1200"/>
        <w:tab w:val="right" w:leader="dot" w:pos="9010"/>
      </w:tabs>
      <w:spacing w:after="0"/>
      <w:ind w:left="442"/>
      <w:jc w:val="both"/>
    </w:pPr>
    <w:rPr>
      <w:szCs w:val="20"/>
      <w:lang w:val="en-GB"/>
    </w:rPr>
  </w:style>
  <w:style w:type="paragraph" w:styleId="TableofFigures">
    <w:name w:val="table of figures"/>
    <w:basedOn w:val="Normal"/>
    <w:next w:val="Normal"/>
    <w:uiPriority w:val="99"/>
    <w:unhideWhenUsed/>
    <w:rsid w:val="0067413C"/>
    <w:pPr>
      <w:spacing w:after="0"/>
    </w:pPr>
    <w:rPr>
      <w:i/>
      <w:iCs/>
      <w:szCs w:val="20"/>
      <w:lang w:val="en-GB"/>
    </w:rPr>
  </w:style>
  <w:style w:type="paragraph" w:customStyle="1" w:styleId="BulletParagraph">
    <w:name w:val="Bullet Paragraph"/>
    <w:basedOn w:val="ColorfulList-Accent11"/>
    <w:qFormat/>
    <w:rsid w:val="00BB554F"/>
    <w:pPr>
      <w:ind w:hanging="360"/>
      <w:contextualSpacing w:val="0"/>
    </w:pPr>
    <w:rPr>
      <w:rFonts w:ascii="Times New Roman" w:eastAsia="Times New Roman" w:hAnsi="Times New Roman"/>
      <w:sz w:val="24"/>
      <w:szCs w:val="24"/>
      <w:lang w:val="en-GB" w:eastAsia="en-GB"/>
    </w:rPr>
  </w:style>
  <w:style w:type="paragraph" w:styleId="FootnoteText">
    <w:name w:val="footnote text"/>
    <w:aliases w:val="Nbpage Moens,Footnote Text Char1,Footnote Text Blue,Footnote Text1,Char,single space,ft,footnote text,footnote text Char,Footnote Text Char Char Char,Tegn1,Tegn1 Char,Char Char Char,Footnote Text Char2 Char Char,Fußnote,fn,FOOTNOTES,ADB,A"/>
    <w:basedOn w:val="Normal"/>
    <w:link w:val="FootnoteTextChar"/>
    <w:uiPriority w:val="99"/>
    <w:qFormat/>
    <w:rsid w:val="00982527"/>
    <w:pPr>
      <w:tabs>
        <w:tab w:val="left" w:pos="1440"/>
        <w:tab w:val="left" w:pos="5760"/>
      </w:tabs>
      <w:spacing w:before="0" w:after="0"/>
    </w:pPr>
    <w:rPr>
      <w:rFonts w:ascii="Times New Roman" w:eastAsia="Times New Roman" w:hAnsi="Times New Roman"/>
      <w:szCs w:val="20"/>
      <w:lang w:val="en-GB" w:eastAsia="en-GB"/>
    </w:rPr>
  </w:style>
  <w:style w:type="character" w:customStyle="1" w:styleId="FootnoteTextChar">
    <w:name w:val="Footnote Text Char"/>
    <w:aliases w:val="Nbpage Moens Char,Footnote Text Char1 Char,Footnote Text Blue Char,Footnote Text1 Char,Char Char,single space Char,ft Char,footnote text Char1,footnote text Char Char,Footnote Text Char Char Char Char,Tegn1 Char1,Tegn1 Char Char"/>
    <w:link w:val="FootnoteText"/>
    <w:uiPriority w:val="99"/>
    <w:qFormat/>
    <w:rsid w:val="00982527"/>
    <w:rPr>
      <w:rFonts w:ascii="Times New Roman" w:eastAsia="Times New Roman" w:hAnsi="Times New Roman"/>
      <w:lang w:val="en-GB" w:eastAsia="en-GB"/>
    </w:rPr>
  </w:style>
  <w:style w:type="character" w:styleId="FootnoteReference">
    <w:name w:val="footnote reference"/>
    <w:aliases w:val="-E Fußnotenzeichen,Heading 6 Char1,16 Point,Superscript 6 Point,BVI fnr,Superscript 6 Point + 11 pt,ftref,Footnote Reference Number,Footnote Reference_LVL6,Footnote Reference_LVL61,Footnote Reference_LVL62,Footnote Reference_LVL63,fr"/>
    <w:link w:val="BVIfnrCarCarCarCarChar"/>
    <w:uiPriority w:val="99"/>
    <w:qFormat/>
    <w:rsid w:val="00325D84"/>
    <w:rPr>
      <w:color w:val="1F497D"/>
      <w:vertAlign w:val="superscript"/>
    </w:rPr>
  </w:style>
  <w:style w:type="character" w:customStyle="1" w:styleId="MediumGrid1-Accent2Char">
    <w:name w:val="Medium Grid 1 - Accent 2 Char"/>
    <w:link w:val="LightGrid-Accent3"/>
    <w:uiPriority w:val="34"/>
    <w:rsid w:val="00D71B47"/>
    <w:rPr>
      <w:rFonts w:ascii="Corbel" w:hAnsi="Corbel"/>
      <w:lang w:eastAsia="en-US"/>
    </w:rPr>
  </w:style>
  <w:style w:type="table" w:styleId="LightGrid-Accent3">
    <w:name w:val="Light Grid Accent 3"/>
    <w:basedOn w:val="TableNormal"/>
    <w:link w:val="MediumGrid1-Accent2Char"/>
    <w:uiPriority w:val="34"/>
    <w:rsid w:val="00D71B47"/>
    <w:rPr>
      <w:rFonts w:ascii="Corbel" w:hAnsi="Corbel"/>
      <w:lang w:val="x-none" w:bidi="x-none"/>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lastRow">
      <w:tblPr/>
      <w:tcPr>
        <w:tcBorders>
          <w:top w:val="single" w:sz="18" w:space="0" w:color="CF7B79"/>
        </w:tcBorders>
      </w:tcPr>
    </w:tblStylePr>
    <w:tblStylePr w:type="band1Vert">
      <w:tblPr/>
      <w:tcPr>
        <w:shd w:val="clear" w:color="auto" w:fill="DFA7A6"/>
      </w:tcPr>
    </w:tblStylePr>
    <w:tblStylePr w:type="band1Horz">
      <w:tblPr/>
      <w:tcPr>
        <w:shd w:val="clear" w:color="auto" w:fill="DFA7A6"/>
      </w:tcPr>
    </w:tblStylePr>
  </w:style>
  <w:style w:type="character" w:customStyle="1" w:styleId="CaptionChar">
    <w:name w:val="Caption Char"/>
    <w:aliases w:val="Caption Char Char Char Char Char Char,Caption Char Char Char Char,Caption_Tabela Char,2 Char,Map Char,Tabelle Char,Beschriftung Char Char,Beschriftung Char1 Char Char,Beschriftung Char Char Char Char Char,Beschriftung Char Char1 Char"/>
    <w:link w:val="Caption"/>
    <w:rsid w:val="00FE24CD"/>
    <w:rPr>
      <w:b/>
      <w:bCs/>
      <w:color w:val="4F81BD"/>
      <w:sz w:val="18"/>
      <w:szCs w:val="18"/>
      <w:lang w:val="en-US" w:eastAsia="en-US"/>
    </w:rPr>
  </w:style>
  <w:style w:type="paragraph" w:customStyle="1" w:styleId="MediumGrid21">
    <w:name w:val="Medium Grid 21"/>
    <w:uiPriority w:val="1"/>
    <w:qFormat/>
    <w:rsid w:val="006509EE"/>
    <w:rPr>
      <w:sz w:val="22"/>
      <w:szCs w:val="22"/>
      <w:lang w:eastAsia="en-US"/>
    </w:rPr>
  </w:style>
  <w:style w:type="character" w:styleId="CommentReference">
    <w:name w:val="annotation reference"/>
    <w:uiPriority w:val="99"/>
    <w:unhideWhenUsed/>
    <w:rsid w:val="007C33B4"/>
    <w:rPr>
      <w:sz w:val="16"/>
      <w:szCs w:val="16"/>
    </w:rPr>
  </w:style>
  <w:style w:type="paragraph" w:styleId="CommentText">
    <w:name w:val="annotation text"/>
    <w:basedOn w:val="Normal"/>
    <w:link w:val="CommentTextChar"/>
    <w:uiPriority w:val="99"/>
    <w:unhideWhenUsed/>
    <w:rsid w:val="007C33B4"/>
    <w:rPr>
      <w:szCs w:val="20"/>
    </w:rPr>
  </w:style>
  <w:style w:type="character" w:customStyle="1" w:styleId="CommentTextChar">
    <w:name w:val="Comment Text Char"/>
    <w:basedOn w:val="DefaultParagraphFont"/>
    <w:link w:val="CommentText"/>
    <w:uiPriority w:val="99"/>
    <w:rsid w:val="007C33B4"/>
  </w:style>
  <w:style w:type="paragraph" w:styleId="BalloonText">
    <w:name w:val="Balloon Text"/>
    <w:basedOn w:val="Normal"/>
    <w:link w:val="BalloonTextChar"/>
    <w:uiPriority w:val="99"/>
    <w:semiHidden/>
    <w:unhideWhenUsed/>
    <w:rsid w:val="007C33B4"/>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7C33B4"/>
    <w:rPr>
      <w:rFonts w:ascii="Tahoma" w:hAnsi="Tahoma" w:cs="Tahoma"/>
      <w:sz w:val="16"/>
      <w:szCs w:val="16"/>
    </w:rPr>
  </w:style>
  <w:style w:type="paragraph" w:styleId="CommentSubject">
    <w:name w:val="annotation subject"/>
    <w:basedOn w:val="CommentText"/>
    <w:next w:val="CommentText"/>
    <w:link w:val="CommentSubjectChar"/>
    <w:uiPriority w:val="99"/>
    <w:semiHidden/>
    <w:unhideWhenUsed/>
    <w:rsid w:val="00C1699F"/>
    <w:rPr>
      <w:b/>
      <w:bCs/>
      <w:lang w:val="x-none" w:eastAsia="x-none"/>
    </w:rPr>
  </w:style>
  <w:style w:type="character" w:customStyle="1" w:styleId="CommentSubjectChar">
    <w:name w:val="Comment Subject Char"/>
    <w:link w:val="CommentSubject"/>
    <w:uiPriority w:val="99"/>
    <w:semiHidden/>
    <w:rsid w:val="00C1699F"/>
    <w:rPr>
      <w:b/>
      <w:bCs/>
    </w:rPr>
  </w:style>
  <w:style w:type="paragraph" w:customStyle="1" w:styleId="Body">
    <w:name w:val="Body"/>
    <w:rsid w:val="00E7481C"/>
    <w:pPr>
      <w:spacing w:after="180" w:line="288" w:lineRule="auto"/>
    </w:pPr>
    <w:rPr>
      <w:rFonts w:ascii="Helvetica" w:eastAsia="ヒラギノ角ゴ Pro W3" w:hAnsi="Helvetica" w:cs="Helvetica"/>
      <w:color w:val="000000"/>
      <w:sz w:val="18"/>
      <w:szCs w:val="18"/>
      <w:lang w:eastAsia="en-US"/>
    </w:rPr>
  </w:style>
  <w:style w:type="character" w:styleId="FollowedHyperlink">
    <w:name w:val="FollowedHyperlink"/>
    <w:uiPriority w:val="99"/>
    <w:semiHidden/>
    <w:unhideWhenUsed/>
    <w:rsid w:val="000838C0"/>
    <w:rPr>
      <w:color w:val="800080"/>
      <w:u w:val="single"/>
    </w:rPr>
  </w:style>
  <w:style w:type="paragraph" w:styleId="Subtitle">
    <w:name w:val="Subtitle"/>
    <w:basedOn w:val="Normal"/>
    <w:next w:val="Normal"/>
    <w:link w:val="SubtitleChar"/>
    <w:qFormat/>
    <w:rsid w:val="00A5076F"/>
    <w:pPr>
      <w:pBdr>
        <w:bottom w:val="dashSmallGap" w:sz="4" w:space="31" w:color="BFBFBF"/>
      </w:pBdr>
      <w:spacing w:before="160" w:after="360" w:line="240" w:lineRule="auto"/>
      <w:ind w:left="864" w:right="864"/>
      <w:jc w:val="center"/>
    </w:pPr>
    <w:rPr>
      <w:rFonts w:ascii="Corbel" w:eastAsia="Corbel" w:hAnsi="Corbel"/>
      <w:sz w:val="24"/>
      <w:szCs w:val="24"/>
      <w:lang w:val="en-US"/>
    </w:rPr>
  </w:style>
  <w:style w:type="character" w:customStyle="1" w:styleId="SubtitleChar">
    <w:name w:val="Subtitle Char"/>
    <w:link w:val="Subtitle"/>
    <w:rsid w:val="00A5076F"/>
    <w:rPr>
      <w:rFonts w:ascii="Corbel" w:eastAsia="Corbel" w:hAnsi="Corbel"/>
      <w:sz w:val="24"/>
      <w:szCs w:val="24"/>
      <w:lang w:val="en-US" w:eastAsia="en-US"/>
    </w:rPr>
  </w:style>
  <w:style w:type="paragraph" w:customStyle="1" w:styleId="CoverLogo">
    <w:name w:val="Cover Logo"/>
    <w:basedOn w:val="Normal"/>
    <w:qFormat/>
    <w:rsid w:val="00A5076F"/>
    <w:pPr>
      <w:pBdr>
        <w:bottom w:val="dashSmallGap" w:sz="4" w:space="15" w:color="BFBFBF"/>
      </w:pBdr>
      <w:spacing w:before="2000" w:after="1000" w:line="240" w:lineRule="auto"/>
      <w:ind w:left="864" w:right="864"/>
      <w:jc w:val="center"/>
    </w:pPr>
    <w:rPr>
      <w:rFonts w:ascii="Corbel" w:eastAsia="Corbel" w:hAnsi="Corbel"/>
      <w:szCs w:val="20"/>
    </w:rPr>
  </w:style>
  <w:style w:type="paragraph" w:styleId="TOCHeading">
    <w:name w:val="TOC Heading"/>
    <w:basedOn w:val="Heading1"/>
    <w:next w:val="Normal"/>
    <w:uiPriority w:val="39"/>
    <w:unhideWhenUsed/>
    <w:qFormat/>
    <w:rsid w:val="00594FDF"/>
    <w:pPr>
      <w:keepLines w:val="0"/>
      <w:numPr>
        <w:numId w:val="0"/>
      </w:numPr>
      <w:spacing w:before="240" w:after="60"/>
      <w:outlineLvl w:val="9"/>
    </w:pPr>
    <w:rPr>
      <w:rFonts w:ascii="Cambria" w:hAnsi="Cambria"/>
      <w:b/>
      <w:color w:val="auto"/>
      <w:kern w:val="32"/>
      <w:sz w:val="32"/>
      <w:szCs w:val="32"/>
    </w:rPr>
  </w:style>
  <w:style w:type="paragraph" w:customStyle="1" w:styleId="TableRowHeading">
    <w:name w:val="Table Row Heading"/>
    <w:basedOn w:val="Normal"/>
    <w:qFormat/>
    <w:rsid w:val="00C15335"/>
    <w:pPr>
      <w:spacing w:before="40" w:after="40" w:line="240" w:lineRule="auto"/>
    </w:pPr>
    <w:rPr>
      <w:rFonts w:ascii="Trebuchet MS" w:eastAsia="Corbel" w:hAnsi="Trebuchet MS"/>
      <w:caps/>
      <w:color w:val="7F7F7F"/>
      <w:sz w:val="16"/>
      <w:szCs w:val="16"/>
    </w:rPr>
  </w:style>
  <w:style w:type="paragraph" w:customStyle="1" w:styleId="TableText-Center">
    <w:name w:val="Table Text - Center"/>
    <w:basedOn w:val="Normal"/>
    <w:uiPriority w:val="99"/>
    <w:qFormat/>
    <w:rsid w:val="00C15335"/>
    <w:pPr>
      <w:spacing w:before="40" w:after="40" w:line="240" w:lineRule="auto"/>
      <w:jc w:val="center"/>
    </w:pPr>
    <w:rPr>
      <w:rFonts w:ascii="Corbel" w:eastAsia="Corbel" w:hAnsi="Corbel"/>
      <w:color w:val="7F7F7F"/>
      <w:sz w:val="16"/>
      <w:szCs w:val="16"/>
    </w:rPr>
  </w:style>
  <w:style w:type="table" w:customStyle="1" w:styleId="WB1">
    <w:name w:val="WB1"/>
    <w:basedOn w:val="TableNormal"/>
    <w:uiPriority w:val="99"/>
    <w:rsid w:val="00C15335"/>
    <w:rPr>
      <w:rFonts w:ascii="Corbel" w:eastAsia="Corbel" w:hAnsi="Corbel"/>
    </w:rPr>
    <w:tblPr>
      <w:tblBorders>
        <w:top w:val="single" w:sz="4" w:space="0" w:color="BFBFBF"/>
        <w:insideH w:val="single" w:sz="4" w:space="0" w:color="BFBFBF"/>
      </w:tblBorders>
      <w:tblCellMar>
        <w:left w:w="0" w:type="dxa"/>
        <w:right w:w="0" w:type="dxa"/>
      </w:tblCellMar>
    </w:tblPr>
    <w:tcPr>
      <w:vAlign w:val="center"/>
    </w:tcPr>
  </w:style>
  <w:style w:type="character" w:customStyle="1" w:styleId="hps">
    <w:name w:val="hps"/>
    <w:rsid w:val="0069233C"/>
  </w:style>
  <w:style w:type="character" w:customStyle="1" w:styleId="atn">
    <w:name w:val="atn"/>
    <w:rsid w:val="0069233C"/>
  </w:style>
  <w:style w:type="character" w:customStyle="1" w:styleId="shorttext">
    <w:name w:val="short_text"/>
    <w:rsid w:val="0069233C"/>
  </w:style>
  <w:style w:type="paragraph" w:styleId="ListParagraph">
    <w:name w:val="List Paragraph"/>
    <w:aliases w:val="1.1.1_List Paragraph,List Paragraph (numbered (a)),List Paragraph 1,List Paragraph 1.1.1,List Paragraph1,List_Paragraph,Main numbered paragraph,Multilevel para_II,NUMBERED PARAGRAPH,Normal 2,Numbered List Paragraph,References,Bullet1,Ha,6"/>
    <w:basedOn w:val="Normal"/>
    <w:link w:val="ListParagraphChar"/>
    <w:uiPriority w:val="34"/>
    <w:qFormat/>
    <w:rsid w:val="00D24AF1"/>
    <w:pPr>
      <w:ind w:left="720"/>
      <w:contextualSpacing/>
    </w:pPr>
    <w:rPr>
      <w:sz w:val="22"/>
      <w:lang w:val="en-US"/>
    </w:rPr>
  </w:style>
  <w:style w:type="paragraph" w:customStyle="1" w:styleId="Tabletext">
    <w:name w:val="Table text"/>
    <w:basedOn w:val="Normal"/>
    <w:link w:val="TabletextChar"/>
    <w:uiPriority w:val="1"/>
    <w:qFormat/>
    <w:rsid w:val="00D24AF1"/>
    <w:pPr>
      <w:spacing w:after="0" w:line="240" w:lineRule="auto"/>
      <w:jc w:val="center"/>
    </w:pPr>
    <w:rPr>
      <w:rFonts w:ascii="Times New Roman" w:hAnsi="Times New Roman"/>
      <w:lang w:val="en-GB"/>
    </w:rPr>
  </w:style>
  <w:style w:type="character" w:customStyle="1" w:styleId="ListParagraphChar">
    <w:name w:val="List Paragraph Char"/>
    <w:aliases w:val="1.1.1_List Paragraph Char,List Paragraph (numbered (a)) Char,List Paragraph 1 Char,List Paragraph 1.1.1 Char,List Paragraph1 Char,List_Paragraph Char,Main numbered paragraph Char,Multilevel para_II Char,NUMBERED PARAGRAPH Char,6 Char"/>
    <w:link w:val="ListParagraph"/>
    <w:uiPriority w:val="1"/>
    <w:qFormat/>
    <w:locked/>
    <w:rsid w:val="00A87488"/>
    <w:rPr>
      <w:sz w:val="22"/>
      <w:szCs w:val="22"/>
      <w:lang w:val="en-US" w:eastAsia="en-US"/>
    </w:rPr>
  </w:style>
  <w:style w:type="paragraph" w:customStyle="1" w:styleId="TableText0">
    <w:name w:val="Table Text"/>
    <w:basedOn w:val="Normal"/>
    <w:link w:val="TableTextChar0"/>
    <w:qFormat/>
    <w:rsid w:val="004C1F3A"/>
    <w:pPr>
      <w:spacing w:before="60" w:after="60" w:line="240" w:lineRule="auto"/>
      <w:jc w:val="both"/>
    </w:pPr>
    <w:rPr>
      <w:rFonts w:ascii="Arial" w:eastAsia="Times New Roman" w:hAnsi="Arial"/>
      <w:szCs w:val="20"/>
      <w:lang w:val="en-GB" w:eastAsia="x-none"/>
    </w:rPr>
  </w:style>
  <w:style w:type="character" w:customStyle="1" w:styleId="TableTextChar0">
    <w:name w:val="Table Text Char"/>
    <w:link w:val="TableText0"/>
    <w:locked/>
    <w:rsid w:val="004C1F3A"/>
    <w:rPr>
      <w:rFonts w:ascii="Arial" w:eastAsia="Times New Roman" w:hAnsi="Arial"/>
      <w:lang w:val="en-GB" w:eastAsia="x-none"/>
    </w:rPr>
  </w:style>
  <w:style w:type="paragraph" w:customStyle="1" w:styleId="MainText">
    <w:name w:val="Main Text"/>
    <w:basedOn w:val="Normal"/>
    <w:link w:val="MainTextChar"/>
    <w:qFormat/>
    <w:rsid w:val="004C1F3A"/>
    <w:pPr>
      <w:spacing w:line="264" w:lineRule="auto"/>
      <w:jc w:val="both"/>
    </w:pPr>
    <w:rPr>
      <w:rFonts w:eastAsia="Times New Roman"/>
      <w:color w:val="595959"/>
      <w:sz w:val="22"/>
      <w:szCs w:val="20"/>
      <w:lang w:val="x-none" w:eastAsia="x-none"/>
    </w:rPr>
  </w:style>
  <w:style w:type="character" w:customStyle="1" w:styleId="MainTextChar">
    <w:name w:val="Main Text Char"/>
    <w:link w:val="MainText"/>
    <w:locked/>
    <w:rsid w:val="004C1F3A"/>
    <w:rPr>
      <w:rFonts w:eastAsia="Times New Roman"/>
      <w:color w:val="595959"/>
      <w:sz w:val="22"/>
      <w:lang w:val="x-none" w:eastAsia="x-none"/>
    </w:rPr>
  </w:style>
  <w:style w:type="paragraph" w:customStyle="1" w:styleId="C1PlainText">
    <w:name w:val="C1 Plain Text"/>
    <w:basedOn w:val="Normal"/>
    <w:link w:val="C1PlainTextChar"/>
    <w:qFormat/>
    <w:rsid w:val="00985C68"/>
    <w:pPr>
      <w:overflowPunct w:val="0"/>
      <w:autoSpaceDE w:val="0"/>
      <w:autoSpaceDN w:val="0"/>
      <w:adjustRightInd w:val="0"/>
      <w:spacing w:line="240" w:lineRule="auto"/>
      <w:ind w:left="1298"/>
      <w:jc w:val="both"/>
      <w:textAlignment w:val="baseline"/>
    </w:pPr>
    <w:rPr>
      <w:rFonts w:ascii="Times New Roman" w:eastAsia="Times New Roman" w:hAnsi="Times New Roman"/>
      <w:sz w:val="24"/>
      <w:szCs w:val="20"/>
      <w:lang w:val="en-GB"/>
    </w:rPr>
  </w:style>
  <w:style w:type="character" w:customStyle="1" w:styleId="C1PlainTextChar">
    <w:name w:val="C1 Plain Text Char"/>
    <w:link w:val="C1PlainText"/>
    <w:rsid w:val="00985C68"/>
    <w:rPr>
      <w:rFonts w:ascii="Times New Roman" w:eastAsia="Times New Roman" w:hAnsi="Times New Roman"/>
      <w:sz w:val="24"/>
      <w:lang w:val="en-GB" w:eastAsia="en-US"/>
    </w:rPr>
  </w:style>
  <w:style w:type="paragraph" w:customStyle="1" w:styleId="Enova">
    <w:name w:val="Enova"/>
    <w:basedOn w:val="Normal"/>
    <w:uiPriority w:val="99"/>
    <w:rsid w:val="00DC761E"/>
    <w:pPr>
      <w:numPr>
        <w:numId w:val="3"/>
      </w:numPr>
      <w:spacing w:after="0" w:line="240" w:lineRule="auto"/>
      <w:jc w:val="both"/>
    </w:pPr>
    <w:rPr>
      <w:rFonts w:ascii="Segoe" w:eastAsia="Cambria" w:hAnsi="Segoe" w:cs="Segoe"/>
      <w:sz w:val="18"/>
      <w:szCs w:val="18"/>
    </w:rPr>
  </w:style>
  <w:style w:type="paragraph" w:customStyle="1" w:styleId="Bullets">
    <w:name w:val="Bullets"/>
    <w:basedOn w:val="ListParagraph"/>
    <w:link w:val="BulletsChar"/>
    <w:autoRedefine/>
    <w:uiPriority w:val="5"/>
    <w:qFormat/>
    <w:rsid w:val="008D64BA"/>
    <w:pPr>
      <w:numPr>
        <w:numId w:val="29"/>
      </w:numPr>
      <w:spacing w:after="0"/>
      <w:ind w:left="851" w:hanging="284"/>
      <w:jc w:val="both"/>
    </w:pPr>
    <w:rPr>
      <w:rFonts w:cs="Calibri"/>
      <w:sz w:val="20"/>
      <w:szCs w:val="20"/>
      <w:shd w:val="clear" w:color="auto" w:fill="FFFFFF"/>
    </w:rPr>
  </w:style>
  <w:style w:type="character" w:customStyle="1" w:styleId="BulletsChar">
    <w:name w:val="Bullets Char"/>
    <w:link w:val="Bullets"/>
    <w:uiPriority w:val="5"/>
    <w:rsid w:val="008D64BA"/>
    <w:rPr>
      <w:rFonts w:cs="Calibri"/>
      <w:lang w:eastAsia="en-US"/>
    </w:rPr>
  </w:style>
  <w:style w:type="paragraph" w:customStyle="1" w:styleId="Footenotestyle">
    <w:name w:val="Footenote style"/>
    <w:basedOn w:val="Normal"/>
    <w:link w:val="FootenotestyleChar"/>
    <w:rsid w:val="006A4663"/>
    <w:rPr>
      <w:sz w:val="18"/>
      <w:szCs w:val="18"/>
      <w:vertAlign w:val="superscript"/>
      <w:lang w:val="x-none" w:eastAsia="x-none"/>
    </w:rPr>
  </w:style>
  <w:style w:type="character" w:customStyle="1" w:styleId="FootenotestyleChar">
    <w:name w:val="Footenote style Char"/>
    <w:link w:val="Footenotestyle"/>
    <w:rsid w:val="006A4663"/>
    <w:rPr>
      <w:sz w:val="18"/>
      <w:szCs w:val="18"/>
      <w:vertAlign w:val="superscript"/>
    </w:rPr>
  </w:style>
  <w:style w:type="paragraph" w:styleId="NormalWeb">
    <w:name w:val="Normal (Web)"/>
    <w:basedOn w:val="Normal"/>
    <w:uiPriority w:val="99"/>
    <w:unhideWhenUsed/>
    <w:rsid w:val="00714643"/>
    <w:rPr>
      <w:rFonts w:ascii="Times New Roman" w:hAnsi="Times New Roman"/>
      <w:sz w:val="24"/>
      <w:szCs w:val="24"/>
    </w:rPr>
  </w:style>
  <w:style w:type="paragraph" w:customStyle="1" w:styleId="MainText0">
    <w:name w:val="MainText"/>
    <w:basedOn w:val="Normal"/>
    <w:link w:val="MainTextChar0"/>
    <w:autoRedefine/>
    <w:uiPriority w:val="4"/>
    <w:qFormat/>
    <w:rsid w:val="00FA38ED"/>
    <w:pPr>
      <w:spacing w:before="0" w:after="0"/>
      <w:jc w:val="both"/>
    </w:pPr>
    <w:rPr>
      <w:rFonts w:eastAsia="Times New Roman" w:cs="Calibri"/>
      <w:color w:val="FF0000"/>
      <w:szCs w:val="18"/>
      <w:lang w:val="bs-Latn-BA" w:eastAsia="x-none"/>
    </w:rPr>
  </w:style>
  <w:style w:type="character" w:customStyle="1" w:styleId="MainTextChar0">
    <w:name w:val="MainText Char"/>
    <w:link w:val="MainText0"/>
    <w:uiPriority w:val="4"/>
    <w:locked/>
    <w:rsid w:val="00FA38ED"/>
    <w:rPr>
      <w:rFonts w:eastAsia="Times New Roman" w:cs="Calibri"/>
      <w:color w:val="FF0000"/>
      <w:szCs w:val="18"/>
      <w:lang w:eastAsia="x-none"/>
    </w:rPr>
  </w:style>
  <w:style w:type="character" w:customStyle="1" w:styleId="alt-edited">
    <w:name w:val="alt-edited"/>
    <w:rsid w:val="00105104"/>
  </w:style>
  <w:style w:type="character" w:customStyle="1" w:styleId="tlid-translation">
    <w:name w:val="tlid-translation"/>
    <w:basedOn w:val="DefaultParagraphFont"/>
    <w:rsid w:val="006079FF"/>
  </w:style>
  <w:style w:type="paragraph" w:styleId="Revision">
    <w:name w:val="Revision"/>
    <w:hidden/>
    <w:uiPriority w:val="99"/>
    <w:semiHidden/>
    <w:rsid w:val="00DF082C"/>
    <w:rPr>
      <w:szCs w:val="22"/>
      <w:lang w:val="hr-HR" w:eastAsia="en-US"/>
    </w:rPr>
  </w:style>
  <w:style w:type="table" w:styleId="GridTable1Light">
    <w:name w:val="Grid Table 1 Light"/>
    <w:basedOn w:val="TableNormal"/>
    <w:uiPriority w:val="46"/>
    <w:rsid w:val="008D5395"/>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8D5395"/>
    <w:tblPr>
      <w:tblStyleRowBandSize w:val="1"/>
      <w:tblStyleColBandSize w:val="1"/>
      <w:tblBorders>
        <w:top w:val="single" w:sz="4" w:space="0" w:color="FFE599"/>
        <w:left w:val="single" w:sz="4" w:space="0" w:color="FFE599"/>
        <w:bottom w:val="single" w:sz="4" w:space="0" w:color="FFE599"/>
        <w:right w:val="single" w:sz="4" w:space="0" w:color="FFE599"/>
        <w:insideH w:val="single" w:sz="4" w:space="0" w:color="FFE599"/>
        <w:insideV w:val="single" w:sz="4" w:space="0" w:color="FFE599"/>
      </w:tblBorders>
    </w:tblPr>
    <w:tblStylePr w:type="firstRow">
      <w:rPr>
        <w:b/>
        <w:bCs/>
      </w:rPr>
      <w:tblPr/>
      <w:tcPr>
        <w:tcBorders>
          <w:bottom w:val="single" w:sz="12" w:space="0" w:color="FFD966"/>
        </w:tcBorders>
      </w:tcPr>
    </w:tblStylePr>
    <w:tblStylePr w:type="lastRow">
      <w:rPr>
        <w:b/>
        <w:bCs/>
      </w:rPr>
      <w:tblPr/>
      <w:tcPr>
        <w:tcBorders>
          <w:top w:val="double" w:sz="2" w:space="0" w:color="FFD966"/>
        </w:tcBorders>
      </w:tcPr>
    </w:tblStylePr>
    <w:tblStylePr w:type="firstCol">
      <w:rPr>
        <w:b/>
        <w:bCs/>
      </w:rPr>
    </w:tblStylePr>
    <w:tblStylePr w:type="lastCol">
      <w:rPr>
        <w:b/>
        <w:bCs/>
      </w:rPr>
    </w:tblStylePr>
  </w:style>
  <w:style w:type="character" w:customStyle="1" w:styleId="UnresolvedMention1">
    <w:name w:val="Unresolved Mention1"/>
    <w:uiPriority w:val="99"/>
    <w:semiHidden/>
    <w:unhideWhenUsed/>
    <w:rsid w:val="007371A0"/>
    <w:rPr>
      <w:color w:val="605E5C"/>
      <w:shd w:val="clear" w:color="auto" w:fill="E1DFDD"/>
    </w:rPr>
  </w:style>
  <w:style w:type="table" w:styleId="GridTable7Colorful-Accent3">
    <w:name w:val="Grid Table 7 Colorful Accent 3"/>
    <w:basedOn w:val="TableNormal"/>
    <w:uiPriority w:val="52"/>
    <w:rsid w:val="00D67B92"/>
    <w:rPr>
      <w:color w:val="7B7B7B"/>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bottom w:val="single" w:sz="4" w:space="0" w:color="C9C9C9"/>
        </w:tcBorders>
      </w:tcPr>
    </w:tblStylePr>
    <w:tblStylePr w:type="nwCell">
      <w:tblPr/>
      <w:tcPr>
        <w:tcBorders>
          <w:bottom w:val="single" w:sz="4" w:space="0" w:color="C9C9C9"/>
        </w:tcBorders>
      </w:tcPr>
    </w:tblStylePr>
    <w:tblStylePr w:type="seCell">
      <w:tblPr/>
      <w:tcPr>
        <w:tcBorders>
          <w:top w:val="single" w:sz="4" w:space="0" w:color="C9C9C9"/>
        </w:tcBorders>
      </w:tcPr>
    </w:tblStylePr>
    <w:tblStylePr w:type="swCell">
      <w:tblPr/>
      <w:tcPr>
        <w:tcBorders>
          <w:top w:val="single" w:sz="4" w:space="0" w:color="C9C9C9"/>
        </w:tcBorders>
      </w:tcPr>
    </w:tblStylePr>
  </w:style>
  <w:style w:type="table" w:styleId="GridTable1Light-Accent3">
    <w:name w:val="Grid Table 1 Light Accent 3"/>
    <w:basedOn w:val="TableNormal"/>
    <w:uiPriority w:val="46"/>
    <w:rsid w:val="001D7507"/>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1D7507"/>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paragraph" w:styleId="TOC9">
    <w:name w:val="toc 9"/>
    <w:basedOn w:val="Normal"/>
    <w:next w:val="Normal"/>
    <w:autoRedefine/>
    <w:uiPriority w:val="39"/>
    <w:unhideWhenUsed/>
    <w:rsid w:val="00881829"/>
    <w:pPr>
      <w:ind w:left="1600"/>
    </w:pPr>
  </w:style>
  <w:style w:type="character" w:styleId="SubtleReference">
    <w:name w:val="Subtle Reference"/>
    <w:uiPriority w:val="31"/>
    <w:qFormat/>
    <w:rsid w:val="00881829"/>
    <w:rPr>
      <w:rFonts w:ascii="Calibri" w:hAnsi="Calibri"/>
      <w:smallCaps/>
      <w:color w:val="595959"/>
      <w:sz w:val="24"/>
    </w:rPr>
  </w:style>
  <w:style w:type="character" w:styleId="SubtleEmphasis">
    <w:name w:val="Subtle Emphasis"/>
    <w:aliases w:val="PRILOZI"/>
    <w:uiPriority w:val="19"/>
    <w:qFormat/>
    <w:rsid w:val="000A0FE3"/>
    <w:rPr>
      <w:i w:val="0"/>
      <w:iCs/>
      <w:color w:val="1F497D"/>
    </w:rPr>
  </w:style>
  <w:style w:type="paragraph" w:styleId="EndnoteText">
    <w:name w:val="endnote text"/>
    <w:basedOn w:val="Normal"/>
    <w:link w:val="EndnoteTextChar"/>
    <w:uiPriority w:val="99"/>
    <w:semiHidden/>
    <w:unhideWhenUsed/>
    <w:rsid w:val="000C321B"/>
    <w:rPr>
      <w:szCs w:val="20"/>
    </w:rPr>
  </w:style>
  <w:style w:type="character" w:customStyle="1" w:styleId="EndnoteTextChar">
    <w:name w:val="Endnote Text Char"/>
    <w:link w:val="EndnoteText"/>
    <w:uiPriority w:val="99"/>
    <w:semiHidden/>
    <w:rsid w:val="000C321B"/>
    <w:rPr>
      <w:lang w:val="hr-HR" w:eastAsia="en-US"/>
    </w:rPr>
  </w:style>
  <w:style w:type="character" w:styleId="EndnoteReference">
    <w:name w:val="endnote reference"/>
    <w:uiPriority w:val="99"/>
    <w:semiHidden/>
    <w:unhideWhenUsed/>
    <w:rsid w:val="000C321B"/>
    <w:rPr>
      <w:vertAlign w:val="superscript"/>
    </w:rPr>
  </w:style>
  <w:style w:type="table" w:styleId="PlainTable4">
    <w:name w:val="Plain Table 4"/>
    <w:basedOn w:val="TableNormal"/>
    <w:uiPriority w:val="44"/>
    <w:rsid w:val="00FE1236"/>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TableGridLight">
    <w:name w:val="Grid Table Light"/>
    <w:basedOn w:val="TableNormal"/>
    <w:uiPriority w:val="40"/>
    <w:rsid w:val="00FE1236"/>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GridTable6Colorful-Accent1">
    <w:name w:val="Grid Table 6 Colorful Accent 1"/>
    <w:basedOn w:val="TableNormal"/>
    <w:uiPriority w:val="51"/>
    <w:rsid w:val="00FE1236"/>
    <w:rPr>
      <w:color w:val="2F5496"/>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Lejlalijepatabela">
    <w:name w:val="Lejla lijepa tabela"/>
    <w:basedOn w:val="TableNormal"/>
    <w:uiPriority w:val="99"/>
    <w:rsid w:val="00E9038B"/>
    <w:rPr>
      <w:sz w:val="16"/>
    </w:rPr>
    <w:tblPr/>
  </w:style>
  <w:style w:type="paragraph" w:styleId="ListBullet">
    <w:name w:val="List Bullet"/>
    <w:aliases w:val="List Bullet_ SENES"/>
    <w:basedOn w:val="Normal"/>
    <w:autoRedefine/>
    <w:rsid w:val="00D51562"/>
    <w:pPr>
      <w:spacing w:before="80" w:after="80" w:line="288" w:lineRule="auto"/>
      <w:ind w:left="180"/>
      <w:jc w:val="both"/>
    </w:pPr>
    <w:rPr>
      <w:rFonts w:ascii="Arial Narrow" w:eastAsia="MS Mincho" w:hAnsi="Arial Narrow" w:cs="Arial"/>
      <w:color w:val="000000"/>
      <w:szCs w:val="18"/>
      <w:lang w:val="en-GB"/>
    </w:rPr>
  </w:style>
  <w:style w:type="paragraph" w:customStyle="1" w:styleId="Style">
    <w:name w:val="Style"/>
    <w:basedOn w:val="Normal"/>
    <w:uiPriority w:val="99"/>
    <w:rsid w:val="000734CD"/>
    <w:pPr>
      <w:tabs>
        <w:tab w:val="left" w:pos="709"/>
      </w:tabs>
      <w:spacing w:before="0" w:after="0" w:line="240" w:lineRule="auto"/>
      <w:jc w:val="both"/>
    </w:pPr>
    <w:rPr>
      <w:rFonts w:ascii="Tahoma" w:eastAsia="Times New Roman" w:hAnsi="Tahoma" w:cs="Tahoma"/>
      <w:szCs w:val="20"/>
      <w:lang w:val="pl-PL" w:eastAsia="pl-PL"/>
    </w:rPr>
  </w:style>
  <w:style w:type="paragraph" w:customStyle="1" w:styleId="BodyA">
    <w:name w:val="Body A"/>
    <w:rsid w:val="004E5197"/>
    <w:pPr>
      <w:spacing w:after="160" w:line="256" w:lineRule="auto"/>
    </w:pPr>
    <w:rPr>
      <w:rFonts w:cs="Calibri"/>
      <w:color w:val="000000"/>
      <w:sz w:val="22"/>
      <w:szCs w:val="22"/>
      <w:u w:color="000000"/>
      <w:lang w:eastAsia="ru-RU"/>
    </w:rPr>
  </w:style>
  <w:style w:type="character" w:customStyle="1" w:styleId="None">
    <w:name w:val="None"/>
    <w:rsid w:val="004E5197"/>
  </w:style>
  <w:style w:type="table" w:customStyle="1" w:styleId="PlainTable51">
    <w:name w:val="Plain Table 51"/>
    <w:basedOn w:val="TableNormal"/>
    <w:uiPriority w:val="45"/>
    <w:rsid w:val="0064632D"/>
    <w:rPr>
      <w:sz w:val="24"/>
      <w:szCs w:val="24"/>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PlainTable31">
    <w:name w:val="Plain Table 31"/>
    <w:basedOn w:val="TableNormal"/>
    <w:uiPriority w:val="43"/>
    <w:rsid w:val="0064632D"/>
    <w:rPr>
      <w:sz w:val="24"/>
      <w:szCs w:val="24"/>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ListTable7Colorful-Accent51">
    <w:name w:val="List Table 7 Colorful - Accent 51"/>
    <w:basedOn w:val="TableNormal"/>
    <w:uiPriority w:val="52"/>
    <w:rsid w:val="0064632D"/>
    <w:rPr>
      <w:color w:val="2E74B5"/>
      <w:sz w:val="24"/>
      <w:szCs w:val="24"/>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5B9BD5"/>
        </w:tcBorders>
        <w:shd w:val="clear" w:color="auto" w:fill="FFFFFF"/>
      </w:tcPr>
    </w:tblStylePr>
    <w:tblStylePr w:type="lastRow">
      <w:rPr>
        <w:rFonts w:ascii="Calibri Light" w:eastAsia="Times New Roman" w:hAnsi="Calibri Light" w:cs="Times New Roman"/>
        <w:i/>
        <w:iCs/>
        <w:sz w:val="26"/>
      </w:rPr>
      <w:tblPr/>
      <w:tcPr>
        <w:tcBorders>
          <w:top w:val="single" w:sz="4" w:space="0" w:color="5B9BD5"/>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5B9BD5"/>
        </w:tcBorders>
        <w:shd w:val="clear" w:color="auto" w:fill="FFFFFF"/>
      </w:tcPr>
    </w:tblStylePr>
    <w:tblStylePr w:type="lastCol">
      <w:rPr>
        <w:rFonts w:ascii="Calibri Light" w:eastAsia="Times New Roman" w:hAnsi="Calibri Light" w:cs="Times New Roman"/>
        <w:i/>
        <w:iCs/>
        <w:sz w:val="26"/>
      </w:rPr>
      <w:tblPr/>
      <w:tcPr>
        <w:tcBorders>
          <w:left w:val="single" w:sz="4" w:space="0" w:color="5B9BD5"/>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31">
    <w:name w:val="List Table 7 Colorful - Accent 31"/>
    <w:basedOn w:val="TableNormal"/>
    <w:uiPriority w:val="52"/>
    <w:rsid w:val="0064632D"/>
    <w:rPr>
      <w:color w:val="7B7B7B"/>
      <w:sz w:val="24"/>
      <w:szCs w:val="24"/>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A5A5A5"/>
        </w:tcBorders>
        <w:shd w:val="clear" w:color="auto" w:fill="FFFFFF"/>
      </w:tcPr>
    </w:tblStylePr>
    <w:tblStylePr w:type="lastRow">
      <w:rPr>
        <w:rFonts w:ascii="Calibri Light" w:eastAsia="Times New Roman" w:hAnsi="Calibri Light" w:cs="Times New Roman"/>
        <w:i/>
        <w:iCs/>
        <w:sz w:val="26"/>
      </w:rPr>
      <w:tblPr/>
      <w:tcPr>
        <w:tcBorders>
          <w:top w:val="single" w:sz="4" w:space="0" w:color="A5A5A5"/>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A5A5A5"/>
        </w:tcBorders>
        <w:shd w:val="clear" w:color="auto" w:fill="FFFFFF"/>
      </w:tcPr>
    </w:tblStylePr>
    <w:tblStylePr w:type="lastCol">
      <w:rPr>
        <w:rFonts w:ascii="Calibri Light" w:eastAsia="Times New Roman" w:hAnsi="Calibri Light" w:cs="Times New Roman"/>
        <w:i/>
        <w:iCs/>
        <w:sz w:val="26"/>
      </w:rPr>
      <w:tblPr/>
      <w:tcPr>
        <w:tcBorders>
          <w:left w:val="single" w:sz="4" w:space="0" w:color="A5A5A5"/>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3-Accent31">
    <w:name w:val="Grid Table 3 - Accent 31"/>
    <w:basedOn w:val="TableNormal"/>
    <w:uiPriority w:val="48"/>
    <w:rsid w:val="0064632D"/>
    <w:rPr>
      <w:sz w:val="24"/>
      <w:szCs w:val="24"/>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bottom w:val="single" w:sz="4" w:space="0" w:color="C9C9C9"/>
        </w:tcBorders>
      </w:tcPr>
    </w:tblStylePr>
    <w:tblStylePr w:type="nwCell">
      <w:tblPr/>
      <w:tcPr>
        <w:tcBorders>
          <w:bottom w:val="single" w:sz="4" w:space="0" w:color="C9C9C9"/>
        </w:tcBorders>
      </w:tcPr>
    </w:tblStylePr>
    <w:tblStylePr w:type="seCell">
      <w:tblPr/>
      <w:tcPr>
        <w:tcBorders>
          <w:top w:val="single" w:sz="4" w:space="0" w:color="C9C9C9"/>
        </w:tcBorders>
      </w:tcPr>
    </w:tblStylePr>
    <w:tblStylePr w:type="swCell">
      <w:tblPr/>
      <w:tcPr>
        <w:tcBorders>
          <w:top w:val="single" w:sz="4" w:space="0" w:color="C9C9C9"/>
        </w:tcBorders>
      </w:tcPr>
    </w:tblStylePr>
  </w:style>
  <w:style w:type="table" w:customStyle="1" w:styleId="GridTable1Light-Accent31">
    <w:name w:val="Grid Table 1 Light - Accent 31"/>
    <w:basedOn w:val="TableNormal"/>
    <w:uiPriority w:val="46"/>
    <w:rsid w:val="0064632D"/>
    <w:rPr>
      <w:sz w:val="24"/>
      <w:szCs w:val="24"/>
    </w:rPr>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paragraph" w:styleId="TOC4">
    <w:name w:val="toc 4"/>
    <w:basedOn w:val="Normal"/>
    <w:next w:val="Normal"/>
    <w:autoRedefine/>
    <w:uiPriority w:val="39"/>
    <w:unhideWhenUsed/>
    <w:rsid w:val="0064632D"/>
    <w:pPr>
      <w:spacing w:before="0" w:after="0" w:line="240" w:lineRule="auto"/>
      <w:ind w:left="480"/>
    </w:pPr>
    <w:rPr>
      <w:rFonts w:cs="Calibri"/>
      <w:szCs w:val="20"/>
      <w:lang w:val="en-US"/>
    </w:rPr>
  </w:style>
  <w:style w:type="paragraph" w:styleId="TOC5">
    <w:name w:val="toc 5"/>
    <w:basedOn w:val="Normal"/>
    <w:next w:val="Normal"/>
    <w:autoRedefine/>
    <w:uiPriority w:val="39"/>
    <w:unhideWhenUsed/>
    <w:rsid w:val="0064632D"/>
    <w:pPr>
      <w:spacing w:before="0" w:after="0" w:line="240" w:lineRule="auto"/>
      <w:ind w:left="720"/>
    </w:pPr>
    <w:rPr>
      <w:rFonts w:cs="Calibri"/>
      <w:szCs w:val="20"/>
      <w:lang w:val="en-US"/>
    </w:rPr>
  </w:style>
  <w:style w:type="paragraph" w:styleId="TOC6">
    <w:name w:val="toc 6"/>
    <w:basedOn w:val="Normal"/>
    <w:next w:val="Normal"/>
    <w:autoRedefine/>
    <w:uiPriority w:val="39"/>
    <w:unhideWhenUsed/>
    <w:rsid w:val="0064632D"/>
    <w:pPr>
      <w:spacing w:before="0" w:after="0" w:line="240" w:lineRule="auto"/>
      <w:ind w:left="960"/>
    </w:pPr>
    <w:rPr>
      <w:rFonts w:cs="Calibri"/>
      <w:szCs w:val="20"/>
      <w:lang w:val="en-US"/>
    </w:rPr>
  </w:style>
  <w:style w:type="paragraph" w:styleId="TOC7">
    <w:name w:val="toc 7"/>
    <w:basedOn w:val="Normal"/>
    <w:next w:val="Normal"/>
    <w:autoRedefine/>
    <w:uiPriority w:val="39"/>
    <w:unhideWhenUsed/>
    <w:rsid w:val="0064632D"/>
    <w:pPr>
      <w:spacing w:before="0" w:after="0" w:line="240" w:lineRule="auto"/>
      <w:ind w:left="1200"/>
    </w:pPr>
    <w:rPr>
      <w:rFonts w:cs="Calibri"/>
      <w:szCs w:val="20"/>
      <w:lang w:val="en-US"/>
    </w:rPr>
  </w:style>
  <w:style w:type="paragraph" w:styleId="TOC8">
    <w:name w:val="toc 8"/>
    <w:basedOn w:val="Normal"/>
    <w:next w:val="Normal"/>
    <w:autoRedefine/>
    <w:uiPriority w:val="39"/>
    <w:unhideWhenUsed/>
    <w:rsid w:val="0064632D"/>
    <w:pPr>
      <w:spacing w:before="0" w:after="0" w:line="240" w:lineRule="auto"/>
      <w:ind w:left="1440"/>
    </w:pPr>
    <w:rPr>
      <w:rFonts w:cs="Calibri"/>
      <w:szCs w:val="20"/>
      <w:lang w:val="en-US"/>
    </w:rPr>
  </w:style>
  <w:style w:type="table" w:styleId="ListTable1Light-Accent5">
    <w:name w:val="List Table 1 Light Accent 5"/>
    <w:basedOn w:val="TableNormal"/>
    <w:uiPriority w:val="46"/>
    <w:rsid w:val="0064632D"/>
    <w:rPr>
      <w:sz w:val="24"/>
      <w:szCs w:val="24"/>
    </w:rPr>
    <w:tblPr>
      <w:tblStyleRowBandSize w:val="1"/>
      <w:tblStyleColBandSize w:val="1"/>
    </w:tblPr>
    <w:tblStylePr w:type="firstRow">
      <w:rPr>
        <w:b/>
        <w:bCs/>
      </w:rPr>
      <w:tblPr/>
      <w:tcPr>
        <w:tcBorders>
          <w:bottom w:val="single" w:sz="4" w:space="0" w:color="9CC2E5"/>
        </w:tcBorders>
      </w:tcPr>
    </w:tblStylePr>
    <w:tblStylePr w:type="lastRow">
      <w:rPr>
        <w:b/>
        <w:bCs/>
      </w:rPr>
      <w:tblPr/>
      <w:tcPr>
        <w:tcBorders>
          <w:top w:val="sing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PlainTable2">
    <w:name w:val="Plain Table 2"/>
    <w:basedOn w:val="TableNormal"/>
    <w:uiPriority w:val="42"/>
    <w:rsid w:val="0064632D"/>
    <w:rPr>
      <w:sz w:val="24"/>
      <w:szCs w:val="24"/>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styleId="PageNumber">
    <w:name w:val="page number"/>
    <w:uiPriority w:val="99"/>
    <w:semiHidden/>
    <w:unhideWhenUsed/>
    <w:rsid w:val="0064632D"/>
  </w:style>
  <w:style w:type="character" w:styleId="PlaceholderText">
    <w:name w:val="Placeholder Text"/>
    <w:uiPriority w:val="99"/>
    <w:semiHidden/>
    <w:rsid w:val="0064632D"/>
    <w:rPr>
      <w:color w:val="808080"/>
    </w:rPr>
  </w:style>
  <w:style w:type="paragraph" w:styleId="PlainText">
    <w:name w:val="Plain Text"/>
    <w:basedOn w:val="Normal"/>
    <w:link w:val="PlainTextChar"/>
    <w:uiPriority w:val="99"/>
    <w:unhideWhenUsed/>
    <w:rsid w:val="0064632D"/>
    <w:pPr>
      <w:spacing w:before="0" w:after="0" w:line="240" w:lineRule="auto"/>
    </w:pPr>
    <w:rPr>
      <w:rFonts w:cs="Calibri"/>
      <w:sz w:val="22"/>
      <w:lang w:val="en-US"/>
    </w:rPr>
  </w:style>
  <w:style w:type="character" w:customStyle="1" w:styleId="PlainTextChar">
    <w:name w:val="Plain Text Char"/>
    <w:link w:val="PlainText"/>
    <w:uiPriority w:val="99"/>
    <w:rsid w:val="0064632D"/>
    <w:rPr>
      <w:rFonts w:cs="Calibri"/>
      <w:sz w:val="22"/>
      <w:szCs w:val="22"/>
      <w:lang w:val="en-US" w:eastAsia="en-US"/>
    </w:rPr>
  </w:style>
  <w:style w:type="paragraph" w:customStyle="1" w:styleId="BVIfnrCarCarCarCarChar">
    <w:name w:val="BVI fnr Car Car Car Car Char"/>
    <w:aliases w:val="BVI fnr Car,BVI fnr Car Car,BVI fnr Car Car Car Car,BVI fnr Car Car Car Car Tegn Char,BVI fnr Car Car Tegn Char1,BVI fnr Car Tegn Char1,BVI fnr Tegn Char1, BVI fnr Car Car Car Car Char"/>
    <w:basedOn w:val="Normal"/>
    <w:link w:val="FootnoteReference"/>
    <w:uiPriority w:val="99"/>
    <w:rsid w:val="00360B39"/>
    <w:pPr>
      <w:spacing w:before="0" w:after="160" w:line="240" w:lineRule="exact"/>
    </w:pPr>
    <w:rPr>
      <w:color w:val="1F497D"/>
      <w:szCs w:val="20"/>
      <w:vertAlign w:val="superscript"/>
      <w:lang w:val="en-US"/>
    </w:rPr>
  </w:style>
  <w:style w:type="table" w:styleId="PlainTable3">
    <w:name w:val="Plain Table 3"/>
    <w:basedOn w:val="TableNormal"/>
    <w:uiPriority w:val="43"/>
    <w:rsid w:val="00257A3C"/>
    <w:rPr>
      <w:rFonts w:eastAsia="SimSun" w:cs="Latha"/>
      <w:sz w:val="22"/>
      <w:szCs w:val="22"/>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numbering" w:customStyle="1" w:styleId="MedianListStyle">
    <w:name w:val="Median List Style"/>
    <w:uiPriority w:val="99"/>
    <w:rsid w:val="00855D67"/>
    <w:pPr>
      <w:numPr>
        <w:numId w:val="21"/>
      </w:numPr>
    </w:pPr>
  </w:style>
  <w:style w:type="character" w:customStyle="1" w:styleId="TabletextChar">
    <w:name w:val="Table text Char"/>
    <w:link w:val="Tabletext"/>
    <w:uiPriority w:val="1"/>
    <w:rsid w:val="00B109BB"/>
    <w:rPr>
      <w:rFonts w:ascii="Times New Roman" w:hAnsi="Times New Roman"/>
      <w:szCs w:val="22"/>
      <w:lang w:val="en-GB" w:eastAsia="en-US"/>
    </w:rPr>
  </w:style>
  <w:style w:type="paragraph" w:customStyle="1" w:styleId="BVIfnrChar">
    <w:name w:val="BVI fnr Char"/>
    <w:aliases w:val="Footnotes refss Char,ftref Char,16 Point Char,Superscript 6 Point Char,Footnote Reference Number Char,nota pié di pagina Char,Times 10 Point Char,Exposant 3 Point Char,Footnote symbol Char,Footnote reference number Char"/>
    <w:basedOn w:val="Normal"/>
    <w:uiPriority w:val="99"/>
    <w:rsid w:val="00B765C5"/>
    <w:pPr>
      <w:spacing w:before="0" w:after="160" w:line="240" w:lineRule="exact"/>
      <w:jc w:val="both"/>
    </w:pPr>
    <w:rPr>
      <w:rFonts w:ascii="Times New Roman" w:eastAsia="Tw Cen MT" w:hAnsi="Times New Roman"/>
      <w:szCs w:val="20"/>
      <w:vertAlign w:val="superscript"/>
      <w:lang w:val="x-none" w:eastAsia="x-none"/>
    </w:rPr>
  </w:style>
  <w:style w:type="character" w:styleId="Emphasis">
    <w:name w:val="Emphasis"/>
    <w:basedOn w:val="DefaultParagraphFont"/>
    <w:uiPriority w:val="20"/>
    <w:qFormat/>
    <w:rsid w:val="00E548FB"/>
    <w:rPr>
      <w:i/>
      <w:iCs/>
    </w:rPr>
  </w:style>
  <w:style w:type="table" w:customStyle="1" w:styleId="TableGrid11">
    <w:name w:val="Table Grid11"/>
    <w:basedOn w:val="TableNormal"/>
    <w:uiPriority w:val="59"/>
    <w:rsid w:val="00012839"/>
    <w:pPr>
      <w:jc w:val="both"/>
    </w:pPr>
    <w:rPr>
      <w:rFonts w:ascii="Corbel" w:eastAsiaTheme="minorHAnsi" w:hAnsi="Corbel" w:cstheme="minorBidi"/>
      <w:lang w:val="en-GB"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FootnoteTextCharChar2CharChar1">
    <w:name w:val="Footnote Text Char Char2 Char Char1"/>
    <w:basedOn w:val="Normal"/>
    <w:next w:val="FootnoteText"/>
    <w:uiPriority w:val="99"/>
    <w:unhideWhenUsed/>
    <w:qFormat/>
    <w:rsid w:val="00012839"/>
    <w:pPr>
      <w:spacing w:after="0" w:line="240" w:lineRule="auto"/>
      <w:jc w:val="both"/>
    </w:pPr>
    <w:rPr>
      <w:rFonts w:eastAsiaTheme="minorHAnsi" w:cstheme="minorBidi"/>
      <w:sz w:val="16"/>
      <w:lang w:val="en-GB"/>
    </w:rPr>
  </w:style>
  <w:style w:type="character" w:customStyle="1" w:styleId="Hyperlink1">
    <w:name w:val="Hyperlink1"/>
    <w:basedOn w:val="DefaultParagraphFont"/>
    <w:uiPriority w:val="99"/>
    <w:unhideWhenUsed/>
    <w:rsid w:val="00012839"/>
    <w:rPr>
      <w:color w:val="0000FF"/>
      <w:u w:val="single"/>
    </w:rPr>
  </w:style>
  <w:style w:type="paragraph" w:customStyle="1" w:styleId="Footnote">
    <w:name w:val="Footnote"/>
    <w:basedOn w:val="Normal"/>
    <w:qFormat/>
    <w:rsid w:val="00A76BEC"/>
    <w:pPr>
      <w:spacing w:before="0" w:after="0" w:line="240" w:lineRule="auto"/>
      <w:jc w:val="both"/>
    </w:pPr>
    <w:rPr>
      <w:rFonts w:eastAsia="Times New Roman"/>
      <w:sz w:val="16"/>
      <w:szCs w:val="16"/>
      <w:lang w:val="en-US" w:eastAsia="sv-SE" w:bidi="en-US"/>
    </w:rPr>
  </w:style>
  <w:style w:type="character" w:customStyle="1" w:styleId="apple-converted-space">
    <w:name w:val="apple-converted-space"/>
    <w:basedOn w:val="DefaultParagraphFont"/>
    <w:rsid w:val="002B5FB1"/>
  </w:style>
  <w:style w:type="character" w:styleId="Strong">
    <w:name w:val="Strong"/>
    <w:basedOn w:val="DefaultParagraphFont"/>
    <w:uiPriority w:val="22"/>
    <w:qFormat/>
    <w:rsid w:val="002B5FB1"/>
    <w:rPr>
      <w:b/>
      <w:bCs/>
    </w:rPr>
  </w:style>
  <w:style w:type="paragraph" w:customStyle="1" w:styleId="fusnota">
    <w:name w:val="fusnota"/>
    <w:basedOn w:val="FootnoteText"/>
    <w:qFormat/>
    <w:rsid w:val="00A67FEE"/>
    <w:pPr>
      <w:tabs>
        <w:tab w:val="clear" w:pos="1440"/>
        <w:tab w:val="clear" w:pos="5760"/>
      </w:tabs>
      <w:spacing w:line="240" w:lineRule="auto"/>
    </w:pPr>
    <w:rPr>
      <w:rFonts w:ascii="Calibri" w:eastAsia="Calibri" w:hAnsi="Calibri"/>
      <w:sz w:val="16"/>
      <w:szCs w:val="16"/>
    </w:rPr>
  </w:style>
  <w:style w:type="table" w:customStyle="1" w:styleId="TableGridLight1">
    <w:name w:val="Table Grid Light1"/>
    <w:basedOn w:val="TableNormal"/>
    <w:uiPriority w:val="40"/>
    <w:rsid w:val="00D5710F"/>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LightList11">
    <w:name w:val="Light List11"/>
    <w:basedOn w:val="TableNormal"/>
    <w:uiPriority w:val="61"/>
    <w:rsid w:val="009E6567"/>
    <w:pPr>
      <w:jc w:val="both"/>
    </w:pPr>
    <w:rPr>
      <w:rFonts w:ascii="Corbel" w:eastAsiaTheme="minorHAnsi" w:hAnsi="Corbel" w:cstheme="minorBidi"/>
      <w:lang w:val="en-GB"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9867396">
      <w:bodyDiv w:val="1"/>
      <w:marLeft w:val="0"/>
      <w:marRight w:val="0"/>
      <w:marTop w:val="0"/>
      <w:marBottom w:val="0"/>
      <w:divBdr>
        <w:top w:val="none" w:sz="0" w:space="0" w:color="auto"/>
        <w:left w:val="none" w:sz="0" w:space="0" w:color="auto"/>
        <w:bottom w:val="none" w:sz="0" w:space="0" w:color="auto"/>
        <w:right w:val="none" w:sz="0" w:space="0" w:color="auto"/>
      </w:divBdr>
      <w:divsChild>
        <w:div w:id="1793592434">
          <w:marLeft w:val="0"/>
          <w:marRight w:val="0"/>
          <w:marTop w:val="0"/>
          <w:marBottom w:val="0"/>
          <w:divBdr>
            <w:top w:val="none" w:sz="0" w:space="0" w:color="auto"/>
            <w:left w:val="none" w:sz="0" w:space="0" w:color="auto"/>
            <w:bottom w:val="none" w:sz="0" w:space="0" w:color="auto"/>
            <w:right w:val="none" w:sz="0" w:space="0" w:color="auto"/>
          </w:divBdr>
          <w:divsChild>
            <w:div w:id="375853009">
              <w:marLeft w:val="0"/>
              <w:marRight w:val="0"/>
              <w:marTop w:val="0"/>
              <w:marBottom w:val="0"/>
              <w:divBdr>
                <w:top w:val="none" w:sz="0" w:space="0" w:color="auto"/>
                <w:left w:val="none" w:sz="0" w:space="0" w:color="auto"/>
                <w:bottom w:val="none" w:sz="0" w:space="0" w:color="auto"/>
                <w:right w:val="none" w:sz="0" w:space="0" w:color="auto"/>
              </w:divBdr>
            </w:div>
            <w:div w:id="1349138279">
              <w:marLeft w:val="0"/>
              <w:marRight w:val="0"/>
              <w:marTop w:val="0"/>
              <w:marBottom w:val="0"/>
              <w:divBdr>
                <w:top w:val="none" w:sz="0" w:space="0" w:color="auto"/>
                <w:left w:val="none" w:sz="0" w:space="0" w:color="auto"/>
                <w:bottom w:val="none" w:sz="0" w:space="0" w:color="auto"/>
                <w:right w:val="none" w:sz="0" w:space="0" w:color="auto"/>
              </w:divBdr>
            </w:div>
            <w:div w:id="197895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587994">
      <w:bodyDiv w:val="1"/>
      <w:marLeft w:val="0"/>
      <w:marRight w:val="0"/>
      <w:marTop w:val="0"/>
      <w:marBottom w:val="0"/>
      <w:divBdr>
        <w:top w:val="none" w:sz="0" w:space="0" w:color="auto"/>
        <w:left w:val="none" w:sz="0" w:space="0" w:color="auto"/>
        <w:bottom w:val="none" w:sz="0" w:space="0" w:color="auto"/>
        <w:right w:val="none" w:sz="0" w:space="0" w:color="auto"/>
      </w:divBdr>
      <w:divsChild>
        <w:div w:id="1006131366">
          <w:marLeft w:val="0"/>
          <w:marRight w:val="0"/>
          <w:marTop w:val="0"/>
          <w:marBottom w:val="0"/>
          <w:divBdr>
            <w:top w:val="none" w:sz="0" w:space="0" w:color="auto"/>
            <w:left w:val="none" w:sz="0" w:space="0" w:color="auto"/>
            <w:bottom w:val="none" w:sz="0" w:space="0" w:color="auto"/>
            <w:right w:val="none" w:sz="0" w:space="0" w:color="auto"/>
          </w:divBdr>
          <w:divsChild>
            <w:div w:id="1742100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870012">
      <w:bodyDiv w:val="1"/>
      <w:marLeft w:val="0"/>
      <w:marRight w:val="0"/>
      <w:marTop w:val="0"/>
      <w:marBottom w:val="0"/>
      <w:divBdr>
        <w:top w:val="none" w:sz="0" w:space="0" w:color="auto"/>
        <w:left w:val="none" w:sz="0" w:space="0" w:color="auto"/>
        <w:bottom w:val="none" w:sz="0" w:space="0" w:color="auto"/>
        <w:right w:val="none" w:sz="0" w:space="0" w:color="auto"/>
      </w:divBdr>
    </w:div>
    <w:div w:id="101386607">
      <w:bodyDiv w:val="1"/>
      <w:marLeft w:val="0"/>
      <w:marRight w:val="0"/>
      <w:marTop w:val="0"/>
      <w:marBottom w:val="0"/>
      <w:divBdr>
        <w:top w:val="none" w:sz="0" w:space="0" w:color="auto"/>
        <w:left w:val="none" w:sz="0" w:space="0" w:color="auto"/>
        <w:bottom w:val="none" w:sz="0" w:space="0" w:color="auto"/>
        <w:right w:val="none" w:sz="0" w:space="0" w:color="auto"/>
      </w:divBdr>
    </w:div>
    <w:div w:id="194082385">
      <w:bodyDiv w:val="1"/>
      <w:marLeft w:val="0"/>
      <w:marRight w:val="0"/>
      <w:marTop w:val="0"/>
      <w:marBottom w:val="0"/>
      <w:divBdr>
        <w:top w:val="none" w:sz="0" w:space="0" w:color="auto"/>
        <w:left w:val="none" w:sz="0" w:space="0" w:color="auto"/>
        <w:bottom w:val="none" w:sz="0" w:space="0" w:color="auto"/>
        <w:right w:val="none" w:sz="0" w:space="0" w:color="auto"/>
      </w:divBdr>
    </w:div>
    <w:div w:id="218631119">
      <w:bodyDiv w:val="1"/>
      <w:marLeft w:val="0"/>
      <w:marRight w:val="0"/>
      <w:marTop w:val="0"/>
      <w:marBottom w:val="0"/>
      <w:divBdr>
        <w:top w:val="none" w:sz="0" w:space="0" w:color="auto"/>
        <w:left w:val="none" w:sz="0" w:space="0" w:color="auto"/>
        <w:bottom w:val="none" w:sz="0" w:space="0" w:color="auto"/>
        <w:right w:val="none" w:sz="0" w:space="0" w:color="auto"/>
      </w:divBdr>
    </w:div>
    <w:div w:id="245848616">
      <w:bodyDiv w:val="1"/>
      <w:marLeft w:val="0"/>
      <w:marRight w:val="0"/>
      <w:marTop w:val="0"/>
      <w:marBottom w:val="0"/>
      <w:divBdr>
        <w:top w:val="none" w:sz="0" w:space="0" w:color="auto"/>
        <w:left w:val="none" w:sz="0" w:space="0" w:color="auto"/>
        <w:bottom w:val="none" w:sz="0" w:space="0" w:color="auto"/>
        <w:right w:val="none" w:sz="0" w:space="0" w:color="auto"/>
      </w:divBdr>
    </w:div>
    <w:div w:id="260650122">
      <w:bodyDiv w:val="1"/>
      <w:marLeft w:val="0"/>
      <w:marRight w:val="0"/>
      <w:marTop w:val="0"/>
      <w:marBottom w:val="0"/>
      <w:divBdr>
        <w:top w:val="none" w:sz="0" w:space="0" w:color="auto"/>
        <w:left w:val="none" w:sz="0" w:space="0" w:color="auto"/>
        <w:bottom w:val="none" w:sz="0" w:space="0" w:color="auto"/>
        <w:right w:val="none" w:sz="0" w:space="0" w:color="auto"/>
      </w:divBdr>
      <w:divsChild>
        <w:div w:id="1141734516">
          <w:marLeft w:val="0"/>
          <w:marRight w:val="0"/>
          <w:marTop w:val="0"/>
          <w:marBottom w:val="0"/>
          <w:divBdr>
            <w:top w:val="none" w:sz="0" w:space="0" w:color="auto"/>
            <w:left w:val="none" w:sz="0" w:space="0" w:color="auto"/>
            <w:bottom w:val="none" w:sz="0" w:space="0" w:color="auto"/>
            <w:right w:val="none" w:sz="0" w:space="0" w:color="auto"/>
          </w:divBdr>
          <w:divsChild>
            <w:div w:id="1717120895">
              <w:marLeft w:val="0"/>
              <w:marRight w:val="0"/>
              <w:marTop w:val="0"/>
              <w:marBottom w:val="0"/>
              <w:divBdr>
                <w:top w:val="none" w:sz="0" w:space="0" w:color="auto"/>
                <w:left w:val="none" w:sz="0" w:space="0" w:color="auto"/>
                <w:bottom w:val="none" w:sz="0" w:space="0" w:color="auto"/>
                <w:right w:val="none" w:sz="0" w:space="0" w:color="auto"/>
              </w:divBdr>
              <w:divsChild>
                <w:div w:id="306514127">
                  <w:marLeft w:val="0"/>
                  <w:marRight w:val="0"/>
                  <w:marTop w:val="0"/>
                  <w:marBottom w:val="0"/>
                  <w:divBdr>
                    <w:top w:val="none" w:sz="0" w:space="0" w:color="auto"/>
                    <w:left w:val="none" w:sz="0" w:space="0" w:color="auto"/>
                    <w:bottom w:val="none" w:sz="0" w:space="0" w:color="auto"/>
                    <w:right w:val="none" w:sz="0" w:space="0" w:color="auto"/>
                  </w:divBdr>
                  <w:divsChild>
                    <w:div w:id="1655137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1764905">
      <w:bodyDiv w:val="1"/>
      <w:marLeft w:val="0"/>
      <w:marRight w:val="0"/>
      <w:marTop w:val="0"/>
      <w:marBottom w:val="0"/>
      <w:divBdr>
        <w:top w:val="none" w:sz="0" w:space="0" w:color="auto"/>
        <w:left w:val="none" w:sz="0" w:space="0" w:color="auto"/>
        <w:bottom w:val="none" w:sz="0" w:space="0" w:color="auto"/>
        <w:right w:val="none" w:sz="0" w:space="0" w:color="auto"/>
      </w:divBdr>
    </w:div>
    <w:div w:id="263196505">
      <w:bodyDiv w:val="1"/>
      <w:marLeft w:val="0"/>
      <w:marRight w:val="0"/>
      <w:marTop w:val="0"/>
      <w:marBottom w:val="0"/>
      <w:divBdr>
        <w:top w:val="none" w:sz="0" w:space="0" w:color="auto"/>
        <w:left w:val="none" w:sz="0" w:space="0" w:color="auto"/>
        <w:bottom w:val="none" w:sz="0" w:space="0" w:color="auto"/>
        <w:right w:val="none" w:sz="0" w:space="0" w:color="auto"/>
      </w:divBdr>
      <w:divsChild>
        <w:div w:id="829948048">
          <w:marLeft w:val="0"/>
          <w:marRight w:val="0"/>
          <w:marTop w:val="0"/>
          <w:marBottom w:val="0"/>
          <w:divBdr>
            <w:top w:val="none" w:sz="0" w:space="0" w:color="auto"/>
            <w:left w:val="none" w:sz="0" w:space="0" w:color="auto"/>
            <w:bottom w:val="none" w:sz="0" w:space="0" w:color="auto"/>
            <w:right w:val="none" w:sz="0" w:space="0" w:color="auto"/>
          </w:divBdr>
          <w:divsChild>
            <w:div w:id="1795758049">
              <w:marLeft w:val="0"/>
              <w:marRight w:val="0"/>
              <w:marTop w:val="0"/>
              <w:marBottom w:val="0"/>
              <w:divBdr>
                <w:top w:val="none" w:sz="0" w:space="0" w:color="auto"/>
                <w:left w:val="none" w:sz="0" w:space="0" w:color="auto"/>
                <w:bottom w:val="none" w:sz="0" w:space="0" w:color="auto"/>
                <w:right w:val="none" w:sz="0" w:space="0" w:color="auto"/>
              </w:divBdr>
              <w:divsChild>
                <w:div w:id="4929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1956069">
      <w:bodyDiv w:val="1"/>
      <w:marLeft w:val="0"/>
      <w:marRight w:val="0"/>
      <w:marTop w:val="0"/>
      <w:marBottom w:val="0"/>
      <w:divBdr>
        <w:top w:val="none" w:sz="0" w:space="0" w:color="auto"/>
        <w:left w:val="none" w:sz="0" w:space="0" w:color="auto"/>
        <w:bottom w:val="none" w:sz="0" w:space="0" w:color="auto"/>
        <w:right w:val="none" w:sz="0" w:space="0" w:color="auto"/>
      </w:divBdr>
    </w:div>
    <w:div w:id="313996901">
      <w:bodyDiv w:val="1"/>
      <w:marLeft w:val="0"/>
      <w:marRight w:val="0"/>
      <w:marTop w:val="0"/>
      <w:marBottom w:val="0"/>
      <w:divBdr>
        <w:top w:val="none" w:sz="0" w:space="0" w:color="auto"/>
        <w:left w:val="none" w:sz="0" w:space="0" w:color="auto"/>
        <w:bottom w:val="none" w:sz="0" w:space="0" w:color="auto"/>
        <w:right w:val="none" w:sz="0" w:space="0" w:color="auto"/>
      </w:divBdr>
    </w:div>
    <w:div w:id="372928940">
      <w:bodyDiv w:val="1"/>
      <w:marLeft w:val="0"/>
      <w:marRight w:val="0"/>
      <w:marTop w:val="0"/>
      <w:marBottom w:val="0"/>
      <w:divBdr>
        <w:top w:val="none" w:sz="0" w:space="0" w:color="auto"/>
        <w:left w:val="none" w:sz="0" w:space="0" w:color="auto"/>
        <w:bottom w:val="none" w:sz="0" w:space="0" w:color="auto"/>
        <w:right w:val="none" w:sz="0" w:space="0" w:color="auto"/>
      </w:divBdr>
    </w:div>
    <w:div w:id="397898178">
      <w:bodyDiv w:val="1"/>
      <w:marLeft w:val="0"/>
      <w:marRight w:val="0"/>
      <w:marTop w:val="0"/>
      <w:marBottom w:val="0"/>
      <w:divBdr>
        <w:top w:val="none" w:sz="0" w:space="0" w:color="auto"/>
        <w:left w:val="none" w:sz="0" w:space="0" w:color="auto"/>
        <w:bottom w:val="none" w:sz="0" w:space="0" w:color="auto"/>
        <w:right w:val="none" w:sz="0" w:space="0" w:color="auto"/>
      </w:divBdr>
    </w:div>
    <w:div w:id="405228586">
      <w:bodyDiv w:val="1"/>
      <w:marLeft w:val="0"/>
      <w:marRight w:val="0"/>
      <w:marTop w:val="0"/>
      <w:marBottom w:val="0"/>
      <w:divBdr>
        <w:top w:val="none" w:sz="0" w:space="0" w:color="auto"/>
        <w:left w:val="none" w:sz="0" w:space="0" w:color="auto"/>
        <w:bottom w:val="none" w:sz="0" w:space="0" w:color="auto"/>
        <w:right w:val="none" w:sz="0" w:space="0" w:color="auto"/>
      </w:divBdr>
    </w:div>
    <w:div w:id="408580748">
      <w:bodyDiv w:val="1"/>
      <w:marLeft w:val="0"/>
      <w:marRight w:val="0"/>
      <w:marTop w:val="0"/>
      <w:marBottom w:val="0"/>
      <w:divBdr>
        <w:top w:val="none" w:sz="0" w:space="0" w:color="auto"/>
        <w:left w:val="none" w:sz="0" w:space="0" w:color="auto"/>
        <w:bottom w:val="none" w:sz="0" w:space="0" w:color="auto"/>
        <w:right w:val="none" w:sz="0" w:space="0" w:color="auto"/>
      </w:divBdr>
    </w:div>
    <w:div w:id="420956962">
      <w:bodyDiv w:val="1"/>
      <w:marLeft w:val="0"/>
      <w:marRight w:val="0"/>
      <w:marTop w:val="0"/>
      <w:marBottom w:val="0"/>
      <w:divBdr>
        <w:top w:val="none" w:sz="0" w:space="0" w:color="auto"/>
        <w:left w:val="none" w:sz="0" w:space="0" w:color="auto"/>
        <w:bottom w:val="none" w:sz="0" w:space="0" w:color="auto"/>
        <w:right w:val="none" w:sz="0" w:space="0" w:color="auto"/>
      </w:divBdr>
    </w:div>
    <w:div w:id="475726913">
      <w:bodyDiv w:val="1"/>
      <w:marLeft w:val="0"/>
      <w:marRight w:val="0"/>
      <w:marTop w:val="0"/>
      <w:marBottom w:val="0"/>
      <w:divBdr>
        <w:top w:val="none" w:sz="0" w:space="0" w:color="auto"/>
        <w:left w:val="none" w:sz="0" w:space="0" w:color="auto"/>
        <w:bottom w:val="none" w:sz="0" w:space="0" w:color="auto"/>
        <w:right w:val="none" w:sz="0" w:space="0" w:color="auto"/>
      </w:divBdr>
    </w:div>
    <w:div w:id="505756503">
      <w:bodyDiv w:val="1"/>
      <w:marLeft w:val="0"/>
      <w:marRight w:val="0"/>
      <w:marTop w:val="0"/>
      <w:marBottom w:val="0"/>
      <w:divBdr>
        <w:top w:val="none" w:sz="0" w:space="0" w:color="auto"/>
        <w:left w:val="none" w:sz="0" w:space="0" w:color="auto"/>
        <w:bottom w:val="none" w:sz="0" w:space="0" w:color="auto"/>
        <w:right w:val="none" w:sz="0" w:space="0" w:color="auto"/>
      </w:divBdr>
    </w:div>
    <w:div w:id="512646628">
      <w:bodyDiv w:val="1"/>
      <w:marLeft w:val="0"/>
      <w:marRight w:val="0"/>
      <w:marTop w:val="0"/>
      <w:marBottom w:val="0"/>
      <w:divBdr>
        <w:top w:val="none" w:sz="0" w:space="0" w:color="auto"/>
        <w:left w:val="none" w:sz="0" w:space="0" w:color="auto"/>
        <w:bottom w:val="none" w:sz="0" w:space="0" w:color="auto"/>
        <w:right w:val="none" w:sz="0" w:space="0" w:color="auto"/>
      </w:divBdr>
      <w:divsChild>
        <w:div w:id="1618832045">
          <w:marLeft w:val="0"/>
          <w:marRight w:val="0"/>
          <w:marTop w:val="0"/>
          <w:marBottom w:val="0"/>
          <w:divBdr>
            <w:top w:val="none" w:sz="0" w:space="0" w:color="auto"/>
            <w:left w:val="none" w:sz="0" w:space="0" w:color="auto"/>
            <w:bottom w:val="none" w:sz="0" w:space="0" w:color="auto"/>
            <w:right w:val="none" w:sz="0" w:space="0" w:color="auto"/>
          </w:divBdr>
          <w:divsChild>
            <w:div w:id="781805407">
              <w:marLeft w:val="0"/>
              <w:marRight w:val="0"/>
              <w:marTop w:val="0"/>
              <w:marBottom w:val="0"/>
              <w:divBdr>
                <w:top w:val="none" w:sz="0" w:space="0" w:color="auto"/>
                <w:left w:val="none" w:sz="0" w:space="0" w:color="auto"/>
                <w:bottom w:val="none" w:sz="0" w:space="0" w:color="auto"/>
                <w:right w:val="none" w:sz="0" w:space="0" w:color="auto"/>
              </w:divBdr>
              <w:divsChild>
                <w:div w:id="129714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5264528">
      <w:bodyDiv w:val="1"/>
      <w:marLeft w:val="0"/>
      <w:marRight w:val="0"/>
      <w:marTop w:val="0"/>
      <w:marBottom w:val="0"/>
      <w:divBdr>
        <w:top w:val="none" w:sz="0" w:space="0" w:color="auto"/>
        <w:left w:val="none" w:sz="0" w:space="0" w:color="auto"/>
        <w:bottom w:val="none" w:sz="0" w:space="0" w:color="auto"/>
        <w:right w:val="none" w:sz="0" w:space="0" w:color="auto"/>
      </w:divBdr>
    </w:div>
    <w:div w:id="553784296">
      <w:bodyDiv w:val="1"/>
      <w:marLeft w:val="0"/>
      <w:marRight w:val="0"/>
      <w:marTop w:val="0"/>
      <w:marBottom w:val="0"/>
      <w:divBdr>
        <w:top w:val="none" w:sz="0" w:space="0" w:color="auto"/>
        <w:left w:val="none" w:sz="0" w:space="0" w:color="auto"/>
        <w:bottom w:val="none" w:sz="0" w:space="0" w:color="auto"/>
        <w:right w:val="none" w:sz="0" w:space="0" w:color="auto"/>
      </w:divBdr>
    </w:div>
    <w:div w:id="614752800">
      <w:bodyDiv w:val="1"/>
      <w:marLeft w:val="0"/>
      <w:marRight w:val="0"/>
      <w:marTop w:val="0"/>
      <w:marBottom w:val="0"/>
      <w:divBdr>
        <w:top w:val="none" w:sz="0" w:space="0" w:color="auto"/>
        <w:left w:val="none" w:sz="0" w:space="0" w:color="auto"/>
        <w:bottom w:val="none" w:sz="0" w:space="0" w:color="auto"/>
        <w:right w:val="none" w:sz="0" w:space="0" w:color="auto"/>
      </w:divBdr>
    </w:div>
    <w:div w:id="653490039">
      <w:bodyDiv w:val="1"/>
      <w:marLeft w:val="0"/>
      <w:marRight w:val="0"/>
      <w:marTop w:val="0"/>
      <w:marBottom w:val="0"/>
      <w:divBdr>
        <w:top w:val="none" w:sz="0" w:space="0" w:color="auto"/>
        <w:left w:val="none" w:sz="0" w:space="0" w:color="auto"/>
        <w:bottom w:val="none" w:sz="0" w:space="0" w:color="auto"/>
        <w:right w:val="none" w:sz="0" w:space="0" w:color="auto"/>
      </w:divBdr>
    </w:div>
    <w:div w:id="668799567">
      <w:bodyDiv w:val="1"/>
      <w:marLeft w:val="0"/>
      <w:marRight w:val="0"/>
      <w:marTop w:val="0"/>
      <w:marBottom w:val="0"/>
      <w:divBdr>
        <w:top w:val="none" w:sz="0" w:space="0" w:color="auto"/>
        <w:left w:val="none" w:sz="0" w:space="0" w:color="auto"/>
        <w:bottom w:val="none" w:sz="0" w:space="0" w:color="auto"/>
        <w:right w:val="none" w:sz="0" w:space="0" w:color="auto"/>
      </w:divBdr>
    </w:div>
    <w:div w:id="716010618">
      <w:bodyDiv w:val="1"/>
      <w:marLeft w:val="0"/>
      <w:marRight w:val="0"/>
      <w:marTop w:val="0"/>
      <w:marBottom w:val="0"/>
      <w:divBdr>
        <w:top w:val="none" w:sz="0" w:space="0" w:color="auto"/>
        <w:left w:val="none" w:sz="0" w:space="0" w:color="auto"/>
        <w:bottom w:val="none" w:sz="0" w:space="0" w:color="auto"/>
        <w:right w:val="none" w:sz="0" w:space="0" w:color="auto"/>
      </w:divBdr>
    </w:div>
    <w:div w:id="716273303">
      <w:bodyDiv w:val="1"/>
      <w:marLeft w:val="0"/>
      <w:marRight w:val="0"/>
      <w:marTop w:val="0"/>
      <w:marBottom w:val="0"/>
      <w:divBdr>
        <w:top w:val="none" w:sz="0" w:space="0" w:color="auto"/>
        <w:left w:val="none" w:sz="0" w:space="0" w:color="auto"/>
        <w:bottom w:val="none" w:sz="0" w:space="0" w:color="auto"/>
        <w:right w:val="none" w:sz="0" w:space="0" w:color="auto"/>
      </w:divBdr>
      <w:divsChild>
        <w:div w:id="381828919">
          <w:marLeft w:val="0"/>
          <w:marRight w:val="0"/>
          <w:marTop w:val="0"/>
          <w:marBottom w:val="0"/>
          <w:divBdr>
            <w:top w:val="none" w:sz="0" w:space="0" w:color="auto"/>
            <w:left w:val="none" w:sz="0" w:space="0" w:color="auto"/>
            <w:bottom w:val="none" w:sz="0" w:space="0" w:color="auto"/>
            <w:right w:val="none" w:sz="0" w:space="0" w:color="auto"/>
          </w:divBdr>
          <w:divsChild>
            <w:div w:id="1866020441">
              <w:marLeft w:val="0"/>
              <w:marRight w:val="0"/>
              <w:marTop w:val="0"/>
              <w:marBottom w:val="0"/>
              <w:divBdr>
                <w:top w:val="none" w:sz="0" w:space="0" w:color="auto"/>
                <w:left w:val="none" w:sz="0" w:space="0" w:color="auto"/>
                <w:bottom w:val="none" w:sz="0" w:space="0" w:color="auto"/>
                <w:right w:val="none" w:sz="0" w:space="0" w:color="auto"/>
              </w:divBdr>
              <w:divsChild>
                <w:div w:id="1431730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1317486">
      <w:bodyDiv w:val="1"/>
      <w:marLeft w:val="0"/>
      <w:marRight w:val="0"/>
      <w:marTop w:val="0"/>
      <w:marBottom w:val="0"/>
      <w:divBdr>
        <w:top w:val="none" w:sz="0" w:space="0" w:color="auto"/>
        <w:left w:val="none" w:sz="0" w:space="0" w:color="auto"/>
        <w:bottom w:val="none" w:sz="0" w:space="0" w:color="auto"/>
        <w:right w:val="none" w:sz="0" w:space="0" w:color="auto"/>
      </w:divBdr>
      <w:divsChild>
        <w:div w:id="704327207">
          <w:marLeft w:val="0"/>
          <w:marRight w:val="0"/>
          <w:marTop w:val="0"/>
          <w:marBottom w:val="0"/>
          <w:divBdr>
            <w:top w:val="none" w:sz="0" w:space="0" w:color="auto"/>
            <w:left w:val="none" w:sz="0" w:space="0" w:color="auto"/>
            <w:bottom w:val="none" w:sz="0" w:space="0" w:color="auto"/>
            <w:right w:val="none" w:sz="0" w:space="0" w:color="auto"/>
          </w:divBdr>
          <w:divsChild>
            <w:div w:id="445079399">
              <w:marLeft w:val="0"/>
              <w:marRight w:val="0"/>
              <w:marTop w:val="0"/>
              <w:marBottom w:val="0"/>
              <w:divBdr>
                <w:top w:val="none" w:sz="0" w:space="0" w:color="auto"/>
                <w:left w:val="none" w:sz="0" w:space="0" w:color="auto"/>
                <w:bottom w:val="none" w:sz="0" w:space="0" w:color="auto"/>
                <w:right w:val="none" w:sz="0" w:space="0" w:color="auto"/>
              </w:divBdr>
              <w:divsChild>
                <w:div w:id="170410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6561874">
      <w:bodyDiv w:val="1"/>
      <w:marLeft w:val="0"/>
      <w:marRight w:val="0"/>
      <w:marTop w:val="0"/>
      <w:marBottom w:val="0"/>
      <w:divBdr>
        <w:top w:val="none" w:sz="0" w:space="0" w:color="auto"/>
        <w:left w:val="none" w:sz="0" w:space="0" w:color="auto"/>
        <w:bottom w:val="none" w:sz="0" w:space="0" w:color="auto"/>
        <w:right w:val="none" w:sz="0" w:space="0" w:color="auto"/>
      </w:divBdr>
    </w:div>
    <w:div w:id="772165929">
      <w:bodyDiv w:val="1"/>
      <w:marLeft w:val="0"/>
      <w:marRight w:val="0"/>
      <w:marTop w:val="0"/>
      <w:marBottom w:val="0"/>
      <w:divBdr>
        <w:top w:val="none" w:sz="0" w:space="0" w:color="auto"/>
        <w:left w:val="none" w:sz="0" w:space="0" w:color="auto"/>
        <w:bottom w:val="none" w:sz="0" w:space="0" w:color="auto"/>
        <w:right w:val="none" w:sz="0" w:space="0" w:color="auto"/>
      </w:divBdr>
    </w:div>
    <w:div w:id="790972863">
      <w:bodyDiv w:val="1"/>
      <w:marLeft w:val="0"/>
      <w:marRight w:val="0"/>
      <w:marTop w:val="0"/>
      <w:marBottom w:val="0"/>
      <w:divBdr>
        <w:top w:val="none" w:sz="0" w:space="0" w:color="auto"/>
        <w:left w:val="none" w:sz="0" w:space="0" w:color="auto"/>
        <w:bottom w:val="none" w:sz="0" w:space="0" w:color="auto"/>
        <w:right w:val="none" w:sz="0" w:space="0" w:color="auto"/>
      </w:divBdr>
    </w:div>
    <w:div w:id="800226927">
      <w:bodyDiv w:val="1"/>
      <w:marLeft w:val="0"/>
      <w:marRight w:val="0"/>
      <w:marTop w:val="0"/>
      <w:marBottom w:val="0"/>
      <w:divBdr>
        <w:top w:val="none" w:sz="0" w:space="0" w:color="auto"/>
        <w:left w:val="none" w:sz="0" w:space="0" w:color="auto"/>
        <w:bottom w:val="none" w:sz="0" w:space="0" w:color="auto"/>
        <w:right w:val="none" w:sz="0" w:space="0" w:color="auto"/>
      </w:divBdr>
    </w:div>
    <w:div w:id="804197191">
      <w:bodyDiv w:val="1"/>
      <w:marLeft w:val="0"/>
      <w:marRight w:val="0"/>
      <w:marTop w:val="0"/>
      <w:marBottom w:val="0"/>
      <w:divBdr>
        <w:top w:val="none" w:sz="0" w:space="0" w:color="auto"/>
        <w:left w:val="none" w:sz="0" w:space="0" w:color="auto"/>
        <w:bottom w:val="none" w:sz="0" w:space="0" w:color="auto"/>
        <w:right w:val="none" w:sz="0" w:space="0" w:color="auto"/>
      </w:divBdr>
    </w:div>
    <w:div w:id="836506335">
      <w:bodyDiv w:val="1"/>
      <w:marLeft w:val="0"/>
      <w:marRight w:val="0"/>
      <w:marTop w:val="0"/>
      <w:marBottom w:val="0"/>
      <w:divBdr>
        <w:top w:val="none" w:sz="0" w:space="0" w:color="auto"/>
        <w:left w:val="none" w:sz="0" w:space="0" w:color="auto"/>
        <w:bottom w:val="none" w:sz="0" w:space="0" w:color="auto"/>
        <w:right w:val="none" w:sz="0" w:space="0" w:color="auto"/>
      </w:divBdr>
    </w:div>
    <w:div w:id="836842295">
      <w:bodyDiv w:val="1"/>
      <w:marLeft w:val="0"/>
      <w:marRight w:val="0"/>
      <w:marTop w:val="0"/>
      <w:marBottom w:val="0"/>
      <w:divBdr>
        <w:top w:val="none" w:sz="0" w:space="0" w:color="auto"/>
        <w:left w:val="none" w:sz="0" w:space="0" w:color="auto"/>
        <w:bottom w:val="none" w:sz="0" w:space="0" w:color="auto"/>
        <w:right w:val="none" w:sz="0" w:space="0" w:color="auto"/>
      </w:divBdr>
      <w:divsChild>
        <w:div w:id="311717964">
          <w:marLeft w:val="0"/>
          <w:marRight w:val="0"/>
          <w:marTop w:val="0"/>
          <w:marBottom w:val="0"/>
          <w:divBdr>
            <w:top w:val="none" w:sz="0" w:space="0" w:color="auto"/>
            <w:left w:val="none" w:sz="0" w:space="0" w:color="auto"/>
            <w:bottom w:val="none" w:sz="0" w:space="0" w:color="auto"/>
            <w:right w:val="none" w:sz="0" w:space="0" w:color="auto"/>
          </w:divBdr>
          <w:divsChild>
            <w:div w:id="1236091031">
              <w:marLeft w:val="0"/>
              <w:marRight w:val="0"/>
              <w:marTop w:val="0"/>
              <w:marBottom w:val="0"/>
              <w:divBdr>
                <w:top w:val="none" w:sz="0" w:space="0" w:color="auto"/>
                <w:left w:val="none" w:sz="0" w:space="0" w:color="auto"/>
                <w:bottom w:val="none" w:sz="0" w:space="0" w:color="auto"/>
                <w:right w:val="none" w:sz="0" w:space="0" w:color="auto"/>
              </w:divBdr>
              <w:divsChild>
                <w:div w:id="439035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8594718">
      <w:bodyDiv w:val="1"/>
      <w:marLeft w:val="0"/>
      <w:marRight w:val="0"/>
      <w:marTop w:val="0"/>
      <w:marBottom w:val="0"/>
      <w:divBdr>
        <w:top w:val="none" w:sz="0" w:space="0" w:color="auto"/>
        <w:left w:val="none" w:sz="0" w:space="0" w:color="auto"/>
        <w:bottom w:val="none" w:sz="0" w:space="0" w:color="auto"/>
        <w:right w:val="none" w:sz="0" w:space="0" w:color="auto"/>
      </w:divBdr>
      <w:divsChild>
        <w:div w:id="594442149">
          <w:marLeft w:val="0"/>
          <w:marRight w:val="0"/>
          <w:marTop w:val="0"/>
          <w:marBottom w:val="0"/>
          <w:divBdr>
            <w:top w:val="none" w:sz="0" w:space="0" w:color="auto"/>
            <w:left w:val="none" w:sz="0" w:space="0" w:color="auto"/>
            <w:bottom w:val="none" w:sz="0" w:space="0" w:color="auto"/>
            <w:right w:val="none" w:sz="0" w:space="0" w:color="auto"/>
          </w:divBdr>
          <w:divsChild>
            <w:div w:id="1942837655">
              <w:marLeft w:val="0"/>
              <w:marRight w:val="0"/>
              <w:marTop w:val="0"/>
              <w:marBottom w:val="0"/>
              <w:divBdr>
                <w:top w:val="none" w:sz="0" w:space="0" w:color="auto"/>
                <w:left w:val="none" w:sz="0" w:space="0" w:color="auto"/>
                <w:bottom w:val="none" w:sz="0" w:space="0" w:color="auto"/>
                <w:right w:val="none" w:sz="0" w:space="0" w:color="auto"/>
              </w:divBdr>
              <w:divsChild>
                <w:div w:id="582836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2638096">
          <w:marLeft w:val="0"/>
          <w:marRight w:val="0"/>
          <w:marTop w:val="0"/>
          <w:marBottom w:val="0"/>
          <w:divBdr>
            <w:top w:val="none" w:sz="0" w:space="0" w:color="auto"/>
            <w:left w:val="none" w:sz="0" w:space="0" w:color="auto"/>
            <w:bottom w:val="none" w:sz="0" w:space="0" w:color="auto"/>
            <w:right w:val="none" w:sz="0" w:space="0" w:color="auto"/>
          </w:divBdr>
          <w:divsChild>
            <w:div w:id="1175538417">
              <w:marLeft w:val="0"/>
              <w:marRight w:val="0"/>
              <w:marTop w:val="0"/>
              <w:marBottom w:val="0"/>
              <w:divBdr>
                <w:top w:val="none" w:sz="0" w:space="0" w:color="auto"/>
                <w:left w:val="none" w:sz="0" w:space="0" w:color="auto"/>
                <w:bottom w:val="none" w:sz="0" w:space="0" w:color="auto"/>
                <w:right w:val="none" w:sz="0" w:space="0" w:color="auto"/>
              </w:divBdr>
              <w:divsChild>
                <w:div w:id="313336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152075">
      <w:bodyDiv w:val="1"/>
      <w:marLeft w:val="0"/>
      <w:marRight w:val="0"/>
      <w:marTop w:val="0"/>
      <w:marBottom w:val="0"/>
      <w:divBdr>
        <w:top w:val="none" w:sz="0" w:space="0" w:color="auto"/>
        <w:left w:val="none" w:sz="0" w:space="0" w:color="auto"/>
        <w:bottom w:val="none" w:sz="0" w:space="0" w:color="auto"/>
        <w:right w:val="none" w:sz="0" w:space="0" w:color="auto"/>
      </w:divBdr>
      <w:divsChild>
        <w:div w:id="497813406">
          <w:marLeft w:val="0"/>
          <w:marRight w:val="0"/>
          <w:marTop w:val="0"/>
          <w:marBottom w:val="0"/>
          <w:divBdr>
            <w:top w:val="none" w:sz="0" w:space="0" w:color="auto"/>
            <w:left w:val="none" w:sz="0" w:space="0" w:color="auto"/>
            <w:bottom w:val="none" w:sz="0" w:space="0" w:color="auto"/>
            <w:right w:val="none" w:sz="0" w:space="0" w:color="auto"/>
          </w:divBdr>
          <w:divsChild>
            <w:div w:id="274989544">
              <w:marLeft w:val="0"/>
              <w:marRight w:val="0"/>
              <w:marTop w:val="0"/>
              <w:marBottom w:val="0"/>
              <w:divBdr>
                <w:top w:val="none" w:sz="0" w:space="0" w:color="auto"/>
                <w:left w:val="none" w:sz="0" w:space="0" w:color="auto"/>
                <w:bottom w:val="none" w:sz="0" w:space="0" w:color="auto"/>
                <w:right w:val="none" w:sz="0" w:space="0" w:color="auto"/>
              </w:divBdr>
              <w:divsChild>
                <w:div w:id="1615402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2420198">
      <w:bodyDiv w:val="1"/>
      <w:marLeft w:val="0"/>
      <w:marRight w:val="0"/>
      <w:marTop w:val="0"/>
      <w:marBottom w:val="0"/>
      <w:divBdr>
        <w:top w:val="none" w:sz="0" w:space="0" w:color="auto"/>
        <w:left w:val="none" w:sz="0" w:space="0" w:color="auto"/>
        <w:bottom w:val="none" w:sz="0" w:space="0" w:color="auto"/>
        <w:right w:val="none" w:sz="0" w:space="0" w:color="auto"/>
      </w:divBdr>
    </w:div>
    <w:div w:id="951785057">
      <w:bodyDiv w:val="1"/>
      <w:marLeft w:val="0"/>
      <w:marRight w:val="0"/>
      <w:marTop w:val="0"/>
      <w:marBottom w:val="0"/>
      <w:divBdr>
        <w:top w:val="none" w:sz="0" w:space="0" w:color="auto"/>
        <w:left w:val="none" w:sz="0" w:space="0" w:color="auto"/>
        <w:bottom w:val="none" w:sz="0" w:space="0" w:color="auto"/>
        <w:right w:val="none" w:sz="0" w:space="0" w:color="auto"/>
      </w:divBdr>
      <w:divsChild>
        <w:div w:id="280964694">
          <w:marLeft w:val="0"/>
          <w:marRight w:val="0"/>
          <w:marTop w:val="0"/>
          <w:marBottom w:val="0"/>
          <w:divBdr>
            <w:top w:val="none" w:sz="0" w:space="0" w:color="auto"/>
            <w:left w:val="none" w:sz="0" w:space="0" w:color="auto"/>
            <w:bottom w:val="none" w:sz="0" w:space="0" w:color="auto"/>
            <w:right w:val="none" w:sz="0" w:space="0" w:color="auto"/>
          </w:divBdr>
          <w:divsChild>
            <w:div w:id="1242443249">
              <w:marLeft w:val="0"/>
              <w:marRight w:val="0"/>
              <w:marTop w:val="0"/>
              <w:marBottom w:val="0"/>
              <w:divBdr>
                <w:top w:val="none" w:sz="0" w:space="0" w:color="auto"/>
                <w:left w:val="none" w:sz="0" w:space="0" w:color="auto"/>
                <w:bottom w:val="none" w:sz="0" w:space="0" w:color="auto"/>
                <w:right w:val="none" w:sz="0" w:space="0" w:color="auto"/>
              </w:divBdr>
              <w:divsChild>
                <w:div w:id="1984659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0548950">
      <w:bodyDiv w:val="1"/>
      <w:marLeft w:val="0"/>
      <w:marRight w:val="0"/>
      <w:marTop w:val="0"/>
      <w:marBottom w:val="0"/>
      <w:divBdr>
        <w:top w:val="none" w:sz="0" w:space="0" w:color="auto"/>
        <w:left w:val="none" w:sz="0" w:space="0" w:color="auto"/>
        <w:bottom w:val="none" w:sz="0" w:space="0" w:color="auto"/>
        <w:right w:val="none" w:sz="0" w:space="0" w:color="auto"/>
      </w:divBdr>
      <w:divsChild>
        <w:div w:id="1277636179">
          <w:marLeft w:val="0"/>
          <w:marRight w:val="0"/>
          <w:marTop w:val="0"/>
          <w:marBottom w:val="0"/>
          <w:divBdr>
            <w:top w:val="none" w:sz="0" w:space="0" w:color="auto"/>
            <w:left w:val="none" w:sz="0" w:space="0" w:color="auto"/>
            <w:bottom w:val="none" w:sz="0" w:space="0" w:color="auto"/>
            <w:right w:val="none" w:sz="0" w:space="0" w:color="auto"/>
          </w:divBdr>
          <w:divsChild>
            <w:div w:id="2017533309">
              <w:marLeft w:val="0"/>
              <w:marRight w:val="0"/>
              <w:marTop w:val="0"/>
              <w:marBottom w:val="0"/>
              <w:divBdr>
                <w:top w:val="none" w:sz="0" w:space="0" w:color="auto"/>
                <w:left w:val="none" w:sz="0" w:space="0" w:color="auto"/>
                <w:bottom w:val="none" w:sz="0" w:space="0" w:color="auto"/>
                <w:right w:val="none" w:sz="0" w:space="0" w:color="auto"/>
              </w:divBdr>
              <w:divsChild>
                <w:div w:id="1868834265">
                  <w:marLeft w:val="0"/>
                  <w:marRight w:val="0"/>
                  <w:marTop w:val="0"/>
                  <w:marBottom w:val="0"/>
                  <w:divBdr>
                    <w:top w:val="none" w:sz="0" w:space="0" w:color="auto"/>
                    <w:left w:val="none" w:sz="0" w:space="0" w:color="auto"/>
                    <w:bottom w:val="none" w:sz="0" w:space="0" w:color="auto"/>
                    <w:right w:val="none" w:sz="0" w:space="0" w:color="auto"/>
                  </w:divBdr>
                  <w:divsChild>
                    <w:div w:id="2478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4511841">
      <w:bodyDiv w:val="1"/>
      <w:marLeft w:val="0"/>
      <w:marRight w:val="0"/>
      <w:marTop w:val="0"/>
      <w:marBottom w:val="0"/>
      <w:divBdr>
        <w:top w:val="none" w:sz="0" w:space="0" w:color="auto"/>
        <w:left w:val="none" w:sz="0" w:space="0" w:color="auto"/>
        <w:bottom w:val="none" w:sz="0" w:space="0" w:color="auto"/>
        <w:right w:val="none" w:sz="0" w:space="0" w:color="auto"/>
      </w:divBdr>
      <w:divsChild>
        <w:div w:id="1860122516">
          <w:marLeft w:val="0"/>
          <w:marRight w:val="0"/>
          <w:marTop w:val="0"/>
          <w:marBottom w:val="0"/>
          <w:divBdr>
            <w:top w:val="none" w:sz="0" w:space="0" w:color="auto"/>
            <w:left w:val="none" w:sz="0" w:space="0" w:color="auto"/>
            <w:bottom w:val="none" w:sz="0" w:space="0" w:color="auto"/>
            <w:right w:val="none" w:sz="0" w:space="0" w:color="auto"/>
          </w:divBdr>
          <w:divsChild>
            <w:div w:id="2029602624">
              <w:marLeft w:val="0"/>
              <w:marRight w:val="0"/>
              <w:marTop w:val="0"/>
              <w:marBottom w:val="0"/>
              <w:divBdr>
                <w:top w:val="none" w:sz="0" w:space="0" w:color="auto"/>
                <w:left w:val="none" w:sz="0" w:space="0" w:color="auto"/>
                <w:bottom w:val="none" w:sz="0" w:space="0" w:color="auto"/>
                <w:right w:val="none" w:sz="0" w:space="0" w:color="auto"/>
              </w:divBdr>
              <w:divsChild>
                <w:div w:id="458761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8096504">
      <w:bodyDiv w:val="1"/>
      <w:marLeft w:val="0"/>
      <w:marRight w:val="0"/>
      <w:marTop w:val="0"/>
      <w:marBottom w:val="0"/>
      <w:divBdr>
        <w:top w:val="none" w:sz="0" w:space="0" w:color="auto"/>
        <w:left w:val="none" w:sz="0" w:space="0" w:color="auto"/>
        <w:bottom w:val="none" w:sz="0" w:space="0" w:color="auto"/>
        <w:right w:val="none" w:sz="0" w:space="0" w:color="auto"/>
      </w:divBdr>
      <w:divsChild>
        <w:div w:id="1774935083">
          <w:marLeft w:val="0"/>
          <w:marRight w:val="0"/>
          <w:marTop w:val="0"/>
          <w:marBottom w:val="0"/>
          <w:divBdr>
            <w:top w:val="none" w:sz="0" w:space="0" w:color="auto"/>
            <w:left w:val="none" w:sz="0" w:space="0" w:color="auto"/>
            <w:bottom w:val="none" w:sz="0" w:space="0" w:color="auto"/>
            <w:right w:val="none" w:sz="0" w:space="0" w:color="auto"/>
          </w:divBdr>
          <w:divsChild>
            <w:div w:id="1767771350">
              <w:marLeft w:val="0"/>
              <w:marRight w:val="0"/>
              <w:marTop w:val="0"/>
              <w:marBottom w:val="0"/>
              <w:divBdr>
                <w:top w:val="none" w:sz="0" w:space="0" w:color="auto"/>
                <w:left w:val="none" w:sz="0" w:space="0" w:color="auto"/>
                <w:bottom w:val="none" w:sz="0" w:space="0" w:color="auto"/>
                <w:right w:val="none" w:sz="0" w:space="0" w:color="auto"/>
              </w:divBdr>
              <w:divsChild>
                <w:div w:id="1002515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8179283">
          <w:marLeft w:val="0"/>
          <w:marRight w:val="0"/>
          <w:marTop w:val="0"/>
          <w:marBottom w:val="0"/>
          <w:divBdr>
            <w:top w:val="none" w:sz="0" w:space="0" w:color="auto"/>
            <w:left w:val="none" w:sz="0" w:space="0" w:color="auto"/>
            <w:bottom w:val="none" w:sz="0" w:space="0" w:color="auto"/>
            <w:right w:val="none" w:sz="0" w:space="0" w:color="auto"/>
          </w:divBdr>
          <w:divsChild>
            <w:div w:id="411439403">
              <w:marLeft w:val="0"/>
              <w:marRight w:val="0"/>
              <w:marTop w:val="0"/>
              <w:marBottom w:val="0"/>
              <w:divBdr>
                <w:top w:val="none" w:sz="0" w:space="0" w:color="auto"/>
                <w:left w:val="none" w:sz="0" w:space="0" w:color="auto"/>
                <w:bottom w:val="none" w:sz="0" w:space="0" w:color="auto"/>
                <w:right w:val="none" w:sz="0" w:space="0" w:color="auto"/>
              </w:divBdr>
              <w:divsChild>
                <w:div w:id="76829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6365818">
      <w:bodyDiv w:val="1"/>
      <w:marLeft w:val="0"/>
      <w:marRight w:val="0"/>
      <w:marTop w:val="0"/>
      <w:marBottom w:val="0"/>
      <w:divBdr>
        <w:top w:val="none" w:sz="0" w:space="0" w:color="auto"/>
        <w:left w:val="none" w:sz="0" w:space="0" w:color="auto"/>
        <w:bottom w:val="none" w:sz="0" w:space="0" w:color="auto"/>
        <w:right w:val="none" w:sz="0" w:space="0" w:color="auto"/>
      </w:divBdr>
    </w:div>
    <w:div w:id="1073285108">
      <w:bodyDiv w:val="1"/>
      <w:marLeft w:val="0"/>
      <w:marRight w:val="0"/>
      <w:marTop w:val="0"/>
      <w:marBottom w:val="0"/>
      <w:divBdr>
        <w:top w:val="none" w:sz="0" w:space="0" w:color="auto"/>
        <w:left w:val="none" w:sz="0" w:space="0" w:color="auto"/>
        <w:bottom w:val="none" w:sz="0" w:space="0" w:color="auto"/>
        <w:right w:val="none" w:sz="0" w:space="0" w:color="auto"/>
      </w:divBdr>
    </w:div>
    <w:div w:id="1089740410">
      <w:bodyDiv w:val="1"/>
      <w:marLeft w:val="0"/>
      <w:marRight w:val="0"/>
      <w:marTop w:val="0"/>
      <w:marBottom w:val="0"/>
      <w:divBdr>
        <w:top w:val="none" w:sz="0" w:space="0" w:color="auto"/>
        <w:left w:val="none" w:sz="0" w:space="0" w:color="auto"/>
        <w:bottom w:val="none" w:sz="0" w:space="0" w:color="auto"/>
        <w:right w:val="none" w:sz="0" w:space="0" w:color="auto"/>
      </w:divBdr>
      <w:divsChild>
        <w:div w:id="580022778">
          <w:marLeft w:val="0"/>
          <w:marRight w:val="0"/>
          <w:marTop w:val="0"/>
          <w:marBottom w:val="0"/>
          <w:divBdr>
            <w:top w:val="none" w:sz="0" w:space="0" w:color="auto"/>
            <w:left w:val="none" w:sz="0" w:space="0" w:color="auto"/>
            <w:bottom w:val="none" w:sz="0" w:space="0" w:color="auto"/>
            <w:right w:val="none" w:sz="0" w:space="0" w:color="auto"/>
          </w:divBdr>
          <w:divsChild>
            <w:div w:id="1752239900">
              <w:marLeft w:val="0"/>
              <w:marRight w:val="0"/>
              <w:marTop w:val="0"/>
              <w:marBottom w:val="0"/>
              <w:divBdr>
                <w:top w:val="none" w:sz="0" w:space="0" w:color="auto"/>
                <w:left w:val="none" w:sz="0" w:space="0" w:color="auto"/>
                <w:bottom w:val="none" w:sz="0" w:space="0" w:color="auto"/>
                <w:right w:val="none" w:sz="0" w:space="0" w:color="auto"/>
              </w:divBdr>
              <w:divsChild>
                <w:div w:id="660354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8061875">
      <w:bodyDiv w:val="1"/>
      <w:marLeft w:val="0"/>
      <w:marRight w:val="0"/>
      <w:marTop w:val="0"/>
      <w:marBottom w:val="0"/>
      <w:divBdr>
        <w:top w:val="none" w:sz="0" w:space="0" w:color="auto"/>
        <w:left w:val="none" w:sz="0" w:space="0" w:color="auto"/>
        <w:bottom w:val="none" w:sz="0" w:space="0" w:color="auto"/>
        <w:right w:val="none" w:sz="0" w:space="0" w:color="auto"/>
      </w:divBdr>
      <w:divsChild>
        <w:div w:id="926959449">
          <w:marLeft w:val="0"/>
          <w:marRight w:val="0"/>
          <w:marTop w:val="0"/>
          <w:marBottom w:val="0"/>
          <w:divBdr>
            <w:top w:val="none" w:sz="0" w:space="0" w:color="auto"/>
            <w:left w:val="none" w:sz="0" w:space="0" w:color="auto"/>
            <w:bottom w:val="none" w:sz="0" w:space="0" w:color="auto"/>
            <w:right w:val="none" w:sz="0" w:space="0" w:color="auto"/>
          </w:divBdr>
          <w:divsChild>
            <w:div w:id="622615743">
              <w:marLeft w:val="0"/>
              <w:marRight w:val="0"/>
              <w:marTop w:val="0"/>
              <w:marBottom w:val="0"/>
              <w:divBdr>
                <w:top w:val="none" w:sz="0" w:space="0" w:color="auto"/>
                <w:left w:val="none" w:sz="0" w:space="0" w:color="auto"/>
                <w:bottom w:val="none" w:sz="0" w:space="0" w:color="auto"/>
                <w:right w:val="none" w:sz="0" w:space="0" w:color="auto"/>
              </w:divBdr>
              <w:divsChild>
                <w:div w:id="1146239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7964240">
      <w:bodyDiv w:val="1"/>
      <w:marLeft w:val="0"/>
      <w:marRight w:val="0"/>
      <w:marTop w:val="0"/>
      <w:marBottom w:val="0"/>
      <w:divBdr>
        <w:top w:val="none" w:sz="0" w:space="0" w:color="auto"/>
        <w:left w:val="none" w:sz="0" w:space="0" w:color="auto"/>
        <w:bottom w:val="none" w:sz="0" w:space="0" w:color="auto"/>
        <w:right w:val="none" w:sz="0" w:space="0" w:color="auto"/>
      </w:divBdr>
    </w:div>
    <w:div w:id="1166289819">
      <w:bodyDiv w:val="1"/>
      <w:marLeft w:val="0"/>
      <w:marRight w:val="0"/>
      <w:marTop w:val="0"/>
      <w:marBottom w:val="0"/>
      <w:divBdr>
        <w:top w:val="none" w:sz="0" w:space="0" w:color="auto"/>
        <w:left w:val="none" w:sz="0" w:space="0" w:color="auto"/>
        <w:bottom w:val="none" w:sz="0" w:space="0" w:color="auto"/>
        <w:right w:val="none" w:sz="0" w:space="0" w:color="auto"/>
      </w:divBdr>
      <w:divsChild>
        <w:div w:id="400296218">
          <w:marLeft w:val="0"/>
          <w:marRight w:val="0"/>
          <w:marTop w:val="0"/>
          <w:marBottom w:val="0"/>
          <w:divBdr>
            <w:top w:val="none" w:sz="0" w:space="0" w:color="auto"/>
            <w:left w:val="none" w:sz="0" w:space="0" w:color="auto"/>
            <w:bottom w:val="none" w:sz="0" w:space="0" w:color="auto"/>
            <w:right w:val="none" w:sz="0" w:space="0" w:color="auto"/>
          </w:divBdr>
          <w:divsChild>
            <w:div w:id="1223448149">
              <w:marLeft w:val="0"/>
              <w:marRight w:val="0"/>
              <w:marTop w:val="0"/>
              <w:marBottom w:val="0"/>
              <w:divBdr>
                <w:top w:val="none" w:sz="0" w:space="0" w:color="auto"/>
                <w:left w:val="none" w:sz="0" w:space="0" w:color="auto"/>
                <w:bottom w:val="none" w:sz="0" w:space="0" w:color="auto"/>
                <w:right w:val="none" w:sz="0" w:space="0" w:color="auto"/>
              </w:divBdr>
              <w:divsChild>
                <w:div w:id="942496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4949901">
      <w:bodyDiv w:val="1"/>
      <w:marLeft w:val="0"/>
      <w:marRight w:val="0"/>
      <w:marTop w:val="0"/>
      <w:marBottom w:val="0"/>
      <w:divBdr>
        <w:top w:val="none" w:sz="0" w:space="0" w:color="auto"/>
        <w:left w:val="none" w:sz="0" w:space="0" w:color="auto"/>
        <w:bottom w:val="none" w:sz="0" w:space="0" w:color="auto"/>
        <w:right w:val="none" w:sz="0" w:space="0" w:color="auto"/>
      </w:divBdr>
    </w:div>
    <w:div w:id="1243218936">
      <w:bodyDiv w:val="1"/>
      <w:marLeft w:val="0"/>
      <w:marRight w:val="0"/>
      <w:marTop w:val="0"/>
      <w:marBottom w:val="0"/>
      <w:divBdr>
        <w:top w:val="none" w:sz="0" w:space="0" w:color="auto"/>
        <w:left w:val="none" w:sz="0" w:space="0" w:color="auto"/>
        <w:bottom w:val="none" w:sz="0" w:space="0" w:color="auto"/>
        <w:right w:val="none" w:sz="0" w:space="0" w:color="auto"/>
      </w:divBdr>
      <w:divsChild>
        <w:div w:id="2001150063">
          <w:marLeft w:val="0"/>
          <w:marRight w:val="0"/>
          <w:marTop w:val="0"/>
          <w:marBottom w:val="0"/>
          <w:divBdr>
            <w:top w:val="none" w:sz="0" w:space="0" w:color="auto"/>
            <w:left w:val="none" w:sz="0" w:space="0" w:color="auto"/>
            <w:bottom w:val="none" w:sz="0" w:space="0" w:color="auto"/>
            <w:right w:val="none" w:sz="0" w:space="0" w:color="auto"/>
          </w:divBdr>
          <w:divsChild>
            <w:div w:id="1591624258">
              <w:marLeft w:val="0"/>
              <w:marRight w:val="0"/>
              <w:marTop w:val="0"/>
              <w:marBottom w:val="0"/>
              <w:divBdr>
                <w:top w:val="none" w:sz="0" w:space="0" w:color="auto"/>
                <w:left w:val="none" w:sz="0" w:space="0" w:color="auto"/>
                <w:bottom w:val="none" w:sz="0" w:space="0" w:color="auto"/>
                <w:right w:val="none" w:sz="0" w:space="0" w:color="auto"/>
              </w:divBdr>
              <w:divsChild>
                <w:div w:id="512688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6110508">
      <w:bodyDiv w:val="1"/>
      <w:marLeft w:val="0"/>
      <w:marRight w:val="0"/>
      <w:marTop w:val="0"/>
      <w:marBottom w:val="0"/>
      <w:divBdr>
        <w:top w:val="none" w:sz="0" w:space="0" w:color="auto"/>
        <w:left w:val="none" w:sz="0" w:space="0" w:color="auto"/>
        <w:bottom w:val="none" w:sz="0" w:space="0" w:color="auto"/>
        <w:right w:val="none" w:sz="0" w:space="0" w:color="auto"/>
      </w:divBdr>
    </w:div>
    <w:div w:id="1276400501">
      <w:bodyDiv w:val="1"/>
      <w:marLeft w:val="0"/>
      <w:marRight w:val="0"/>
      <w:marTop w:val="0"/>
      <w:marBottom w:val="0"/>
      <w:divBdr>
        <w:top w:val="none" w:sz="0" w:space="0" w:color="auto"/>
        <w:left w:val="none" w:sz="0" w:space="0" w:color="auto"/>
        <w:bottom w:val="none" w:sz="0" w:space="0" w:color="auto"/>
        <w:right w:val="none" w:sz="0" w:space="0" w:color="auto"/>
      </w:divBdr>
    </w:div>
    <w:div w:id="1359431117">
      <w:bodyDiv w:val="1"/>
      <w:marLeft w:val="0"/>
      <w:marRight w:val="0"/>
      <w:marTop w:val="0"/>
      <w:marBottom w:val="0"/>
      <w:divBdr>
        <w:top w:val="none" w:sz="0" w:space="0" w:color="auto"/>
        <w:left w:val="none" w:sz="0" w:space="0" w:color="auto"/>
        <w:bottom w:val="none" w:sz="0" w:space="0" w:color="auto"/>
        <w:right w:val="none" w:sz="0" w:space="0" w:color="auto"/>
      </w:divBdr>
      <w:divsChild>
        <w:div w:id="1419214195">
          <w:marLeft w:val="0"/>
          <w:marRight w:val="0"/>
          <w:marTop w:val="0"/>
          <w:marBottom w:val="0"/>
          <w:divBdr>
            <w:top w:val="none" w:sz="0" w:space="0" w:color="auto"/>
            <w:left w:val="none" w:sz="0" w:space="0" w:color="auto"/>
            <w:bottom w:val="none" w:sz="0" w:space="0" w:color="auto"/>
            <w:right w:val="none" w:sz="0" w:space="0" w:color="auto"/>
          </w:divBdr>
          <w:divsChild>
            <w:div w:id="1400128032">
              <w:marLeft w:val="0"/>
              <w:marRight w:val="0"/>
              <w:marTop w:val="0"/>
              <w:marBottom w:val="0"/>
              <w:divBdr>
                <w:top w:val="none" w:sz="0" w:space="0" w:color="auto"/>
                <w:left w:val="none" w:sz="0" w:space="0" w:color="auto"/>
                <w:bottom w:val="none" w:sz="0" w:space="0" w:color="auto"/>
                <w:right w:val="none" w:sz="0" w:space="0" w:color="auto"/>
              </w:divBdr>
              <w:divsChild>
                <w:div w:id="852643344">
                  <w:marLeft w:val="0"/>
                  <w:marRight w:val="0"/>
                  <w:marTop w:val="0"/>
                  <w:marBottom w:val="0"/>
                  <w:divBdr>
                    <w:top w:val="none" w:sz="0" w:space="0" w:color="auto"/>
                    <w:left w:val="none" w:sz="0" w:space="0" w:color="auto"/>
                    <w:bottom w:val="none" w:sz="0" w:space="0" w:color="auto"/>
                    <w:right w:val="none" w:sz="0" w:space="0" w:color="auto"/>
                  </w:divBdr>
                  <w:divsChild>
                    <w:div w:id="469251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4060804">
      <w:bodyDiv w:val="1"/>
      <w:marLeft w:val="0"/>
      <w:marRight w:val="0"/>
      <w:marTop w:val="0"/>
      <w:marBottom w:val="0"/>
      <w:divBdr>
        <w:top w:val="none" w:sz="0" w:space="0" w:color="auto"/>
        <w:left w:val="none" w:sz="0" w:space="0" w:color="auto"/>
        <w:bottom w:val="none" w:sz="0" w:space="0" w:color="auto"/>
        <w:right w:val="none" w:sz="0" w:space="0" w:color="auto"/>
      </w:divBdr>
    </w:div>
    <w:div w:id="1386567869">
      <w:bodyDiv w:val="1"/>
      <w:marLeft w:val="0"/>
      <w:marRight w:val="0"/>
      <w:marTop w:val="0"/>
      <w:marBottom w:val="0"/>
      <w:divBdr>
        <w:top w:val="none" w:sz="0" w:space="0" w:color="auto"/>
        <w:left w:val="none" w:sz="0" w:space="0" w:color="auto"/>
        <w:bottom w:val="none" w:sz="0" w:space="0" w:color="auto"/>
        <w:right w:val="none" w:sz="0" w:space="0" w:color="auto"/>
      </w:divBdr>
    </w:div>
    <w:div w:id="1393626474">
      <w:bodyDiv w:val="1"/>
      <w:marLeft w:val="0"/>
      <w:marRight w:val="0"/>
      <w:marTop w:val="0"/>
      <w:marBottom w:val="0"/>
      <w:divBdr>
        <w:top w:val="none" w:sz="0" w:space="0" w:color="auto"/>
        <w:left w:val="none" w:sz="0" w:space="0" w:color="auto"/>
        <w:bottom w:val="none" w:sz="0" w:space="0" w:color="auto"/>
        <w:right w:val="none" w:sz="0" w:space="0" w:color="auto"/>
      </w:divBdr>
    </w:div>
    <w:div w:id="1398672315">
      <w:bodyDiv w:val="1"/>
      <w:marLeft w:val="0"/>
      <w:marRight w:val="0"/>
      <w:marTop w:val="0"/>
      <w:marBottom w:val="0"/>
      <w:divBdr>
        <w:top w:val="none" w:sz="0" w:space="0" w:color="auto"/>
        <w:left w:val="none" w:sz="0" w:space="0" w:color="auto"/>
        <w:bottom w:val="none" w:sz="0" w:space="0" w:color="auto"/>
        <w:right w:val="none" w:sz="0" w:space="0" w:color="auto"/>
      </w:divBdr>
    </w:div>
    <w:div w:id="1452478048">
      <w:bodyDiv w:val="1"/>
      <w:marLeft w:val="0"/>
      <w:marRight w:val="0"/>
      <w:marTop w:val="0"/>
      <w:marBottom w:val="0"/>
      <w:divBdr>
        <w:top w:val="none" w:sz="0" w:space="0" w:color="auto"/>
        <w:left w:val="none" w:sz="0" w:space="0" w:color="auto"/>
        <w:bottom w:val="none" w:sz="0" w:space="0" w:color="auto"/>
        <w:right w:val="none" w:sz="0" w:space="0" w:color="auto"/>
      </w:divBdr>
      <w:divsChild>
        <w:div w:id="794258091">
          <w:marLeft w:val="0"/>
          <w:marRight w:val="0"/>
          <w:marTop w:val="0"/>
          <w:marBottom w:val="0"/>
          <w:divBdr>
            <w:top w:val="none" w:sz="0" w:space="0" w:color="auto"/>
            <w:left w:val="none" w:sz="0" w:space="0" w:color="auto"/>
            <w:bottom w:val="none" w:sz="0" w:space="0" w:color="auto"/>
            <w:right w:val="none" w:sz="0" w:space="0" w:color="auto"/>
          </w:divBdr>
          <w:divsChild>
            <w:div w:id="1535265825">
              <w:marLeft w:val="0"/>
              <w:marRight w:val="0"/>
              <w:marTop w:val="0"/>
              <w:marBottom w:val="0"/>
              <w:divBdr>
                <w:top w:val="none" w:sz="0" w:space="0" w:color="auto"/>
                <w:left w:val="none" w:sz="0" w:space="0" w:color="auto"/>
                <w:bottom w:val="none" w:sz="0" w:space="0" w:color="auto"/>
                <w:right w:val="none" w:sz="0" w:space="0" w:color="auto"/>
              </w:divBdr>
              <w:divsChild>
                <w:div w:id="1324970244">
                  <w:marLeft w:val="0"/>
                  <w:marRight w:val="0"/>
                  <w:marTop w:val="0"/>
                  <w:marBottom w:val="0"/>
                  <w:divBdr>
                    <w:top w:val="none" w:sz="0" w:space="0" w:color="auto"/>
                    <w:left w:val="none" w:sz="0" w:space="0" w:color="auto"/>
                    <w:bottom w:val="none" w:sz="0" w:space="0" w:color="auto"/>
                    <w:right w:val="none" w:sz="0" w:space="0" w:color="auto"/>
                  </w:divBdr>
                  <w:divsChild>
                    <w:div w:id="391925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8597985">
      <w:bodyDiv w:val="1"/>
      <w:marLeft w:val="0"/>
      <w:marRight w:val="0"/>
      <w:marTop w:val="0"/>
      <w:marBottom w:val="0"/>
      <w:divBdr>
        <w:top w:val="none" w:sz="0" w:space="0" w:color="auto"/>
        <w:left w:val="none" w:sz="0" w:space="0" w:color="auto"/>
        <w:bottom w:val="none" w:sz="0" w:space="0" w:color="auto"/>
        <w:right w:val="none" w:sz="0" w:space="0" w:color="auto"/>
      </w:divBdr>
    </w:div>
    <w:div w:id="1461652100">
      <w:bodyDiv w:val="1"/>
      <w:marLeft w:val="0"/>
      <w:marRight w:val="0"/>
      <w:marTop w:val="0"/>
      <w:marBottom w:val="0"/>
      <w:divBdr>
        <w:top w:val="none" w:sz="0" w:space="0" w:color="auto"/>
        <w:left w:val="none" w:sz="0" w:space="0" w:color="auto"/>
        <w:bottom w:val="none" w:sz="0" w:space="0" w:color="auto"/>
        <w:right w:val="none" w:sz="0" w:space="0" w:color="auto"/>
      </w:divBdr>
    </w:div>
    <w:div w:id="1462650203">
      <w:bodyDiv w:val="1"/>
      <w:marLeft w:val="0"/>
      <w:marRight w:val="0"/>
      <w:marTop w:val="0"/>
      <w:marBottom w:val="0"/>
      <w:divBdr>
        <w:top w:val="none" w:sz="0" w:space="0" w:color="auto"/>
        <w:left w:val="none" w:sz="0" w:space="0" w:color="auto"/>
        <w:bottom w:val="none" w:sz="0" w:space="0" w:color="auto"/>
        <w:right w:val="none" w:sz="0" w:space="0" w:color="auto"/>
      </w:divBdr>
      <w:divsChild>
        <w:div w:id="1150514266">
          <w:marLeft w:val="0"/>
          <w:marRight w:val="0"/>
          <w:marTop w:val="0"/>
          <w:marBottom w:val="0"/>
          <w:divBdr>
            <w:top w:val="none" w:sz="0" w:space="0" w:color="auto"/>
            <w:left w:val="none" w:sz="0" w:space="0" w:color="auto"/>
            <w:bottom w:val="none" w:sz="0" w:space="0" w:color="auto"/>
            <w:right w:val="none" w:sz="0" w:space="0" w:color="auto"/>
          </w:divBdr>
          <w:divsChild>
            <w:div w:id="290983058">
              <w:marLeft w:val="0"/>
              <w:marRight w:val="0"/>
              <w:marTop w:val="0"/>
              <w:marBottom w:val="0"/>
              <w:divBdr>
                <w:top w:val="none" w:sz="0" w:space="0" w:color="auto"/>
                <w:left w:val="none" w:sz="0" w:space="0" w:color="auto"/>
                <w:bottom w:val="none" w:sz="0" w:space="0" w:color="auto"/>
                <w:right w:val="none" w:sz="0" w:space="0" w:color="auto"/>
              </w:divBdr>
              <w:divsChild>
                <w:div w:id="84422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2092663">
      <w:bodyDiv w:val="1"/>
      <w:marLeft w:val="0"/>
      <w:marRight w:val="0"/>
      <w:marTop w:val="0"/>
      <w:marBottom w:val="0"/>
      <w:divBdr>
        <w:top w:val="none" w:sz="0" w:space="0" w:color="auto"/>
        <w:left w:val="none" w:sz="0" w:space="0" w:color="auto"/>
        <w:bottom w:val="none" w:sz="0" w:space="0" w:color="auto"/>
        <w:right w:val="none" w:sz="0" w:space="0" w:color="auto"/>
      </w:divBdr>
    </w:div>
    <w:div w:id="1473595567">
      <w:bodyDiv w:val="1"/>
      <w:marLeft w:val="0"/>
      <w:marRight w:val="0"/>
      <w:marTop w:val="0"/>
      <w:marBottom w:val="0"/>
      <w:divBdr>
        <w:top w:val="none" w:sz="0" w:space="0" w:color="auto"/>
        <w:left w:val="none" w:sz="0" w:space="0" w:color="auto"/>
        <w:bottom w:val="none" w:sz="0" w:space="0" w:color="auto"/>
        <w:right w:val="none" w:sz="0" w:space="0" w:color="auto"/>
      </w:divBdr>
    </w:div>
    <w:div w:id="1552307210">
      <w:bodyDiv w:val="1"/>
      <w:marLeft w:val="0"/>
      <w:marRight w:val="0"/>
      <w:marTop w:val="0"/>
      <w:marBottom w:val="0"/>
      <w:divBdr>
        <w:top w:val="none" w:sz="0" w:space="0" w:color="auto"/>
        <w:left w:val="none" w:sz="0" w:space="0" w:color="auto"/>
        <w:bottom w:val="none" w:sz="0" w:space="0" w:color="auto"/>
        <w:right w:val="none" w:sz="0" w:space="0" w:color="auto"/>
      </w:divBdr>
    </w:div>
    <w:div w:id="1595477464">
      <w:bodyDiv w:val="1"/>
      <w:marLeft w:val="0"/>
      <w:marRight w:val="0"/>
      <w:marTop w:val="0"/>
      <w:marBottom w:val="0"/>
      <w:divBdr>
        <w:top w:val="none" w:sz="0" w:space="0" w:color="auto"/>
        <w:left w:val="none" w:sz="0" w:space="0" w:color="auto"/>
        <w:bottom w:val="none" w:sz="0" w:space="0" w:color="auto"/>
        <w:right w:val="none" w:sz="0" w:space="0" w:color="auto"/>
      </w:divBdr>
    </w:div>
    <w:div w:id="1635527083">
      <w:bodyDiv w:val="1"/>
      <w:marLeft w:val="0"/>
      <w:marRight w:val="0"/>
      <w:marTop w:val="0"/>
      <w:marBottom w:val="0"/>
      <w:divBdr>
        <w:top w:val="none" w:sz="0" w:space="0" w:color="auto"/>
        <w:left w:val="none" w:sz="0" w:space="0" w:color="auto"/>
        <w:bottom w:val="none" w:sz="0" w:space="0" w:color="auto"/>
        <w:right w:val="none" w:sz="0" w:space="0" w:color="auto"/>
      </w:divBdr>
    </w:div>
    <w:div w:id="1637639324">
      <w:bodyDiv w:val="1"/>
      <w:marLeft w:val="0"/>
      <w:marRight w:val="0"/>
      <w:marTop w:val="0"/>
      <w:marBottom w:val="0"/>
      <w:divBdr>
        <w:top w:val="none" w:sz="0" w:space="0" w:color="auto"/>
        <w:left w:val="none" w:sz="0" w:space="0" w:color="auto"/>
        <w:bottom w:val="none" w:sz="0" w:space="0" w:color="auto"/>
        <w:right w:val="none" w:sz="0" w:space="0" w:color="auto"/>
      </w:divBdr>
    </w:div>
    <w:div w:id="1647935065">
      <w:bodyDiv w:val="1"/>
      <w:marLeft w:val="0"/>
      <w:marRight w:val="0"/>
      <w:marTop w:val="0"/>
      <w:marBottom w:val="0"/>
      <w:divBdr>
        <w:top w:val="none" w:sz="0" w:space="0" w:color="auto"/>
        <w:left w:val="none" w:sz="0" w:space="0" w:color="auto"/>
        <w:bottom w:val="none" w:sz="0" w:space="0" w:color="auto"/>
        <w:right w:val="none" w:sz="0" w:space="0" w:color="auto"/>
      </w:divBdr>
    </w:div>
    <w:div w:id="1651792306">
      <w:bodyDiv w:val="1"/>
      <w:marLeft w:val="0"/>
      <w:marRight w:val="0"/>
      <w:marTop w:val="0"/>
      <w:marBottom w:val="0"/>
      <w:divBdr>
        <w:top w:val="none" w:sz="0" w:space="0" w:color="auto"/>
        <w:left w:val="none" w:sz="0" w:space="0" w:color="auto"/>
        <w:bottom w:val="none" w:sz="0" w:space="0" w:color="auto"/>
        <w:right w:val="none" w:sz="0" w:space="0" w:color="auto"/>
      </w:divBdr>
    </w:div>
    <w:div w:id="1651901641">
      <w:bodyDiv w:val="1"/>
      <w:marLeft w:val="0"/>
      <w:marRight w:val="0"/>
      <w:marTop w:val="0"/>
      <w:marBottom w:val="0"/>
      <w:divBdr>
        <w:top w:val="none" w:sz="0" w:space="0" w:color="auto"/>
        <w:left w:val="none" w:sz="0" w:space="0" w:color="auto"/>
        <w:bottom w:val="none" w:sz="0" w:space="0" w:color="auto"/>
        <w:right w:val="none" w:sz="0" w:space="0" w:color="auto"/>
      </w:divBdr>
    </w:div>
    <w:div w:id="1666779981">
      <w:bodyDiv w:val="1"/>
      <w:marLeft w:val="0"/>
      <w:marRight w:val="0"/>
      <w:marTop w:val="0"/>
      <w:marBottom w:val="0"/>
      <w:divBdr>
        <w:top w:val="none" w:sz="0" w:space="0" w:color="auto"/>
        <w:left w:val="none" w:sz="0" w:space="0" w:color="auto"/>
        <w:bottom w:val="none" w:sz="0" w:space="0" w:color="auto"/>
        <w:right w:val="none" w:sz="0" w:space="0" w:color="auto"/>
      </w:divBdr>
    </w:div>
    <w:div w:id="1721586628">
      <w:bodyDiv w:val="1"/>
      <w:marLeft w:val="0"/>
      <w:marRight w:val="0"/>
      <w:marTop w:val="0"/>
      <w:marBottom w:val="0"/>
      <w:divBdr>
        <w:top w:val="none" w:sz="0" w:space="0" w:color="auto"/>
        <w:left w:val="none" w:sz="0" w:space="0" w:color="auto"/>
        <w:bottom w:val="none" w:sz="0" w:space="0" w:color="auto"/>
        <w:right w:val="none" w:sz="0" w:space="0" w:color="auto"/>
      </w:divBdr>
      <w:divsChild>
        <w:div w:id="262692379">
          <w:marLeft w:val="547"/>
          <w:marRight w:val="0"/>
          <w:marTop w:val="0"/>
          <w:marBottom w:val="0"/>
          <w:divBdr>
            <w:top w:val="none" w:sz="0" w:space="0" w:color="auto"/>
            <w:left w:val="none" w:sz="0" w:space="0" w:color="auto"/>
            <w:bottom w:val="none" w:sz="0" w:space="0" w:color="auto"/>
            <w:right w:val="none" w:sz="0" w:space="0" w:color="auto"/>
          </w:divBdr>
        </w:div>
      </w:divsChild>
    </w:div>
    <w:div w:id="1791389725">
      <w:bodyDiv w:val="1"/>
      <w:marLeft w:val="0"/>
      <w:marRight w:val="0"/>
      <w:marTop w:val="0"/>
      <w:marBottom w:val="0"/>
      <w:divBdr>
        <w:top w:val="none" w:sz="0" w:space="0" w:color="auto"/>
        <w:left w:val="none" w:sz="0" w:space="0" w:color="auto"/>
        <w:bottom w:val="none" w:sz="0" w:space="0" w:color="auto"/>
        <w:right w:val="none" w:sz="0" w:space="0" w:color="auto"/>
      </w:divBdr>
    </w:div>
    <w:div w:id="1847934862">
      <w:bodyDiv w:val="1"/>
      <w:marLeft w:val="0"/>
      <w:marRight w:val="0"/>
      <w:marTop w:val="0"/>
      <w:marBottom w:val="0"/>
      <w:divBdr>
        <w:top w:val="none" w:sz="0" w:space="0" w:color="auto"/>
        <w:left w:val="none" w:sz="0" w:space="0" w:color="auto"/>
        <w:bottom w:val="none" w:sz="0" w:space="0" w:color="auto"/>
        <w:right w:val="none" w:sz="0" w:space="0" w:color="auto"/>
      </w:divBdr>
    </w:div>
    <w:div w:id="1851064327">
      <w:bodyDiv w:val="1"/>
      <w:marLeft w:val="0"/>
      <w:marRight w:val="0"/>
      <w:marTop w:val="0"/>
      <w:marBottom w:val="0"/>
      <w:divBdr>
        <w:top w:val="none" w:sz="0" w:space="0" w:color="auto"/>
        <w:left w:val="none" w:sz="0" w:space="0" w:color="auto"/>
        <w:bottom w:val="none" w:sz="0" w:space="0" w:color="auto"/>
        <w:right w:val="none" w:sz="0" w:space="0" w:color="auto"/>
      </w:divBdr>
    </w:div>
    <w:div w:id="1890995457">
      <w:bodyDiv w:val="1"/>
      <w:marLeft w:val="0"/>
      <w:marRight w:val="0"/>
      <w:marTop w:val="0"/>
      <w:marBottom w:val="0"/>
      <w:divBdr>
        <w:top w:val="none" w:sz="0" w:space="0" w:color="auto"/>
        <w:left w:val="none" w:sz="0" w:space="0" w:color="auto"/>
        <w:bottom w:val="none" w:sz="0" w:space="0" w:color="auto"/>
        <w:right w:val="none" w:sz="0" w:space="0" w:color="auto"/>
      </w:divBdr>
      <w:divsChild>
        <w:div w:id="1368992767">
          <w:marLeft w:val="0"/>
          <w:marRight w:val="0"/>
          <w:marTop w:val="0"/>
          <w:marBottom w:val="0"/>
          <w:divBdr>
            <w:top w:val="none" w:sz="0" w:space="0" w:color="auto"/>
            <w:left w:val="none" w:sz="0" w:space="0" w:color="auto"/>
            <w:bottom w:val="none" w:sz="0" w:space="0" w:color="auto"/>
            <w:right w:val="none" w:sz="0" w:space="0" w:color="auto"/>
          </w:divBdr>
          <w:divsChild>
            <w:div w:id="1634755576">
              <w:marLeft w:val="0"/>
              <w:marRight w:val="0"/>
              <w:marTop w:val="0"/>
              <w:marBottom w:val="0"/>
              <w:divBdr>
                <w:top w:val="none" w:sz="0" w:space="0" w:color="auto"/>
                <w:left w:val="none" w:sz="0" w:space="0" w:color="auto"/>
                <w:bottom w:val="none" w:sz="0" w:space="0" w:color="auto"/>
                <w:right w:val="none" w:sz="0" w:space="0" w:color="auto"/>
              </w:divBdr>
              <w:divsChild>
                <w:div w:id="514852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5653067">
      <w:bodyDiv w:val="1"/>
      <w:marLeft w:val="0"/>
      <w:marRight w:val="0"/>
      <w:marTop w:val="0"/>
      <w:marBottom w:val="0"/>
      <w:divBdr>
        <w:top w:val="none" w:sz="0" w:space="0" w:color="auto"/>
        <w:left w:val="none" w:sz="0" w:space="0" w:color="auto"/>
        <w:bottom w:val="none" w:sz="0" w:space="0" w:color="auto"/>
        <w:right w:val="none" w:sz="0" w:space="0" w:color="auto"/>
      </w:divBdr>
    </w:div>
    <w:div w:id="1896112992">
      <w:bodyDiv w:val="1"/>
      <w:marLeft w:val="0"/>
      <w:marRight w:val="0"/>
      <w:marTop w:val="0"/>
      <w:marBottom w:val="0"/>
      <w:divBdr>
        <w:top w:val="none" w:sz="0" w:space="0" w:color="auto"/>
        <w:left w:val="none" w:sz="0" w:space="0" w:color="auto"/>
        <w:bottom w:val="none" w:sz="0" w:space="0" w:color="auto"/>
        <w:right w:val="none" w:sz="0" w:space="0" w:color="auto"/>
      </w:divBdr>
      <w:divsChild>
        <w:div w:id="1779326055">
          <w:marLeft w:val="0"/>
          <w:marRight w:val="0"/>
          <w:marTop w:val="0"/>
          <w:marBottom w:val="0"/>
          <w:divBdr>
            <w:top w:val="none" w:sz="0" w:space="0" w:color="auto"/>
            <w:left w:val="none" w:sz="0" w:space="0" w:color="auto"/>
            <w:bottom w:val="none" w:sz="0" w:space="0" w:color="auto"/>
            <w:right w:val="none" w:sz="0" w:space="0" w:color="auto"/>
          </w:divBdr>
          <w:divsChild>
            <w:div w:id="682169104">
              <w:marLeft w:val="0"/>
              <w:marRight w:val="0"/>
              <w:marTop w:val="0"/>
              <w:marBottom w:val="0"/>
              <w:divBdr>
                <w:top w:val="none" w:sz="0" w:space="0" w:color="auto"/>
                <w:left w:val="none" w:sz="0" w:space="0" w:color="auto"/>
                <w:bottom w:val="none" w:sz="0" w:space="0" w:color="auto"/>
                <w:right w:val="none" w:sz="0" w:space="0" w:color="auto"/>
              </w:divBdr>
              <w:divsChild>
                <w:div w:id="1842621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9196160">
      <w:bodyDiv w:val="1"/>
      <w:marLeft w:val="0"/>
      <w:marRight w:val="0"/>
      <w:marTop w:val="0"/>
      <w:marBottom w:val="0"/>
      <w:divBdr>
        <w:top w:val="none" w:sz="0" w:space="0" w:color="auto"/>
        <w:left w:val="none" w:sz="0" w:space="0" w:color="auto"/>
        <w:bottom w:val="none" w:sz="0" w:space="0" w:color="auto"/>
        <w:right w:val="none" w:sz="0" w:space="0" w:color="auto"/>
      </w:divBdr>
      <w:divsChild>
        <w:div w:id="1637494153">
          <w:marLeft w:val="0"/>
          <w:marRight w:val="0"/>
          <w:marTop w:val="0"/>
          <w:marBottom w:val="0"/>
          <w:divBdr>
            <w:top w:val="none" w:sz="0" w:space="0" w:color="auto"/>
            <w:left w:val="none" w:sz="0" w:space="0" w:color="auto"/>
            <w:bottom w:val="none" w:sz="0" w:space="0" w:color="auto"/>
            <w:right w:val="none" w:sz="0" w:space="0" w:color="auto"/>
          </w:divBdr>
          <w:divsChild>
            <w:div w:id="358162944">
              <w:marLeft w:val="0"/>
              <w:marRight w:val="0"/>
              <w:marTop w:val="0"/>
              <w:marBottom w:val="0"/>
              <w:divBdr>
                <w:top w:val="none" w:sz="0" w:space="0" w:color="auto"/>
                <w:left w:val="none" w:sz="0" w:space="0" w:color="auto"/>
                <w:bottom w:val="none" w:sz="0" w:space="0" w:color="auto"/>
                <w:right w:val="none" w:sz="0" w:space="0" w:color="auto"/>
              </w:divBdr>
              <w:divsChild>
                <w:div w:id="566887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1376884">
      <w:bodyDiv w:val="1"/>
      <w:marLeft w:val="0"/>
      <w:marRight w:val="0"/>
      <w:marTop w:val="0"/>
      <w:marBottom w:val="0"/>
      <w:divBdr>
        <w:top w:val="none" w:sz="0" w:space="0" w:color="auto"/>
        <w:left w:val="none" w:sz="0" w:space="0" w:color="auto"/>
        <w:bottom w:val="none" w:sz="0" w:space="0" w:color="auto"/>
        <w:right w:val="none" w:sz="0" w:space="0" w:color="auto"/>
      </w:divBdr>
    </w:div>
    <w:div w:id="1948655536">
      <w:bodyDiv w:val="1"/>
      <w:marLeft w:val="0"/>
      <w:marRight w:val="0"/>
      <w:marTop w:val="0"/>
      <w:marBottom w:val="0"/>
      <w:divBdr>
        <w:top w:val="none" w:sz="0" w:space="0" w:color="auto"/>
        <w:left w:val="none" w:sz="0" w:space="0" w:color="auto"/>
        <w:bottom w:val="none" w:sz="0" w:space="0" w:color="auto"/>
        <w:right w:val="none" w:sz="0" w:space="0" w:color="auto"/>
      </w:divBdr>
    </w:div>
    <w:div w:id="1989283766">
      <w:bodyDiv w:val="1"/>
      <w:marLeft w:val="0"/>
      <w:marRight w:val="0"/>
      <w:marTop w:val="0"/>
      <w:marBottom w:val="0"/>
      <w:divBdr>
        <w:top w:val="none" w:sz="0" w:space="0" w:color="auto"/>
        <w:left w:val="none" w:sz="0" w:space="0" w:color="auto"/>
        <w:bottom w:val="none" w:sz="0" w:space="0" w:color="auto"/>
        <w:right w:val="none" w:sz="0" w:space="0" w:color="auto"/>
      </w:divBdr>
      <w:divsChild>
        <w:div w:id="182675440">
          <w:marLeft w:val="0"/>
          <w:marRight w:val="0"/>
          <w:marTop w:val="0"/>
          <w:marBottom w:val="0"/>
          <w:divBdr>
            <w:top w:val="none" w:sz="0" w:space="0" w:color="auto"/>
            <w:left w:val="none" w:sz="0" w:space="0" w:color="auto"/>
            <w:bottom w:val="none" w:sz="0" w:space="0" w:color="auto"/>
            <w:right w:val="none" w:sz="0" w:space="0" w:color="auto"/>
          </w:divBdr>
          <w:divsChild>
            <w:div w:id="1974601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520502">
      <w:bodyDiv w:val="1"/>
      <w:marLeft w:val="0"/>
      <w:marRight w:val="0"/>
      <w:marTop w:val="0"/>
      <w:marBottom w:val="0"/>
      <w:divBdr>
        <w:top w:val="none" w:sz="0" w:space="0" w:color="auto"/>
        <w:left w:val="none" w:sz="0" w:space="0" w:color="auto"/>
        <w:bottom w:val="none" w:sz="0" w:space="0" w:color="auto"/>
        <w:right w:val="none" w:sz="0" w:space="0" w:color="auto"/>
      </w:divBdr>
    </w:div>
    <w:div w:id="2016489898">
      <w:bodyDiv w:val="1"/>
      <w:marLeft w:val="0"/>
      <w:marRight w:val="0"/>
      <w:marTop w:val="0"/>
      <w:marBottom w:val="0"/>
      <w:divBdr>
        <w:top w:val="none" w:sz="0" w:space="0" w:color="auto"/>
        <w:left w:val="none" w:sz="0" w:space="0" w:color="auto"/>
        <w:bottom w:val="none" w:sz="0" w:space="0" w:color="auto"/>
        <w:right w:val="none" w:sz="0" w:space="0" w:color="auto"/>
      </w:divBdr>
    </w:div>
    <w:div w:id="2041853191">
      <w:bodyDiv w:val="1"/>
      <w:marLeft w:val="0"/>
      <w:marRight w:val="0"/>
      <w:marTop w:val="0"/>
      <w:marBottom w:val="0"/>
      <w:divBdr>
        <w:top w:val="none" w:sz="0" w:space="0" w:color="auto"/>
        <w:left w:val="none" w:sz="0" w:space="0" w:color="auto"/>
        <w:bottom w:val="none" w:sz="0" w:space="0" w:color="auto"/>
        <w:right w:val="none" w:sz="0" w:space="0" w:color="auto"/>
      </w:divBdr>
    </w:div>
    <w:div w:id="2070763944">
      <w:bodyDiv w:val="1"/>
      <w:marLeft w:val="0"/>
      <w:marRight w:val="0"/>
      <w:marTop w:val="0"/>
      <w:marBottom w:val="0"/>
      <w:divBdr>
        <w:top w:val="none" w:sz="0" w:space="0" w:color="auto"/>
        <w:left w:val="none" w:sz="0" w:space="0" w:color="auto"/>
        <w:bottom w:val="none" w:sz="0" w:space="0" w:color="auto"/>
        <w:right w:val="none" w:sz="0" w:space="0" w:color="auto"/>
      </w:divBdr>
    </w:div>
    <w:div w:id="2078478887">
      <w:bodyDiv w:val="1"/>
      <w:marLeft w:val="0"/>
      <w:marRight w:val="0"/>
      <w:marTop w:val="0"/>
      <w:marBottom w:val="0"/>
      <w:divBdr>
        <w:top w:val="none" w:sz="0" w:space="0" w:color="auto"/>
        <w:left w:val="none" w:sz="0" w:space="0" w:color="auto"/>
        <w:bottom w:val="none" w:sz="0" w:space="0" w:color="auto"/>
        <w:right w:val="none" w:sz="0" w:space="0" w:color="auto"/>
      </w:divBdr>
      <w:divsChild>
        <w:div w:id="1365594981">
          <w:marLeft w:val="0"/>
          <w:marRight w:val="0"/>
          <w:marTop w:val="0"/>
          <w:marBottom w:val="0"/>
          <w:divBdr>
            <w:top w:val="none" w:sz="0" w:space="0" w:color="auto"/>
            <w:left w:val="none" w:sz="0" w:space="0" w:color="auto"/>
            <w:bottom w:val="none" w:sz="0" w:space="0" w:color="auto"/>
            <w:right w:val="none" w:sz="0" w:space="0" w:color="auto"/>
          </w:divBdr>
          <w:divsChild>
            <w:div w:id="424618806">
              <w:marLeft w:val="0"/>
              <w:marRight w:val="0"/>
              <w:marTop w:val="0"/>
              <w:marBottom w:val="0"/>
              <w:divBdr>
                <w:top w:val="none" w:sz="0" w:space="0" w:color="auto"/>
                <w:left w:val="none" w:sz="0" w:space="0" w:color="auto"/>
                <w:bottom w:val="none" w:sz="0" w:space="0" w:color="auto"/>
                <w:right w:val="none" w:sz="0" w:space="0" w:color="auto"/>
              </w:divBdr>
              <w:divsChild>
                <w:div w:id="384450588">
                  <w:marLeft w:val="0"/>
                  <w:marRight w:val="0"/>
                  <w:marTop w:val="0"/>
                  <w:marBottom w:val="0"/>
                  <w:divBdr>
                    <w:top w:val="none" w:sz="0" w:space="0" w:color="auto"/>
                    <w:left w:val="none" w:sz="0" w:space="0" w:color="auto"/>
                    <w:bottom w:val="none" w:sz="0" w:space="0" w:color="auto"/>
                    <w:right w:val="none" w:sz="0" w:space="0" w:color="auto"/>
                  </w:divBdr>
                  <w:divsChild>
                    <w:div w:id="1922910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8764963">
      <w:bodyDiv w:val="1"/>
      <w:marLeft w:val="0"/>
      <w:marRight w:val="0"/>
      <w:marTop w:val="0"/>
      <w:marBottom w:val="0"/>
      <w:divBdr>
        <w:top w:val="none" w:sz="0" w:space="0" w:color="auto"/>
        <w:left w:val="none" w:sz="0" w:space="0" w:color="auto"/>
        <w:bottom w:val="none" w:sz="0" w:space="0" w:color="auto"/>
        <w:right w:val="none" w:sz="0" w:space="0" w:color="auto"/>
      </w:divBdr>
    </w:div>
    <w:div w:id="2109766249">
      <w:bodyDiv w:val="1"/>
      <w:marLeft w:val="0"/>
      <w:marRight w:val="0"/>
      <w:marTop w:val="0"/>
      <w:marBottom w:val="0"/>
      <w:divBdr>
        <w:top w:val="none" w:sz="0" w:space="0" w:color="auto"/>
        <w:left w:val="none" w:sz="0" w:space="0" w:color="auto"/>
        <w:bottom w:val="none" w:sz="0" w:space="0" w:color="auto"/>
        <w:right w:val="none" w:sz="0" w:space="0" w:color="auto"/>
      </w:divBdr>
    </w:div>
    <w:div w:id="21401750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jpeg"/><Relationship Id="rId21" Type="http://schemas.openxmlformats.org/officeDocument/2006/relationships/image" Target="media/image3.png"/><Relationship Id="rId42" Type="http://schemas.openxmlformats.org/officeDocument/2006/relationships/header" Target="header7.xml"/><Relationship Id="rId47" Type="http://schemas.openxmlformats.org/officeDocument/2006/relationships/header" Target="header10.xml"/><Relationship Id="rId63" Type="http://schemas.openxmlformats.org/officeDocument/2006/relationships/image" Target="media/image19.png"/><Relationship Id="rId68" Type="http://schemas.openxmlformats.org/officeDocument/2006/relationships/image" Target="media/image24.jpe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diagramQuickStyle" Target="diagrams/quickStyle1.xml"/><Relationship Id="rId11" Type="http://schemas.openxmlformats.org/officeDocument/2006/relationships/header" Target="header1.xml"/><Relationship Id="rId24" Type="http://schemas.openxmlformats.org/officeDocument/2006/relationships/image" Target="media/image6.jpeg"/><Relationship Id="rId32" Type="http://schemas.openxmlformats.org/officeDocument/2006/relationships/diagramData" Target="diagrams/data2.xml"/><Relationship Id="rId37" Type="http://schemas.openxmlformats.org/officeDocument/2006/relationships/image" Target="media/image9.png"/><Relationship Id="rId40" Type="http://schemas.openxmlformats.org/officeDocument/2006/relationships/header" Target="header6.xml"/><Relationship Id="rId45" Type="http://schemas.openxmlformats.org/officeDocument/2006/relationships/hyperlink" Target="http://www.vladars.net/sr-SP-Cyrl/Vlada/Ministarstva/mps/Pages/default.aspx" TargetMode="External"/><Relationship Id="rId53" Type="http://schemas.openxmlformats.org/officeDocument/2006/relationships/image" Target="media/image12.jpeg"/><Relationship Id="rId66" Type="http://schemas.openxmlformats.org/officeDocument/2006/relationships/image" Target="media/image22.jpeg"/><Relationship Id="rId5" Type="http://schemas.openxmlformats.org/officeDocument/2006/relationships/numbering" Target="numbering.xml"/><Relationship Id="rId61" Type="http://schemas.openxmlformats.org/officeDocument/2006/relationships/image" Target="media/image17.jpeg"/><Relationship Id="rId19" Type="http://schemas.openxmlformats.org/officeDocument/2006/relationships/image" Target="media/image1.png"/><Relationship Id="rId14" Type="http://schemas.openxmlformats.org/officeDocument/2006/relationships/footer" Target="footer2.xml"/><Relationship Id="rId22" Type="http://schemas.openxmlformats.org/officeDocument/2006/relationships/image" Target="media/image4.emf"/><Relationship Id="rId27" Type="http://schemas.openxmlformats.org/officeDocument/2006/relationships/diagramData" Target="diagrams/data1.xml"/><Relationship Id="rId30" Type="http://schemas.openxmlformats.org/officeDocument/2006/relationships/diagramColors" Target="diagrams/colors1.xml"/><Relationship Id="rId35" Type="http://schemas.openxmlformats.org/officeDocument/2006/relationships/diagramColors" Target="diagrams/colors2.xml"/><Relationship Id="rId43" Type="http://schemas.openxmlformats.org/officeDocument/2006/relationships/header" Target="header8.xml"/><Relationship Id="rId48" Type="http://schemas.openxmlformats.org/officeDocument/2006/relationships/header" Target="header11.xml"/><Relationship Id="rId56" Type="http://schemas.openxmlformats.org/officeDocument/2006/relationships/header" Target="header17.xml"/><Relationship Id="rId64" Type="http://schemas.openxmlformats.org/officeDocument/2006/relationships/image" Target="media/image20.png"/><Relationship Id="rId69"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eader" Target="header14.xm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image" Target="media/image7.emf"/><Relationship Id="rId33" Type="http://schemas.openxmlformats.org/officeDocument/2006/relationships/diagramLayout" Target="diagrams/layout2.xml"/><Relationship Id="rId38" Type="http://schemas.openxmlformats.org/officeDocument/2006/relationships/footer" Target="footer5.xml"/><Relationship Id="rId46" Type="http://schemas.openxmlformats.org/officeDocument/2006/relationships/header" Target="header9.xml"/><Relationship Id="rId59" Type="http://schemas.openxmlformats.org/officeDocument/2006/relationships/image" Target="media/image16.jpeg"/><Relationship Id="rId67" Type="http://schemas.openxmlformats.org/officeDocument/2006/relationships/image" Target="media/image23.jpeg"/><Relationship Id="rId20" Type="http://schemas.openxmlformats.org/officeDocument/2006/relationships/image" Target="media/image2.jpeg"/><Relationship Id="rId41" Type="http://schemas.openxmlformats.org/officeDocument/2006/relationships/image" Target="media/image10.png"/><Relationship Id="rId54" Type="http://schemas.openxmlformats.org/officeDocument/2006/relationships/image" Target="media/image13.jpeg"/><Relationship Id="rId62" Type="http://schemas.openxmlformats.org/officeDocument/2006/relationships/image" Target="media/image18.png"/><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3.xml"/><Relationship Id="rId23" Type="http://schemas.openxmlformats.org/officeDocument/2006/relationships/image" Target="media/image5.jpeg"/><Relationship Id="rId28" Type="http://schemas.openxmlformats.org/officeDocument/2006/relationships/diagramLayout" Target="diagrams/layout1.xml"/><Relationship Id="rId36" Type="http://schemas.microsoft.com/office/2007/relationships/diagramDrawing" Target="diagrams/drawing2.xml"/><Relationship Id="rId49" Type="http://schemas.openxmlformats.org/officeDocument/2006/relationships/header" Target="header12.xml"/><Relationship Id="rId57" Type="http://schemas.openxmlformats.org/officeDocument/2006/relationships/image" Target="media/image14.jpeg"/><Relationship Id="rId10" Type="http://schemas.openxmlformats.org/officeDocument/2006/relationships/endnotes" Target="endnotes.xml"/><Relationship Id="rId31" Type="http://schemas.microsoft.com/office/2007/relationships/diagramDrawing" Target="diagrams/drawing1.xml"/><Relationship Id="rId44" Type="http://schemas.openxmlformats.org/officeDocument/2006/relationships/image" Target="media/image11.png"/><Relationship Id="rId52" Type="http://schemas.openxmlformats.org/officeDocument/2006/relationships/header" Target="header15.xml"/><Relationship Id="rId60" Type="http://schemas.openxmlformats.org/officeDocument/2006/relationships/image" Target="media/image15.jpeg"/><Relationship Id="rId65" Type="http://schemas.openxmlformats.org/officeDocument/2006/relationships/image" Target="media/image21.jpe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footer" Target="footer4.xml"/><Relationship Id="rId39" Type="http://schemas.openxmlformats.org/officeDocument/2006/relationships/header" Target="header5.xml"/><Relationship Id="rId34" Type="http://schemas.openxmlformats.org/officeDocument/2006/relationships/diagramQuickStyle" Target="diagrams/quickStyle2.xml"/><Relationship Id="rId50" Type="http://schemas.openxmlformats.org/officeDocument/2006/relationships/header" Target="header13.xml"/><Relationship Id="rId55" Type="http://schemas.openxmlformats.org/officeDocument/2006/relationships/header" Target="header16.xml"/></Relationships>
</file>

<file path=word/_rels/footnotes.xml.rels><?xml version="1.0" encoding="UTF-8" standalone="yes"?>
<Relationships xmlns="http://schemas.openxmlformats.org/package/2006/relationships"><Relationship Id="rId8" Type="http://schemas.openxmlformats.org/officeDocument/2006/relationships/hyperlink" Target="https://www.ifc.org/wps/wcm/connect/Topics_Ext_Content/IFC_External_Corporate_Site/Sustainability-At-IFC/Policies-Standards/EHS-Guidelines/" TargetMode="External"/><Relationship Id="rId3" Type="http://schemas.openxmlformats.org/officeDocument/2006/relationships/hyperlink" Target="https://www.eea.europa.eu/data-and-maps/indicators/oxygen-consuming-substances-in-rivers/oxygen-consuming-substances-in-rivers-7" TargetMode="External"/><Relationship Id="rId7" Type="http://schemas.openxmlformats.org/officeDocument/2006/relationships/hyperlink" Target="http://www.worldbank.org/en/projects-operations/environmental-and-social-framework/brief/environmental-and-social-framework-resources" TargetMode="External"/><Relationship Id="rId2" Type="http://schemas.openxmlformats.org/officeDocument/2006/relationships/hyperlink" Target="https://www.eea.europa.eu/data-and-maps/indicators/nutrients-in-freshwater/nutrients-in-freshwater-assessment-published-6" TargetMode="External"/><Relationship Id="rId1" Type="http://schemas.openxmlformats.org/officeDocument/2006/relationships/hyperlink" Target="https://www.eea.europa.eu/data-and-maps/indicators/oxygen-consuming-substances-in-rivers/oxygen-consuming-substances-in-rivers-7" TargetMode="External"/><Relationship Id="rId6" Type="http://schemas.openxmlformats.org/officeDocument/2006/relationships/hyperlink" Target="http://pubdocs.worldbank.org/en/837721522762050108/Environmental-and-Social-Framework.pdf" TargetMode="External"/><Relationship Id="rId5" Type="http://schemas.openxmlformats.org/officeDocument/2006/relationships/hyperlink" Target="https://www.ilo.org/budapest/countries-covered/bosnia-herzegovina/WCMS_471903/lang--en/index.htm" TargetMode="External"/><Relationship Id="rId4" Type="http://schemas.openxmlformats.org/officeDocument/2006/relationships/hyperlink" Target="https://www.eea.europa.eu/data-and-maps/indicators/nutrients-in-freshwater/nutrients-in-freshwater-assessment-published-6" TargetMode="External"/><Relationship Id="rId9" Type="http://schemas.openxmlformats.org/officeDocument/2006/relationships/hyperlink" Target="http://eu-monitoring.ba/trajanje-sudskih-postupaka-u-antidiskriminacijskim-predmetima/" TargetMode="External"/></Relationships>
</file>

<file path=word/diagrams/colors1.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F2EC03B-FAE2-4281-B621-36BF639D86D3}" type="doc">
      <dgm:prSet loTypeId="urn:microsoft.com/office/officeart/2005/8/layout/venn1" loCatId="relationship" qsTypeId="urn:microsoft.com/office/officeart/2005/8/quickstyle/simple1" qsCatId="simple" csTypeId="urn:microsoft.com/office/officeart/2005/8/colors/accent0_2" csCatId="mainScheme" phldr="1"/>
      <dgm:spPr/>
      <dgm:t>
        <a:bodyPr/>
        <a:lstStyle/>
        <a:p>
          <a:endParaRPr lang="hr-HR"/>
        </a:p>
      </dgm:t>
    </dgm:pt>
    <dgm:pt modelId="{DBE8DF86-34EF-4E1D-B770-9C4222484DCE}">
      <dgm:prSet custT="1"/>
      <dgm:spPr>
        <a:xfrm>
          <a:off x="2021881" y="91825"/>
          <a:ext cx="1899836" cy="1899836"/>
        </a:xfrm>
        <a:solidFill>
          <a:sysClr val="window" lastClr="FFFFFF">
            <a:alpha val="50000"/>
            <a:hueOff val="0"/>
            <a:satOff val="0"/>
            <a:lumOff val="0"/>
            <a:alphaOff val="0"/>
          </a:sysClr>
        </a:solidFill>
        <a:ln w="12700" cap="flat" cmpd="sng" algn="ctr">
          <a:solidFill>
            <a:srgbClr val="44546A">
              <a:shade val="80000"/>
              <a:hueOff val="0"/>
              <a:satOff val="0"/>
              <a:lumOff val="0"/>
              <a:alphaOff val="0"/>
            </a:srgbClr>
          </a:solidFill>
          <a:prstDash val="solid"/>
          <a:miter lim="800000"/>
        </a:ln>
        <a:effectLst/>
      </dgm:spPr>
      <dgm:t>
        <a:bodyPr/>
        <a:lstStyle/>
        <a:p>
          <a:pPr rtl="0">
            <a:buNone/>
          </a:pPr>
          <a:r>
            <a:rPr lang="hr-HR" sz="900" b="0">
              <a:solidFill>
                <a:sysClr val="windowText" lastClr="000000">
                  <a:hueOff val="0"/>
                  <a:satOff val="0"/>
                  <a:lumOff val="0"/>
                  <a:alphaOff val="0"/>
                </a:sysClr>
              </a:solidFill>
              <a:latin typeface="Calibri" panose="020F0502020204030204"/>
              <a:ea typeface="+mn-ea"/>
              <a:cs typeface="+mn-cs"/>
            </a:rPr>
            <a:t>A</a:t>
          </a:r>
          <a:r>
            <a:rPr lang="hr-HR" sz="900" b="1">
              <a:solidFill>
                <a:sysClr val="windowText" lastClr="000000">
                  <a:hueOff val="0"/>
                  <a:satOff val="0"/>
                  <a:lumOff val="0"/>
                  <a:alphaOff val="0"/>
                </a:sysClr>
              </a:solidFill>
              <a:latin typeface="Calibri" panose="020F0502020204030204"/>
              <a:ea typeface="+mn-ea"/>
              <a:cs typeface="+mn-cs"/>
            </a:rPr>
            <a:t> Vision for Sustainable Development</a:t>
          </a:r>
          <a:r>
            <a:rPr lang="hr-HR" sz="900">
              <a:solidFill>
                <a:sysClr val="windowText" lastClr="000000">
                  <a:hueOff val="0"/>
                  <a:satOff val="0"/>
                  <a:lumOff val="0"/>
                  <a:alphaOff val="0"/>
                </a:sysClr>
              </a:solidFill>
              <a:latin typeface="Calibri" panose="020F0502020204030204"/>
              <a:ea typeface="+mn-ea"/>
              <a:cs typeface="+mn-cs"/>
            </a:rPr>
            <a:t>, which sets out the Bank's aspirations regarding environmental and social sustainability</a:t>
          </a:r>
        </a:p>
      </dgm:t>
    </dgm:pt>
    <dgm:pt modelId="{75D1EFC9-6D64-4DEB-89F4-755DD0B9500F}" type="parTrans" cxnId="{2A03C044-64C0-48BA-BBBC-D5CD068DBA14}">
      <dgm:prSet/>
      <dgm:spPr/>
      <dgm:t>
        <a:bodyPr/>
        <a:lstStyle/>
        <a:p>
          <a:endParaRPr lang="hr-HR" sz="900"/>
        </a:p>
      </dgm:t>
    </dgm:pt>
    <dgm:pt modelId="{46DA1674-42A2-46B4-9EC1-EC5270D3C7A0}" type="sibTrans" cxnId="{2A03C044-64C0-48BA-BBBC-D5CD068DBA14}">
      <dgm:prSet/>
      <dgm:spPr/>
      <dgm:t>
        <a:bodyPr/>
        <a:lstStyle/>
        <a:p>
          <a:endParaRPr lang="hr-HR" sz="900"/>
        </a:p>
      </dgm:t>
    </dgm:pt>
    <dgm:pt modelId="{269AD7AD-A4B7-4791-A18C-ECCB1C372166}">
      <dgm:prSet custT="1"/>
      <dgm:spPr>
        <a:xfrm>
          <a:off x="2707406" y="1279223"/>
          <a:ext cx="1899836" cy="1899836"/>
        </a:xfrm>
        <a:solidFill>
          <a:sysClr val="window" lastClr="FFFFFF">
            <a:alpha val="50000"/>
            <a:hueOff val="0"/>
            <a:satOff val="0"/>
            <a:lumOff val="0"/>
            <a:alphaOff val="0"/>
          </a:sysClr>
        </a:solidFill>
        <a:ln w="12700" cap="flat" cmpd="sng" algn="ctr">
          <a:solidFill>
            <a:srgbClr val="4472C4"/>
          </a:solidFill>
          <a:prstDash val="solid"/>
          <a:miter lim="800000"/>
        </a:ln>
        <a:effectLst/>
      </dgm:spPr>
      <dgm:t>
        <a:bodyPr/>
        <a:lstStyle/>
        <a:p>
          <a:pPr rtl="0">
            <a:buNone/>
          </a:pPr>
          <a:r>
            <a:rPr lang="hr-HR" sz="900" b="1">
              <a:solidFill>
                <a:sysClr val="windowText" lastClr="000000">
                  <a:hueOff val="0"/>
                  <a:satOff val="0"/>
                  <a:lumOff val="0"/>
                  <a:alphaOff val="0"/>
                </a:sysClr>
              </a:solidFill>
              <a:latin typeface="Calibri" panose="020F0502020204030204"/>
              <a:ea typeface="+mn-ea"/>
              <a:cs typeface="+mn-cs"/>
            </a:rPr>
            <a:t>The World Bank Environmental and Social Policy for Investment Project Financing,</a:t>
          </a:r>
          <a:r>
            <a:rPr lang="hr-HR" sz="900">
              <a:solidFill>
                <a:sysClr val="windowText" lastClr="000000">
                  <a:hueOff val="0"/>
                  <a:satOff val="0"/>
                  <a:lumOff val="0"/>
                  <a:alphaOff val="0"/>
                </a:sysClr>
              </a:solidFill>
              <a:latin typeface="Calibri" panose="020F0502020204030204"/>
              <a:ea typeface="+mn-ea"/>
              <a:cs typeface="+mn-cs"/>
            </a:rPr>
            <a:t> which sets out the mandatory requirements that apply to the Bank</a:t>
          </a:r>
        </a:p>
      </dgm:t>
    </dgm:pt>
    <dgm:pt modelId="{DAB871C4-AB8D-44F3-8C2A-6AE3C8B5C4BF}" type="parTrans" cxnId="{A6696E79-47F2-42D8-A74B-5287DE399B5C}">
      <dgm:prSet/>
      <dgm:spPr/>
      <dgm:t>
        <a:bodyPr/>
        <a:lstStyle/>
        <a:p>
          <a:endParaRPr lang="hr-HR" sz="900"/>
        </a:p>
      </dgm:t>
    </dgm:pt>
    <dgm:pt modelId="{1B7C3B11-44BC-48AF-8F1F-F6CC81E6C563}" type="sibTrans" cxnId="{A6696E79-47F2-42D8-A74B-5287DE399B5C}">
      <dgm:prSet/>
      <dgm:spPr/>
      <dgm:t>
        <a:bodyPr/>
        <a:lstStyle/>
        <a:p>
          <a:endParaRPr lang="hr-HR" sz="900"/>
        </a:p>
      </dgm:t>
    </dgm:pt>
    <dgm:pt modelId="{16E15D27-074E-464B-9B7A-FE89B1F1D4CA}">
      <dgm:prSet custT="1"/>
      <dgm:spPr>
        <a:xfrm>
          <a:off x="1336357" y="1279223"/>
          <a:ext cx="1899836" cy="1899836"/>
        </a:xfrm>
        <a:solidFill>
          <a:sysClr val="window" lastClr="FFFFFF">
            <a:alpha val="50000"/>
            <a:hueOff val="0"/>
            <a:satOff val="0"/>
            <a:lumOff val="0"/>
            <a:alphaOff val="0"/>
          </a:sysClr>
        </a:solidFill>
        <a:ln w="12700" cap="flat" cmpd="sng" algn="ctr">
          <a:solidFill>
            <a:srgbClr val="008000"/>
          </a:solidFill>
          <a:prstDash val="solid"/>
          <a:miter lim="800000"/>
        </a:ln>
        <a:effectLst/>
      </dgm:spPr>
      <dgm:t>
        <a:bodyPr/>
        <a:lstStyle/>
        <a:p>
          <a:pPr rtl="0">
            <a:buNone/>
          </a:pPr>
          <a:r>
            <a:rPr lang="hr-HR" sz="900" b="0">
              <a:solidFill>
                <a:sysClr val="windowText" lastClr="000000">
                  <a:hueOff val="0"/>
                  <a:satOff val="0"/>
                  <a:lumOff val="0"/>
                  <a:alphaOff val="0"/>
                </a:sysClr>
              </a:solidFill>
              <a:latin typeface="Calibri" panose="020F0502020204030204"/>
              <a:ea typeface="+mn-ea"/>
              <a:cs typeface="+mn-cs"/>
            </a:rPr>
            <a:t>The</a:t>
          </a:r>
          <a:r>
            <a:rPr lang="hr-HR" sz="900" b="1">
              <a:solidFill>
                <a:sysClr val="windowText" lastClr="000000">
                  <a:hueOff val="0"/>
                  <a:satOff val="0"/>
                  <a:lumOff val="0"/>
                  <a:alphaOff val="0"/>
                </a:sysClr>
              </a:solidFill>
              <a:latin typeface="Calibri" panose="020F0502020204030204"/>
              <a:ea typeface="+mn-ea"/>
              <a:cs typeface="+mn-cs"/>
            </a:rPr>
            <a:t> Environmental and Social Standards,</a:t>
          </a:r>
          <a:r>
            <a:rPr lang="hr-HR" sz="900">
              <a:solidFill>
                <a:sysClr val="windowText" lastClr="000000">
                  <a:hueOff val="0"/>
                  <a:satOff val="0"/>
                  <a:lumOff val="0"/>
                  <a:alphaOff val="0"/>
                </a:sysClr>
              </a:solidFill>
              <a:latin typeface="Calibri" panose="020F0502020204030204"/>
              <a:ea typeface="+mn-ea"/>
              <a:cs typeface="+mn-cs"/>
            </a:rPr>
            <a:t> which set out the mandatory requirements that apply to the Borrower and projects</a:t>
          </a:r>
        </a:p>
      </dgm:t>
    </dgm:pt>
    <dgm:pt modelId="{838CAD5C-E33B-4D94-94C0-232B3B56E5B9}" type="parTrans" cxnId="{80160EBC-AD46-43CC-82A7-60B4ECC71CEE}">
      <dgm:prSet/>
      <dgm:spPr/>
      <dgm:t>
        <a:bodyPr/>
        <a:lstStyle/>
        <a:p>
          <a:endParaRPr lang="hr-HR" sz="900"/>
        </a:p>
      </dgm:t>
    </dgm:pt>
    <dgm:pt modelId="{71FD161B-4C92-429B-A8FB-079DA8BD3414}" type="sibTrans" cxnId="{80160EBC-AD46-43CC-82A7-60B4ECC71CEE}">
      <dgm:prSet/>
      <dgm:spPr/>
      <dgm:t>
        <a:bodyPr/>
        <a:lstStyle/>
        <a:p>
          <a:endParaRPr lang="hr-HR" sz="900"/>
        </a:p>
      </dgm:t>
    </dgm:pt>
    <dgm:pt modelId="{F27FAD91-486F-4285-AEB3-FC9354C00F58}" type="pres">
      <dgm:prSet presAssocID="{FF2EC03B-FAE2-4281-B621-36BF639D86D3}" presName="compositeShape" presStyleCnt="0">
        <dgm:presLayoutVars>
          <dgm:chMax val="7"/>
          <dgm:dir/>
          <dgm:resizeHandles val="exact"/>
        </dgm:presLayoutVars>
      </dgm:prSet>
      <dgm:spPr/>
    </dgm:pt>
    <dgm:pt modelId="{37C73198-7CA5-4861-9187-D8242923F164}" type="pres">
      <dgm:prSet presAssocID="{DBE8DF86-34EF-4E1D-B770-9C4222484DCE}" presName="circ1" presStyleLbl="vennNode1" presStyleIdx="0" presStyleCnt="3"/>
      <dgm:spPr>
        <a:prstGeom prst="ellipse">
          <a:avLst/>
        </a:prstGeom>
      </dgm:spPr>
    </dgm:pt>
    <dgm:pt modelId="{24C81F5C-0A88-4206-AB1E-BB6D51C07D55}" type="pres">
      <dgm:prSet presAssocID="{DBE8DF86-34EF-4E1D-B770-9C4222484DCE}" presName="circ1Tx" presStyleLbl="revTx" presStyleIdx="0" presStyleCnt="0">
        <dgm:presLayoutVars>
          <dgm:chMax val="0"/>
          <dgm:chPref val="0"/>
          <dgm:bulletEnabled val="1"/>
        </dgm:presLayoutVars>
      </dgm:prSet>
      <dgm:spPr/>
    </dgm:pt>
    <dgm:pt modelId="{5314F082-1DD6-427E-B574-34927F00AE08}" type="pres">
      <dgm:prSet presAssocID="{269AD7AD-A4B7-4791-A18C-ECCB1C372166}" presName="circ2" presStyleLbl="vennNode1" presStyleIdx="1" presStyleCnt="3"/>
      <dgm:spPr>
        <a:prstGeom prst="ellipse">
          <a:avLst/>
        </a:prstGeom>
      </dgm:spPr>
    </dgm:pt>
    <dgm:pt modelId="{7F214E5E-681B-48AD-8174-44951B500365}" type="pres">
      <dgm:prSet presAssocID="{269AD7AD-A4B7-4791-A18C-ECCB1C372166}" presName="circ2Tx" presStyleLbl="revTx" presStyleIdx="0" presStyleCnt="0">
        <dgm:presLayoutVars>
          <dgm:chMax val="0"/>
          <dgm:chPref val="0"/>
          <dgm:bulletEnabled val="1"/>
        </dgm:presLayoutVars>
      </dgm:prSet>
      <dgm:spPr/>
    </dgm:pt>
    <dgm:pt modelId="{3A05D180-2E4B-4DAF-9896-2CFC9E500AE8}" type="pres">
      <dgm:prSet presAssocID="{16E15D27-074E-464B-9B7A-FE89B1F1D4CA}" presName="circ3" presStyleLbl="vennNode1" presStyleIdx="2" presStyleCnt="3"/>
      <dgm:spPr>
        <a:prstGeom prst="ellipse">
          <a:avLst/>
        </a:prstGeom>
      </dgm:spPr>
    </dgm:pt>
    <dgm:pt modelId="{764CD304-0243-433B-B205-E05E71A0A5D7}" type="pres">
      <dgm:prSet presAssocID="{16E15D27-074E-464B-9B7A-FE89B1F1D4CA}" presName="circ3Tx" presStyleLbl="revTx" presStyleIdx="0" presStyleCnt="0">
        <dgm:presLayoutVars>
          <dgm:chMax val="0"/>
          <dgm:chPref val="0"/>
          <dgm:bulletEnabled val="1"/>
        </dgm:presLayoutVars>
      </dgm:prSet>
      <dgm:spPr/>
    </dgm:pt>
  </dgm:ptLst>
  <dgm:cxnLst>
    <dgm:cxn modelId="{295AE51F-83FC-4C85-A551-F1B88E9C9254}" type="presOf" srcId="{DBE8DF86-34EF-4E1D-B770-9C4222484DCE}" destId="{24C81F5C-0A88-4206-AB1E-BB6D51C07D55}" srcOrd="1" destOrd="0" presId="urn:microsoft.com/office/officeart/2005/8/layout/venn1"/>
    <dgm:cxn modelId="{2A03C044-64C0-48BA-BBBC-D5CD068DBA14}" srcId="{FF2EC03B-FAE2-4281-B621-36BF639D86D3}" destId="{DBE8DF86-34EF-4E1D-B770-9C4222484DCE}" srcOrd="0" destOrd="0" parTransId="{75D1EFC9-6D64-4DEB-89F4-755DD0B9500F}" sibTransId="{46DA1674-42A2-46B4-9EC1-EC5270D3C7A0}"/>
    <dgm:cxn modelId="{778C1E55-ACB3-4D0C-AB5E-163765540570}" type="presOf" srcId="{FF2EC03B-FAE2-4281-B621-36BF639D86D3}" destId="{F27FAD91-486F-4285-AEB3-FC9354C00F58}" srcOrd="0" destOrd="0" presId="urn:microsoft.com/office/officeart/2005/8/layout/venn1"/>
    <dgm:cxn modelId="{A6696E79-47F2-42D8-A74B-5287DE399B5C}" srcId="{FF2EC03B-FAE2-4281-B621-36BF639D86D3}" destId="{269AD7AD-A4B7-4791-A18C-ECCB1C372166}" srcOrd="1" destOrd="0" parTransId="{DAB871C4-AB8D-44F3-8C2A-6AE3C8B5C4BF}" sibTransId="{1B7C3B11-44BC-48AF-8F1F-F6CC81E6C563}"/>
    <dgm:cxn modelId="{D002F7A1-542F-4863-B1AC-057A64A1E7DB}" type="presOf" srcId="{269AD7AD-A4B7-4791-A18C-ECCB1C372166}" destId="{5314F082-1DD6-427E-B574-34927F00AE08}" srcOrd="0" destOrd="0" presId="urn:microsoft.com/office/officeart/2005/8/layout/venn1"/>
    <dgm:cxn modelId="{59B597B6-3EA6-4E0E-953C-C3EE569AA1F3}" type="presOf" srcId="{16E15D27-074E-464B-9B7A-FE89B1F1D4CA}" destId="{3A05D180-2E4B-4DAF-9896-2CFC9E500AE8}" srcOrd="0" destOrd="0" presId="urn:microsoft.com/office/officeart/2005/8/layout/venn1"/>
    <dgm:cxn modelId="{80160EBC-AD46-43CC-82A7-60B4ECC71CEE}" srcId="{FF2EC03B-FAE2-4281-B621-36BF639D86D3}" destId="{16E15D27-074E-464B-9B7A-FE89B1F1D4CA}" srcOrd="2" destOrd="0" parTransId="{838CAD5C-E33B-4D94-94C0-232B3B56E5B9}" sibTransId="{71FD161B-4C92-429B-A8FB-079DA8BD3414}"/>
    <dgm:cxn modelId="{405587BF-F3AF-4A8C-B90D-85D29193CCDB}" type="presOf" srcId="{16E15D27-074E-464B-9B7A-FE89B1F1D4CA}" destId="{764CD304-0243-433B-B205-E05E71A0A5D7}" srcOrd="1" destOrd="0" presId="urn:microsoft.com/office/officeart/2005/8/layout/venn1"/>
    <dgm:cxn modelId="{BBF184CB-6E4C-4B8A-AE0F-8B50E3E59FA3}" type="presOf" srcId="{269AD7AD-A4B7-4791-A18C-ECCB1C372166}" destId="{7F214E5E-681B-48AD-8174-44951B500365}" srcOrd="1" destOrd="0" presId="urn:microsoft.com/office/officeart/2005/8/layout/venn1"/>
    <dgm:cxn modelId="{FB14CFE1-96CA-4637-B58E-DCAB44142D5B}" type="presOf" srcId="{DBE8DF86-34EF-4E1D-B770-9C4222484DCE}" destId="{37C73198-7CA5-4861-9187-D8242923F164}" srcOrd="0" destOrd="0" presId="urn:microsoft.com/office/officeart/2005/8/layout/venn1"/>
    <dgm:cxn modelId="{722B2478-3F6C-4B88-A0F7-9D4FABF755C2}" type="presParOf" srcId="{F27FAD91-486F-4285-AEB3-FC9354C00F58}" destId="{37C73198-7CA5-4861-9187-D8242923F164}" srcOrd="0" destOrd="0" presId="urn:microsoft.com/office/officeart/2005/8/layout/venn1"/>
    <dgm:cxn modelId="{AC7D54F3-845D-4EF2-93E7-F712F9D49275}" type="presParOf" srcId="{F27FAD91-486F-4285-AEB3-FC9354C00F58}" destId="{24C81F5C-0A88-4206-AB1E-BB6D51C07D55}" srcOrd="1" destOrd="0" presId="urn:microsoft.com/office/officeart/2005/8/layout/venn1"/>
    <dgm:cxn modelId="{ACAAEB25-F1CE-40F7-A043-AA2732C6C12A}" type="presParOf" srcId="{F27FAD91-486F-4285-AEB3-FC9354C00F58}" destId="{5314F082-1DD6-427E-B574-34927F00AE08}" srcOrd="2" destOrd="0" presId="urn:microsoft.com/office/officeart/2005/8/layout/venn1"/>
    <dgm:cxn modelId="{C97CEF0E-B426-4301-8C43-6EA5CCA2126A}" type="presParOf" srcId="{F27FAD91-486F-4285-AEB3-FC9354C00F58}" destId="{7F214E5E-681B-48AD-8174-44951B500365}" srcOrd="3" destOrd="0" presId="urn:microsoft.com/office/officeart/2005/8/layout/venn1"/>
    <dgm:cxn modelId="{B4A6BB62-4063-4DC2-BC6A-F6F56C83335A}" type="presParOf" srcId="{F27FAD91-486F-4285-AEB3-FC9354C00F58}" destId="{3A05D180-2E4B-4DAF-9896-2CFC9E500AE8}" srcOrd="4" destOrd="0" presId="urn:microsoft.com/office/officeart/2005/8/layout/venn1"/>
    <dgm:cxn modelId="{934C497F-6862-4D55-AEC8-7DAE01BC7FB1}" type="presParOf" srcId="{F27FAD91-486F-4285-AEB3-FC9354C00F58}" destId="{764CD304-0243-433B-B205-E05E71A0A5D7}" srcOrd="5" destOrd="0" presId="urn:microsoft.com/office/officeart/2005/8/layout/venn1"/>
  </dgm:cxnLst>
  <dgm:bg/>
  <dgm:whole/>
  <dgm:extLst>
    <a:ext uri="http://schemas.microsoft.com/office/drawing/2008/diagram">
      <dsp:dataModelExt xmlns:dsp="http://schemas.microsoft.com/office/drawing/2008/diagram" relId="rId3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23FA7F58-34AB-4590-A2C0-4796D49F9A9F}" type="doc">
      <dgm:prSet loTypeId="urn:microsoft.com/office/officeart/2005/8/layout/vList5" loCatId="list" qsTypeId="urn:microsoft.com/office/officeart/2005/8/quickstyle/simple1" qsCatId="simple" csTypeId="urn:microsoft.com/office/officeart/2005/8/colors/accent0_2" csCatId="mainScheme" phldr="1"/>
      <dgm:spPr/>
      <dgm:t>
        <a:bodyPr/>
        <a:lstStyle/>
        <a:p>
          <a:endParaRPr lang="hr-HR"/>
        </a:p>
      </dgm:t>
    </dgm:pt>
    <dgm:pt modelId="{0656469D-8AE0-4431-9B0E-430C8D14F168}">
      <dgm:prSet phldrT="[Text]" custT="1"/>
      <dgm:spPr>
        <a:xfrm>
          <a:off x="66936" y="21254"/>
          <a:ext cx="2008274" cy="379654"/>
        </a:xfrm>
        <a:solidFill>
          <a:sysClr val="window" lastClr="FFFFFF">
            <a:hueOff val="0"/>
            <a:satOff val="0"/>
            <a:lumOff val="0"/>
            <a:alphaOff val="0"/>
          </a:sysClr>
        </a:solidFill>
        <a:ln w="19050" cap="flat" cmpd="sng" algn="ctr">
          <a:solidFill>
            <a:srgbClr val="008000"/>
          </a:solidFill>
          <a:prstDash val="sysDot"/>
          <a:miter lim="800000"/>
        </a:ln>
        <a:effectLst/>
      </dgm:spPr>
      <dgm:t>
        <a:bodyPr/>
        <a:lstStyle/>
        <a:p>
          <a:pPr>
            <a:buNone/>
          </a:pPr>
          <a:r>
            <a:rPr lang="hr-HR" sz="1000">
              <a:solidFill>
                <a:sysClr val="windowText" lastClr="000000"/>
              </a:solidFill>
              <a:latin typeface="Calibri"/>
              <a:ea typeface="+mn-ea"/>
              <a:cs typeface="+mn-cs"/>
            </a:rPr>
            <a:t>Environmental &amp; Social Standard 1</a:t>
          </a:r>
        </a:p>
      </dgm:t>
    </dgm:pt>
    <dgm:pt modelId="{19EFFC5D-1609-40EA-A43C-8A0C6C0C7D47}" type="parTrans" cxnId="{4BE7A6CF-B728-46DB-BAA8-4DA5D443970B}">
      <dgm:prSet/>
      <dgm:spPr/>
      <dgm:t>
        <a:bodyPr/>
        <a:lstStyle/>
        <a:p>
          <a:endParaRPr lang="hr-HR" sz="1000"/>
        </a:p>
      </dgm:t>
    </dgm:pt>
    <dgm:pt modelId="{791F05C0-3545-4499-8A7E-29ADD284BD14}" type="sibTrans" cxnId="{4BE7A6CF-B728-46DB-BAA8-4DA5D443970B}">
      <dgm:prSet/>
      <dgm:spPr/>
      <dgm:t>
        <a:bodyPr/>
        <a:lstStyle/>
        <a:p>
          <a:endParaRPr lang="hr-HR" sz="1000"/>
        </a:p>
      </dgm:t>
    </dgm:pt>
    <dgm:pt modelId="{01BD2BD4-9422-4134-A809-94E6A035FD95}">
      <dgm:prSet phldrT="[Text]" custT="1"/>
      <dgm:spPr>
        <a:xfrm>
          <a:off x="66936" y="469334"/>
          <a:ext cx="2012223" cy="376048"/>
        </a:xfrm>
        <a:solidFill>
          <a:sysClr val="window" lastClr="FFFFFF">
            <a:hueOff val="0"/>
            <a:satOff val="0"/>
            <a:lumOff val="0"/>
            <a:alphaOff val="0"/>
          </a:sysClr>
        </a:solidFill>
        <a:ln w="19050" cap="flat" cmpd="sng" algn="ctr">
          <a:solidFill>
            <a:srgbClr val="008000"/>
          </a:solidFill>
          <a:prstDash val="sysDot"/>
          <a:miter lim="800000"/>
        </a:ln>
        <a:effectLst/>
      </dgm:spPr>
      <dgm:t>
        <a:bodyPr/>
        <a:lstStyle/>
        <a:p>
          <a:pPr>
            <a:buNone/>
          </a:pPr>
          <a:r>
            <a:rPr lang="hr-HR" sz="1000">
              <a:solidFill>
                <a:sysClr val="windowText" lastClr="000000"/>
              </a:solidFill>
              <a:latin typeface="Calibri"/>
              <a:ea typeface="+mn-ea"/>
              <a:cs typeface="+mn-cs"/>
            </a:rPr>
            <a:t>Environmental &amp; Social Standard 2</a:t>
          </a:r>
        </a:p>
      </dgm:t>
    </dgm:pt>
    <dgm:pt modelId="{CAC401F8-EE46-499D-9878-7A0B623DF1F2}" type="parTrans" cxnId="{DE3136A1-0EC1-42DF-8C4F-0CD0E674179D}">
      <dgm:prSet/>
      <dgm:spPr/>
      <dgm:t>
        <a:bodyPr/>
        <a:lstStyle/>
        <a:p>
          <a:endParaRPr lang="hr-HR" sz="1000"/>
        </a:p>
      </dgm:t>
    </dgm:pt>
    <dgm:pt modelId="{CE9E490B-D02E-4AC6-B371-6C8D5BF020AA}" type="sibTrans" cxnId="{DE3136A1-0EC1-42DF-8C4F-0CD0E674179D}">
      <dgm:prSet/>
      <dgm:spPr/>
      <dgm:t>
        <a:bodyPr/>
        <a:lstStyle/>
        <a:p>
          <a:endParaRPr lang="hr-HR" sz="1000"/>
        </a:p>
      </dgm:t>
    </dgm:pt>
    <dgm:pt modelId="{BFC944DF-419E-447C-A560-E5AA1D547CD7}">
      <dgm:prSet phldrT="[Text]" custT="1"/>
      <dgm:spPr>
        <a:xfrm>
          <a:off x="66936" y="915610"/>
          <a:ext cx="2012223" cy="376048"/>
        </a:xfrm>
        <a:solidFill>
          <a:sysClr val="window" lastClr="FFFFFF">
            <a:hueOff val="0"/>
            <a:satOff val="0"/>
            <a:lumOff val="0"/>
            <a:alphaOff val="0"/>
          </a:sysClr>
        </a:solidFill>
        <a:ln w="19050" cap="flat" cmpd="sng" algn="ctr">
          <a:solidFill>
            <a:srgbClr val="008000"/>
          </a:solidFill>
          <a:prstDash val="sysDot"/>
          <a:miter lim="800000"/>
        </a:ln>
        <a:effectLst/>
      </dgm:spPr>
      <dgm:t>
        <a:bodyPr/>
        <a:lstStyle/>
        <a:p>
          <a:pPr>
            <a:buNone/>
          </a:pPr>
          <a:r>
            <a:rPr lang="hr-HR" sz="1000">
              <a:solidFill>
                <a:sysClr val="windowText" lastClr="000000"/>
              </a:solidFill>
              <a:latin typeface="Calibri"/>
              <a:ea typeface="+mn-ea"/>
              <a:cs typeface="+mn-cs"/>
            </a:rPr>
            <a:t>Environmental &amp; Social Standard 3</a:t>
          </a:r>
        </a:p>
      </dgm:t>
    </dgm:pt>
    <dgm:pt modelId="{A979BE4A-1F46-46DD-87FF-7190A549D49B}" type="parTrans" cxnId="{1E0CF41C-2C3D-422D-B04F-F8E8FC791A6A}">
      <dgm:prSet/>
      <dgm:spPr/>
      <dgm:t>
        <a:bodyPr/>
        <a:lstStyle/>
        <a:p>
          <a:endParaRPr lang="hr-HR" sz="1000"/>
        </a:p>
      </dgm:t>
    </dgm:pt>
    <dgm:pt modelId="{FE8B9DD6-FAA3-4F48-881A-85968827A8F6}" type="sibTrans" cxnId="{1E0CF41C-2C3D-422D-B04F-F8E8FC791A6A}">
      <dgm:prSet/>
      <dgm:spPr/>
      <dgm:t>
        <a:bodyPr/>
        <a:lstStyle/>
        <a:p>
          <a:endParaRPr lang="hr-HR" sz="1000"/>
        </a:p>
      </dgm:t>
    </dgm:pt>
    <dgm:pt modelId="{32280207-1A3A-4871-96F6-FF78CF5F97E5}">
      <dgm:prSet custT="1"/>
      <dgm:spPr>
        <a:xfrm rot="5400000">
          <a:off x="3843726" y="-1697629"/>
          <a:ext cx="420024" cy="3815283"/>
        </a:xfrm>
        <a:solidFill>
          <a:sysClr val="window" lastClr="FFFFFF">
            <a:alpha val="90000"/>
            <a:tint val="40000"/>
            <a:hueOff val="0"/>
            <a:satOff val="0"/>
            <a:lumOff val="0"/>
            <a:alphaOff val="0"/>
          </a:sysClr>
        </a:solidFill>
        <a:ln w="12700" cap="rnd" cmpd="sng" algn="ctr">
          <a:solidFill>
            <a:srgbClr val="1F497D"/>
          </a:solidFill>
          <a:prstDash val="solid"/>
          <a:miter lim="800000"/>
        </a:ln>
        <a:effectLst/>
      </dgm:spPr>
      <dgm:t>
        <a:bodyPr/>
        <a:lstStyle/>
        <a:p>
          <a:pPr>
            <a:buChar char="•"/>
          </a:pPr>
          <a:r>
            <a:rPr lang="hr-HR" sz="1000">
              <a:solidFill>
                <a:sysClr val="windowText" lastClr="000000"/>
              </a:solidFill>
              <a:latin typeface="Calibri"/>
              <a:ea typeface="+mn-ea"/>
              <a:cs typeface="+mn-cs"/>
            </a:rPr>
            <a:t> Assessment and Management of Environmental and Social Risks and Impacts</a:t>
          </a:r>
        </a:p>
      </dgm:t>
    </dgm:pt>
    <dgm:pt modelId="{4AA61993-9007-4A7C-B597-DBA60132BD9E}" type="parTrans" cxnId="{D6087920-C5C2-4099-902B-E05C148CEE35}">
      <dgm:prSet/>
      <dgm:spPr/>
      <dgm:t>
        <a:bodyPr/>
        <a:lstStyle/>
        <a:p>
          <a:endParaRPr lang="hr-HR" sz="1000"/>
        </a:p>
      </dgm:t>
    </dgm:pt>
    <dgm:pt modelId="{6F48571D-E078-4760-ACDA-40D5AE682F53}" type="sibTrans" cxnId="{D6087920-C5C2-4099-902B-E05C148CEE35}">
      <dgm:prSet/>
      <dgm:spPr/>
      <dgm:t>
        <a:bodyPr/>
        <a:lstStyle/>
        <a:p>
          <a:endParaRPr lang="hr-HR" sz="1000"/>
        </a:p>
      </dgm:t>
    </dgm:pt>
    <dgm:pt modelId="{935074B3-6E61-434A-A489-BF804EEFB1FF}">
      <dgm:prSet custT="1"/>
      <dgm:spPr>
        <a:xfrm>
          <a:off x="66936" y="1361886"/>
          <a:ext cx="2012223" cy="376048"/>
        </a:xfrm>
        <a:solidFill>
          <a:sysClr val="window" lastClr="FFFFFF">
            <a:hueOff val="0"/>
            <a:satOff val="0"/>
            <a:lumOff val="0"/>
            <a:alphaOff val="0"/>
          </a:sysClr>
        </a:solidFill>
        <a:ln w="19050" cap="flat" cmpd="sng" algn="ctr">
          <a:solidFill>
            <a:srgbClr val="008000"/>
          </a:solidFill>
          <a:prstDash val="sysDot"/>
          <a:miter lim="800000"/>
        </a:ln>
        <a:effectLst/>
      </dgm:spPr>
      <dgm:t>
        <a:bodyPr/>
        <a:lstStyle/>
        <a:p>
          <a:pPr>
            <a:buNone/>
          </a:pPr>
          <a:r>
            <a:rPr lang="hr-HR" sz="1000">
              <a:solidFill>
                <a:sysClr val="windowText" lastClr="000000"/>
              </a:solidFill>
              <a:latin typeface="Calibri"/>
              <a:ea typeface="+mn-ea"/>
              <a:cs typeface="+mn-cs"/>
            </a:rPr>
            <a:t>Environmental &amp; Social Standard 4</a:t>
          </a:r>
        </a:p>
      </dgm:t>
    </dgm:pt>
    <dgm:pt modelId="{905F4983-F9E5-49F0-B1EC-E2C45F8FC7D6}" type="parTrans" cxnId="{8B0AB703-2FDA-4F31-8A1C-ADA50A824094}">
      <dgm:prSet/>
      <dgm:spPr/>
      <dgm:t>
        <a:bodyPr/>
        <a:lstStyle/>
        <a:p>
          <a:endParaRPr lang="hr-HR" sz="1000"/>
        </a:p>
      </dgm:t>
    </dgm:pt>
    <dgm:pt modelId="{BE282C22-5976-4B40-B986-209C30F64BC5}" type="sibTrans" cxnId="{8B0AB703-2FDA-4F31-8A1C-ADA50A824094}">
      <dgm:prSet/>
      <dgm:spPr/>
      <dgm:t>
        <a:bodyPr/>
        <a:lstStyle/>
        <a:p>
          <a:endParaRPr lang="hr-HR" sz="1000"/>
        </a:p>
      </dgm:t>
    </dgm:pt>
    <dgm:pt modelId="{8CFD223A-FDE0-407A-83EC-1027A55709E6}">
      <dgm:prSet custT="1"/>
      <dgm:spPr>
        <a:xfrm>
          <a:off x="66936" y="1808162"/>
          <a:ext cx="2012223" cy="376048"/>
        </a:xfrm>
        <a:solidFill>
          <a:sysClr val="window" lastClr="FFFFFF">
            <a:hueOff val="0"/>
            <a:satOff val="0"/>
            <a:lumOff val="0"/>
            <a:alphaOff val="0"/>
          </a:sysClr>
        </a:solidFill>
        <a:ln w="19050" cap="flat" cmpd="sng" algn="ctr">
          <a:solidFill>
            <a:srgbClr val="008000"/>
          </a:solidFill>
          <a:prstDash val="sysDot"/>
          <a:miter lim="800000"/>
        </a:ln>
        <a:effectLst/>
      </dgm:spPr>
      <dgm:t>
        <a:bodyPr/>
        <a:lstStyle/>
        <a:p>
          <a:pPr>
            <a:buNone/>
          </a:pPr>
          <a:r>
            <a:rPr lang="hr-HR" sz="1000">
              <a:solidFill>
                <a:sysClr val="windowText" lastClr="000000"/>
              </a:solidFill>
              <a:latin typeface="Calibri"/>
              <a:ea typeface="+mn-ea"/>
              <a:cs typeface="+mn-cs"/>
            </a:rPr>
            <a:t>Environmental &amp; Social Standard 5</a:t>
          </a:r>
        </a:p>
      </dgm:t>
    </dgm:pt>
    <dgm:pt modelId="{1486EED0-5FFE-4377-8002-B1857048E2C0}" type="parTrans" cxnId="{35387F40-44A4-4CA7-AF4E-3C739AE6611C}">
      <dgm:prSet/>
      <dgm:spPr/>
      <dgm:t>
        <a:bodyPr/>
        <a:lstStyle/>
        <a:p>
          <a:endParaRPr lang="hr-HR" sz="1000"/>
        </a:p>
      </dgm:t>
    </dgm:pt>
    <dgm:pt modelId="{53B4F4C7-48E7-4F1F-A32D-BE0F2A0189C8}" type="sibTrans" cxnId="{35387F40-44A4-4CA7-AF4E-3C739AE6611C}">
      <dgm:prSet/>
      <dgm:spPr/>
      <dgm:t>
        <a:bodyPr/>
        <a:lstStyle/>
        <a:p>
          <a:endParaRPr lang="hr-HR" sz="1000"/>
        </a:p>
      </dgm:t>
    </dgm:pt>
    <dgm:pt modelId="{F61E939F-4573-43C2-9932-9B25983BEB8E}">
      <dgm:prSet custT="1"/>
      <dgm:spPr>
        <a:xfrm>
          <a:off x="66936" y="2254439"/>
          <a:ext cx="2012223" cy="376048"/>
        </a:xfrm>
        <a:solidFill>
          <a:sysClr val="window" lastClr="FFFFFF">
            <a:hueOff val="0"/>
            <a:satOff val="0"/>
            <a:lumOff val="0"/>
            <a:alphaOff val="0"/>
          </a:sysClr>
        </a:solidFill>
        <a:ln w="19050" cap="flat" cmpd="sng" algn="ctr">
          <a:solidFill>
            <a:srgbClr val="008000"/>
          </a:solidFill>
          <a:prstDash val="sysDot"/>
          <a:miter lim="800000"/>
        </a:ln>
        <a:effectLst/>
      </dgm:spPr>
      <dgm:t>
        <a:bodyPr/>
        <a:lstStyle/>
        <a:p>
          <a:pPr>
            <a:buNone/>
          </a:pPr>
          <a:r>
            <a:rPr lang="hr-HR" sz="1000">
              <a:solidFill>
                <a:sysClr val="windowText" lastClr="000000"/>
              </a:solidFill>
              <a:latin typeface="Calibri"/>
              <a:ea typeface="+mn-ea"/>
              <a:cs typeface="+mn-cs"/>
            </a:rPr>
            <a:t>Environmental &amp; Social Standard 6</a:t>
          </a:r>
        </a:p>
      </dgm:t>
    </dgm:pt>
    <dgm:pt modelId="{26B80455-530E-41F3-9835-5E935CD43691}" type="parTrans" cxnId="{B0955892-8330-42A4-8E9E-3A28988D7F57}">
      <dgm:prSet/>
      <dgm:spPr/>
      <dgm:t>
        <a:bodyPr/>
        <a:lstStyle/>
        <a:p>
          <a:endParaRPr lang="hr-HR" sz="1000"/>
        </a:p>
      </dgm:t>
    </dgm:pt>
    <dgm:pt modelId="{382A94C1-B9B7-4672-849D-27E3EC389991}" type="sibTrans" cxnId="{B0955892-8330-42A4-8E9E-3A28988D7F57}">
      <dgm:prSet/>
      <dgm:spPr/>
      <dgm:t>
        <a:bodyPr/>
        <a:lstStyle/>
        <a:p>
          <a:endParaRPr lang="hr-HR" sz="1000"/>
        </a:p>
      </dgm:t>
    </dgm:pt>
    <dgm:pt modelId="{2922D74D-DE5E-41E7-BFFA-EE7D72C77DA8}">
      <dgm:prSet custT="1"/>
      <dgm:spPr>
        <a:xfrm>
          <a:off x="66936" y="2700715"/>
          <a:ext cx="2012223" cy="376048"/>
        </a:xfrm>
        <a:solidFill>
          <a:sysClr val="window" lastClr="FFFFFF">
            <a:hueOff val="0"/>
            <a:satOff val="0"/>
            <a:lumOff val="0"/>
            <a:alphaOff val="0"/>
          </a:sysClr>
        </a:solidFill>
        <a:ln w="19050" cap="flat" cmpd="sng" algn="ctr">
          <a:solidFill>
            <a:srgbClr val="008000"/>
          </a:solidFill>
          <a:prstDash val="sysDot"/>
          <a:miter lim="800000"/>
        </a:ln>
        <a:effectLst/>
      </dgm:spPr>
      <dgm:t>
        <a:bodyPr/>
        <a:lstStyle/>
        <a:p>
          <a:pPr>
            <a:buNone/>
          </a:pPr>
          <a:r>
            <a:rPr lang="hr-HR" sz="1000">
              <a:solidFill>
                <a:sysClr val="windowText" lastClr="000000"/>
              </a:solidFill>
              <a:latin typeface="Calibri"/>
              <a:ea typeface="+mn-ea"/>
              <a:cs typeface="+mn-cs"/>
            </a:rPr>
            <a:t>Environmental &amp; Social Standard 7</a:t>
          </a:r>
        </a:p>
      </dgm:t>
    </dgm:pt>
    <dgm:pt modelId="{13216F6C-45BD-4940-A41B-6B6ABD0316A2}" type="parTrans" cxnId="{DE4EAF2B-2EB6-444B-8522-8763913FB941}">
      <dgm:prSet/>
      <dgm:spPr/>
      <dgm:t>
        <a:bodyPr/>
        <a:lstStyle/>
        <a:p>
          <a:endParaRPr lang="hr-HR" sz="1000"/>
        </a:p>
      </dgm:t>
    </dgm:pt>
    <dgm:pt modelId="{0AEE0CA5-DAB0-4359-AA4B-9B619530091D}" type="sibTrans" cxnId="{DE4EAF2B-2EB6-444B-8522-8763913FB941}">
      <dgm:prSet/>
      <dgm:spPr/>
      <dgm:t>
        <a:bodyPr/>
        <a:lstStyle/>
        <a:p>
          <a:endParaRPr lang="hr-HR" sz="1000"/>
        </a:p>
      </dgm:t>
    </dgm:pt>
    <dgm:pt modelId="{C01D8580-F64A-428A-A08A-68B2A1D7564D}">
      <dgm:prSet custT="1"/>
      <dgm:spPr>
        <a:xfrm>
          <a:off x="66936" y="3146991"/>
          <a:ext cx="2012223" cy="376048"/>
        </a:xfrm>
        <a:solidFill>
          <a:sysClr val="window" lastClr="FFFFFF">
            <a:hueOff val="0"/>
            <a:satOff val="0"/>
            <a:lumOff val="0"/>
            <a:alphaOff val="0"/>
          </a:sysClr>
        </a:solidFill>
        <a:ln w="19050" cap="flat" cmpd="sng" algn="ctr">
          <a:solidFill>
            <a:srgbClr val="008000"/>
          </a:solidFill>
          <a:prstDash val="sysDot"/>
          <a:miter lim="800000"/>
        </a:ln>
        <a:effectLst/>
      </dgm:spPr>
      <dgm:t>
        <a:bodyPr/>
        <a:lstStyle/>
        <a:p>
          <a:pPr>
            <a:buNone/>
          </a:pPr>
          <a:r>
            <a:rPr lang="hr-HR" sz="1000">
              <a:solidFill>
                <a:sysClr val="windowText" lastClr="000000"/>
              </a:solidFill>
              <a:latin typeface="Calibri"/>
              <a:ea typeface="+mn-ea"/>
              <a:cs typeface="+mn-cs"/>
            </a:rPr>
            <a:t>Environmental &amp; Social Standard 8</a:t>
          </a:r>
        </a:p>
      </dgm:t>
    </dgm:pt>
    <dgm:pt modelId="{7BB46279-E5E9-4EC8-B233-0628C09E6CD8}" type="parTrans" cxnId="{B3B61030-8768-4834-92FC-F7C6D2A8E99E}">
      <dgm:prSet/>
      <dgm:spPr/>
      <dgm:t>
        <a:bodyPr/>
        <a:lstStyle/>
        <a:p>
          <a:endParaRPr lang="hr-HR" sz="1000"/>
        </a:p>
      </dgm:t>
    </dgm:pt>
    <dgm:pt modelId="{57CBBA83-B6C9-4F90-BFBF-46B6C9AC6CF3}" type="sibTrans" cxnId="{B3B61030-8768-4834-92FC-F7C6D2A8E99E}">
      <dgm:prSet/>
      <dgm:spPr/>
      <dgm:t>
        <a:bodyPr/>
        <a:lstStyle/>
        <a:p>
          <a:endParaRPr lang="hr-HR" sz="1000"/>
        </a:p>
      </dgm:t>
    </dgm:pt>
    <dgm:pt modelId="{82238ECA-90BE-4817-8DE8-A732C6C73A47}">
      <dgm:prSet custT="1"/>
      <dgm:spPr>
        <a:xfrm>
          <a:off x="66936" y="3593267"/>
          <a:ext cx="2012223" cy="376048"/>
        </a:xfrm>
        <a:solidFill>
          <a:sysClr val="window" lastClr="FFFFFF">
            <a:hueOff val="0"/>
            <a:satOff val="0"/>
            <a:lumOff val="0"/>
            <a:alphaOff val="0"/>
          </a:sysClr>
        </a:solidFill>
        <a:ln w="19050" cap="flat" cmpd="sng" algn="ctr">
          <a:solidFill>
            <a:srgbClr val="008000"/>
          </a:solidFill>
          <a:prstDash val="sysDot"/>
          <a:miter lim="800000"/>
        </a:ln>
        <a:effectLst/>
      </dgm:spPr>
      <dgm:t>
        <a:bodyPr/>
        <a:lstStyle/>
        <a:p>
          <a:pPr>
            <a:buNone/>
          </a:pPr>
          <a:r>
            <a:rPr lang="hr-HR" sz="1000">
              <a:solidFill>
                <a:sysClr val="windowText" lastClr="000000"/>
              </a:solidFill>
              <a:latin typeface="Calibri"/>
              <a:ea typeface="+mn-ea"/>
              <a:cs typeface="+mn-cs"/>
            </a:rPr>
            <a:t>Environmental &amp; Social Standard 9</a:t>
          </a:r>
        </a:p>
      </dgm:t>
    </dgm:pt>
    <dgm:pt modelId="{E6CCE7D1-5EB7-4A89-98C1-A902EDDC1377}" type="parTrans" cxnId="{565C3950-42F9-41E9-8BB2-3B8923EFED27}">
      <dgm:prSet/>
      <dgm:spPr/>
      <dgm:t>
        <a:bodyPr/>
        <a:lstStyle/>
        <a:p>
          <a:endParaRPr lang="hr-HR" sz="1000"/>
        </a:p>
      </dgm:t>
    </dgm:pt>
    <dgm:pt modelId="{22EA27AA-9A6F-482D-939D-D7E33EBAF62F}" type="sibTrans" cxnId="{565C3950-42F9-41E9-8BB2-3B8923EFED27}">
      <dgm:prSet/>
      <dgm:spPr/>
      <dgm:t>
        <a:bodyPr/>
        <a:lstStyle/>
        <a:p>
          <a:endParaRPr lang="hr-HR" sz="1000"/>
        </a:p>
      </dgm:t>
    </dgm:pt>
    <dgm:pt modelId="{86D8318E-E947-4A6E-9885-B292BF8F82CA}">
      <dgm:prSet custT="1"/>
      <dgm:spPr>
        <a:xfrm>
          <a:off x="66936" y="4039543"/>
          <a:ext cx="2012223" cy="376048"/>
        </a:xfrm>
        <a:solidFill>
          <a:sysClr val="window" lastClr="FFFFFF">
            <a:hueOff val="0"/>
            <a:satOff val="0"/>
            <a:lumOff val="0"/>
            <a:alphaOff val="0"/>
          </a:sysClr>
        </a:solidFill>
        <a:ln w="19050" cap="flat" cmpd="sng" algn="ctr">
          <a:solidFill>
            <a:srgbClr val="008000"/>
          </a:solidFill>
          <a:prstDash val="sysDot"/>
          <a:miter lim="800000"/>
        </a:ln>
        <a:effectLst/>
      </dgm:spPr>
      <dgm:t>
        <a:bodyPr/>
        <a:lstStyle/>
        <a:p>
          <a:pPr>
            <a:buNone/>
          </a:pPr>
          <a:r>
            <a:rPr lang="hr-HR" sz="1000">
              <a:solidFill>
                <a:sysClr val="windowText" lastClr="000000"/>
              </a:solidFill>
              <a:latin typeface="Calibri"/>
              <a:ea typeface="+mn-ea"/>
              <a:cs typeface="+mn-cs"/>
            </a:rPr>
            <a:t>Environmental &amp; Social Standard 10</a:t>
          </a:r>
        </a:p>
      </dgm:t>
    </dgm:pt>
    <dgm:pt modelId="{52162C59-7538-4B41-B55D-ADFF16707679}" type="parTrans" cxnId="{1E2BF81C-2C6C-4CD6-8C8D-4A4BDD84E802}">
      <dgm:prSet/>
      <dgm:spPr/>
      <dgm:t>
        <a:bodyPr/>
        <a:lstStyle/>
        <a:p>
          <a:endParaRPr lang="hr-HR" sz="1000"/>
        </a:p>
      </dgm:t>
    </dgm:pt>
    <dgm:pt modelId="{BE6156C8-AAF7-44C5-9FF8-CEB249DBE071}" type="sibTrans" cxnId="{1E2BF81C-2C6C-4CD6-8C8D-4A4BDD84E802}">
      <dgm:prSet/>
      <dgm:spPr/>
      <dgm:t>
        <a:bodyPr/>
        <a:lstStyle/>
        <a:p>
          <a:endParaRPr lang="hr-HR" sz="1000"/>
        </a:p>
      </dgm:t>
    </dgm:pt>
    <dgm:pt modelId="{2AFA8FE4-E70C-4A3C-A745-1B19E4F729A9}">
      <dgm:prSet custT="1"/>
      <dgm:spPr>
        <a:xfrm rot="5400000">
          <a:off x="3843726" y="-1250283"/>
          <a:ext cx="420024" cy="3815283"/>
        </a:xfrm>
        <a:solidFill>
          <a:sysClr val="window" lastClr="FFFFFF">
            <a:alpha val="90000"/>
            <a:tint val="40000"/>
            <a:hueOff val="0"/>
            <a:satOff val="0"/>
            <a:lumOff val="0"/>
            <a:alphaOff val="0"/>
          </a:sysClr>
        </a:solidFill>
        <a:ln w="12700" cap="flat" cmpd="sng" algn="ctr">
          <a:solidFill>
            <a:srgbClr val="1F497D"/>
          </a:solidFill>
          <a:prstDash val="solid"/>
          <a:miter lim="800000"/>
        </a:ln>
        <a:effectLst/>
      </dgm:spPr>
      <dgm:t>
        <a:bodyPr/>
        <a:lstStyle/>
        <a:p>
          <a:pPr>
            <a:buChar char="•"/>
          </a:pPr>
          <a:r>
            <a:rPr lang="hr-HR" sz="1000">
              <a:solidFill>
                <a:sysClr val="windowText" lastClr="000000"/>
              </a:solidFill>
              <a:latin typeface="Calibri"/>
              <a:ea typeface="+mn-ea"/>
              <a:cs typeface="+mn-cs"/>
            </a:rPr>
            <a:t> Labor and Working Conditions</a:t>
          </a:r>
        </a:p>
      </dgm:t>
    </dgm:pt>
    <dgm:pt modelId="{087170C8-ABAF-4C34-899F-DA573E8C6BED}" type="parTrans" cxnId="{41319779-51EB-44D2-A3B9-80BF726214B1}">
      <dgm:prSet/>
      <dgm:spPr/>
      <dgm:t>
        <a:bodyPr/>
        <a:lstStyle/>
        <a:p>
          <a:endParaRPr lang="hr-HR" sz="1000"/>
        </a:p>
      </dgm:t>
    </dgm:pt>
    <dgm:pt modelId="{3F8C34BA-C471-450C-B87D-BF8EEFBB4624}" type="sibTrans" cxnId="{41319779-51EB-44D2-A3B9-80BF726214B1}">
      <dgm:prSet/>
      <dgm:spPr/>
      <dgm:t>
        <a:bodyPr/>
        <a:lstStyle/>
        <a:p>
          <a:endParaRPr lang="hr-HR" sz="1000"/>
        </a:p>
      </dgm:t>
    </dgm:pt>
    <dgm:pt modelId="{3EFF86FF-D8EC-4623-BD32-7A10F09CBBD5}">
      <dgm:prSet custT="1"/>
      <dgm:spPr>
        <a:xfrm rot="5400000">
          <a:off x="3843726" y="-811004"/>
          <a:ext cx="420024" cy="3815283"/>
        </a:xfrm>
        <a:solidFill>
          <a:sysClr val="window" lastClr="FFFFFF">
            <a:alpha val="90000"/>
            <a:tint val="40000"/>
            <a:hueOff val="0"/>
            <a:satOff val="0"/>
            <a:lumOff val="0"/>
            <a:alphaOff val="0"/>
          </a:sysClr>
        </a:solidFill>
        <a:ln w="12700" cap="flat" cmpd="sng" algn="ctr">
          <a:solidFill>
            <a:srgbClr val="1F497D"/>
          </a:solidFill>
          <a:prstDash val="solid"/>
          <a:miter lim="800000"/>
        </a:ln>
        <a:effectLst/>
      </dgm:spPr>
      <dgm:t>
        <a:bodyPr/>
        <a:lstStyle/>
        <a:p>
          <a:pPr>
            <a:buChar char="•"/>
          </a:pPr>
          <a:r>
            <a:rPr lang="hr-HR" sz="1000">
              <a:solidFill>
                <a:sysClr val="windowText" lastClr="000000"/>
              </a:solidFill>
              <a:latin typeface="Calibri"/>
              <a:ea typeface="+mn-ea"/>
              <a:cs typeface="+mn-cs"/>
            </a:rPr>
            <a:t> Resource Efficiency and Pollution Prevention and Management</a:t>
          </a:r>
        </a:p>
      </dgm:t>
    </dgm:pt>
    <dgm:pt modelId="{9ABF0EC7-7DE4-4959-8092-B4AAC9BD32F0}" type="parTrans" cxnId="{3BA97E7D-4DB1-483A-ACB1-2AD67CE0733C}">
      <dgm:prSet/>
      <dgm:spPr/>
      <dgm:t>
        <a:bodyPr/>
        <a:lstStyle/>
        <a:p>
          <a:endParaRPr lang="hr-HR" sz="1000"/>
        </a:p>
      </dgm:t>
    </dgm:pt>
    <dgm:pt modelId="{5B2953EE-513E-4956-8613-BF4FAF7D3394}" type="sibTrans" cxnId="{3BA97E7D-4DB1-483A-ACB1-2AD67CE0733C}">
      <dgm:prSet/>
      <dgm:spPr/>
      <dgm:t>
        <a:bodyPr/>
        <a:lstStyle/>
        <a:p>
          <a:endParaRPr lang="hr-HR" sz="1000"/>
        </a:p>
      </dgm:t>
    </dgm:pt>
    <dgm:pt modelId="{28F6A4B1-A92C-45A8-AB9B-81CDEEC4C5B4}">
      <dgm:prSet custT="1"/>
      <dgm:spPr>
        <a:xfrm rot="5400000">
          <a:off x="3843726" y="-357730"/>
          <a:ext cx="420024" cy="3815283"/>
        </a:xfrm>
        <a:solidFill>
          <a:sysClr val="window" lastClr="FFFFFF">
            <a:alpha val="90000"/>
            <a:tint val="40000"/>
            <a:hueOff val="0"/>
            <a:satOff val="0"/>
            <a:lumOff val="0"/>
            <a:alphaOff val="0"/>
          </a:sysClr>
        </a:solidFill>
        <a:ln w="12700" cap="flat" cmpd="sng" algn="ctr">
          <a:solidFill>
            <a:srgbClr val="1F497D"/>
          </a:solidFill>
          <a:prstDash val="solid"/>
          <a:miter lim="800000"/>
        </a:ln>
        <a:effectLst/>
      </dgm:spPr>
      <dgm:t>
        <a:bodyPr/>
        <a:lstStyle/>
        <a:p>
          <a:pPr>
            <a:buChar char="•"/>
          </a:pPr>
          <a:r>
            <a:rPr lang="hr-HR" sz="1000">
              <a:solidFill>
                <a:sysClr val="windowText" lastClr="000000"/>
              </a:solidFill>
              <a:latin typeface="Calibri"/>
              <a:ea typeface="+mn-ea"/>
              <a:cs typeface="+mn-cs"/>
            </a:rPr>
            <a:t> Community Health and Safety</a:t>
          </a:r>
        </a:p>
      </dgm:t>
    </dgm:pt>
    <dgm:pt modelId="{DBE2751F-7236-4370-91C5-C70E4D82BE45}" type="parTrans" cxnId="{7D0B61FB-BB04-48E8-AEF4-3F0C25F7BED5}">
      <dgm:prSet/>
      <dgm:spPr/>
      <dgm:t>
        <a:bodyPr/>
        <a:lstStyle/>
        <a:p>
          <a:endParaRPr lang="hr-HR" sz="1000"/>
        </a:p>
      </dgm:t>
    </dgm:pt>
    <dgm:pt modelId="{45FD9D58-F78F-4225-ABBC-E18487A22C9F}" type="sibTrans" cxnId="{7D0B61FB-BB04-48E8-AEF4-3F0C25F7BED5}">
      <dgm:prSet/>
      <dgm:spPr/>
      <dgm:t>
        <a:bodyPr/>
        <a:lstStyle/>
        <a:p>
          <a:endParaRPr lang="hr-HR" sz="1000"/>
        </a:p>
      </dgm:t>
    </dgm:pt>
    <dgm:pt modelId="{C62D94CF-D75F-4620-8B14-43B8E22010C6}">
      <dgm:prSet custT="1"/>
      <dgm:spPr>
        <a:xfrm rot="5400000">
          <a:off x="3843726" y="95538"/>
          <a:ext cx="420024" cy="3815283"/>
        </a:xfrm>
        <a:solidFill>
          <a:sysClr val="window" lastClr="FFFFFF">
            <a:alpha val="90000"/>
            <a:tint val="40000"/>
            <a:hueOff val="0"/>
            <a:satOff val="0"/>
            <a:lumOff val="0"/>
            <a:alphaOff val="0"/>
          </a:sysClr>
        </a:solidFill>
        <a:ln w="12700" cap="flat" cmpd="sng" algn="ctr">
          <a:solidFill>
            <a:srgbClr val="1F497D"/>
          </a:solidFill>
          <a:prstDash val="solid"/>
          <a:miter lim="800000"/>
        </a:ln>
        <a:effectLst/>
      </dgm:spPr>
      <dgm:t>
        <a:bodyPr/>
        <a:lstStyle/>
        <a:p>
          <a:pPr>
            <a:buChar char="•"/>
          </a:pPr>
          <a:r>
            <a:rPr lang="hr-HR" sz="1000">
              <a:solidFill>
                <a:sysClr val="windowText" lastClr="000000"/>
              </a:solidFill>
              <a:latin typeface="Calibri"/>
              <a:ea typeface="+mn-ea"/>
              <a:cs typeface="+mn-cs"/>
            </a:rPr>
            <a:t> Land Acquisition, Restrictions on Land Use and Involuntary Resettlement</a:t>
          </a:r>
        </a:p>
      </dgm:t>
    </dgm:pt>
    <dgm:pt modelId="{DEDF41CC-35C0-4FAA-AA30-CB68436B534A}" type="parTrans" cxnId="{E1C0BFD3-DC34-4056-B657-E601982718AB}">
      <dgm:prSet/>
      <dgm:spPr/>
      <dgm:t>
        <a:bodyPr/>
        <a:lstStyle/>
        <a:p>
          <a:endParaRPr lang="hr-HR" sz="1000"/>
        </a:p>
      </dgm:t>
    </dgm:pt>
    <dgm:pt modelId="{BA0B16BA-4892-42FD-9DF0-D4E9A2E34A4E}" type="sibTrans" cxnId="{E1C0BFD3-DC34-4056-B657-E601982718AB}">
      <dgm:prSet/>
      <dgm:spPr/>
      <dgm:t>
        <a:bodyPr/>
        <a:lstStyle/>
        <a:p>
          <a:endParaRPr lang="hr-HR" sz="1000"/>
        </a:p>
      </dgm:t>
    </dgm:pt>
    <dgm:pt modelId="{3CEFB140-FE1F-42AC-B1FC-6BE2924CC12F}">
      <dgm:prSet custT="1"/>
      <dgm:spPr>
        <a:xfrm rot="5400000">
          <a:off x="3843726" y="534821"/>
          <a:ext cx="420024" cy="3815283"/>
        </a:xfrm>
        <a:solidFill>
          <a:sysClr val="window" lastClr="FFFFFF">
            <a:alpha val="90000"/>
            <a:tint val="40000"/>
            <a:hueOff val="0"/>
            <a:satOff val="0"/>
            <a:lumOff val="0"/>
            <a:alphaOff val="0"/>
          </a:sysClr>
        </a:solidFill>
        <a:ln w="12700" cap="flat" cmpd="sng" algn="ctr">
          <a:solidFill>
            <a:srgbClr val="1F497D"/>
          </a:solidFill>
          <a:prstDash val="solid"/>
          <a:miter lim="800000"/>
        </a:ln>
        <a:effectLst/>
      </dgm:spPr>
      <dgm:t>
        <a:bodyPr/>
        <a:lstStyle/>
        <a:p>
          <a:pPr>
            <a:buChar char="•"/>
          </a:pPr>
          <a:r>
            <a:rPr lang="hr-HR" sz="1000">
              <a:solidFill>
                <a:sysClr val="windowText" lastClr="000000"/>
              </a:solidFill>
              <a:latin typeface="Calibri"/>
              <a:ea typeface="+mn-ea"/>
              <a:cs typeface="+mn-cs"/>
            </a:rPr>
            <a:t> Biodiversity Conservation and Sustainable Management of Living Natural Resources</a:t>
          </a:r>
        </a:p>
      </dgm:t>
    </dgm:pt>
    <dgm:pt modelId="{22382C99-FCDB-4C1D-8E23-4CED57F99A0D}" type="parTrans" cxnId="{5852D75D-394C-4410-A66F-C7CBC53D9BE4}">
      <dgm:prSet/>
      <dgm:spPr/>
      <dgm:t>
        <a:bodyPr/>
        <a:lstStyle/>
        <a:p>
          <a:endParaRPr lang="hr-HR" sz="1000"/>
        </a:p>
      </dgm:t>
    </dgm:pt>
    <dgm:pt modelId="{74886878-DB97-4EEB-9DED-D6A4D1138B21}" type="sibTrans" cxnId="{5852D75D-394C-4410-A66F-C7CBC53D9BE4}">
      <dgm:prSet/>
      <dgm:spPr/>
      <dgm:t>
        <a:bodyPr/>
        <a:lstStyle/>
        <a:p>
          <a:endParaRPr lang="hr-HR" sz="1000"/>
        </a:p>
      </dgm:t>
    </dgm:pt>
    <dgm:pt modelId="{9A1FCB4C-3AD1-4FD6-8427-1F20CE4F8E8C}">
      <dgm:prSet custT="1"/>
      <dgm:spPr>
        <a:xfrm rot="5400000">
          <a:off x="3843726" y="981097"/>
          <a:ext cx="420024" cy="3815283"/>
        </a:xfrm>
        <a:solidFill>
          <a:sysClr val="window" lastClr="FFFFFF">
            <a:alpha val="90000"/>
            <a:tint val="40000"/>
            <a:hueOff val="0"/>
            <a:satOff val="0"/>
            <a:lumOff val="0"/>
            <a:alphaOff val="0"/>
          </a:sysClr>
        </a:solidFill>
        <a:ln w="12700" cap="flat" cmpd="sng" algn="ctr">
          <a:solidFill>
            <a:srgbClr val="1F497D"/>
          </a:solidFill>
          <a:prstDash val="solid"/>
          <a:miter lim="800000"/>
        </a:ln>
        <a:effectLst/>
      </dgm:spPr>
      <dgm:t>
        <a:bodyPr/>
        <a:lstStyle/>
        <a:p>
          <a:pPr>
            <a:buChar char="•"/>
          </a:pPr>
          <a:r>
            <a:rPr lang="hr-HR" sz="1000">
              <a:solidFill>
                <a:sysClr val="windowText" lastClr="000000"/>
              </a:solidFill>
              <a:latin typeface="Calibri"/>
              <a:ea typeface="+mn-ea"/>
              <a:cs typeface="+mn-cs"/>
            </a:rPr>
            <a:t> Indigenous Peoples</a:t>
          </a:r>
        </a:p>
      </dgm:t>
    </dgm:pt>
    <dgm:pt modelId="{705F058D-EE93-4A53-B309-303B97CF3033}" type="parTrans" cxnId="{B893D065-E867-49F4-B523-D04133B97B45}">
      <dgm:prSet/>
      <dgm:spPr/>
      <dgm:t>
        <a:bodyPr/>
        <a:lstStyle/>
        <a:p>
          <a:endParaRPr lang="hr-HR" sz="1000"/>
        </a:p>
      </dgm:t>
    </dgm:pt>
    <dgm:pt modelId="{D0702C91-C85D-4609-94AA-4356D7CFCB9B}" type="sibTrans" cxnId="{B893D065-E867-49F4-B523-D04133B97B45}">
      <dgm:prSet/>
      <dgm:spPr/>
      <dgm:t>
        <a:bodyPr/>
        <a:lstStyle/>
        <a:p>
          <a:endParaRPr lang="hr-HR" sz="1000"/>
        </a:p>
      </dgm:t>
    </dgm:pt>
    <dgm:pt modelId="{F5D76AC7-9F98-48E8-85B6-A9E3CAD78B26}">
      <dgm:prSet custT="1"/>
      <dgm:spPr>
        <a:xfrm rot="5400000">
          <a:off x="3843726" y="1427373"/>
          <a:ext cx="420024" cy="3815283"/>
        </a:xfrm>
        <a:solidFill>
          <a:sysClr val="window" lastClr="FFFFFF">
            <a:alpha val="90000"/>
            <a:tint val="40000"/>
            <a:hueOff val="0"/>
            <a:satOff val="0"/>
            <a:lumOff val="0"/>
            <a:alphaOff val="0"/>
          </a:sysClr>
        </a:solidFill>
        <a:ln w="12700" cap="flat" cmpd="sng" algn="ctr">
          <a:solidFill>
            <a:srgbClr val="1F497D"/>
          </a:solidFill>
          <a:prstDash val="solid"/>
          <a:miter lim="800000"/>
        </a:ln>
        <a:effectLst/>
      </dgm:spPr>
      <dgm:t>
        <a:bodyPr/>
        <a:lstStyle/>
        <a:p>
          <a:pPr>
            <a:buChar char="•"/>
          </a:pPr>
          <a:r>
            <a:rPr lang="hr-HR" sz="1000">
              <a:solidFill>
                <a:sysClr val="windowText" lastClr="000000"/>
              </a:solidFill>
              <a:latin typeface="Calibri"/>
              <a:ea typeface="+mn-ea"/>
              <a:cs typeface="+mn-cs"/>
            </a:rPr>
            <a:t> Cultural Heritage </a:t>
          </a:r>
        </a:p>
      </dgm:t>
    </dgm:pt>
    <dgm:pt modelId="{252210C4-6DC0-4EA9-AE92-E2C222D1F4B9}" type="parTrans" cxnId="{AA4BC67C-44F4-4E51-9BF5-47328126932E}">
      <dgm:prSet/>
      <dgm:spPr/>
      <dgm:t>
        <a:bodyPr/>
        <a:lstStyle/>
        <a:p>
          <a:endParaRPr lang="hr-HR" sz="1000"/>
        </a:p>
      </dgm:t>
    </dgm:pt>
    <dgm:pt modelId="{3C1EDD42-CF18-4B5F-9B85-BB9FDB4F4595}" type="sibTrans" cxnId="{AA4BC67C-44F4-4E51-9BF5-47328126932E}">
      <dgm:prSet/>
      <dgm:spPr/>
      <dgm:t>
        <a:bodyPr/>
        <a:lstStyle/>
        <a:p>
          <a:endParaRPr lang="hr-HR" sz="1000"/>
        </a:p>
      </dgm:t>
    </dgm:pt>
    <dgm:pt modelId="{ED51563F-9AC4-4AFF-BAAD-5C9C1555D373}">
      <dgm:prSet custT="1"/>
      <dgm:spPr>
        <a:xfrm rot="5400000">
          <a:off x="3843726" y="1873649"/>
          <a:ext cx="420024" cy="3815283"/>
        </a:xfrm>
        <a:solidFill>
          <a:sysClr val="window" lastClr="FFFFFF">
            <a:alpha val="90000"/>
            <a:tint val="40000"/>
            <a:hueOff val="0"/>
            <a:satOff val="0"/>
            <a:lumOff val="0"/>
            <a:alphaOff val="0"/>
          </a:sysClr>
        </a:solidFill>
        <a:ln w="12700" cap="flat" cmpd="sng" algn="ctr">
          <a:solidFill>
            <a:srgbClr val="1F497D"/>
          </a:solidFill>
          <a:prstDash val="solid"/>
          <a:miter lim="800000"/>
        </a:ln>
        <a:effectLst/>
      </dgm:spPr>
      <dgm:t>
        <a:bodyPr/>
        <a:lstStyle/>
        <a:p>
          <a:pPr>
            <a:buChar char="•"/>
          </a:pPr>
          <a:r>
            <a:rPr lang="hr-HR" sz="1000">
              <a:solidFill>
                <a:sysClr val="windowText" lastClr="000000"/>
              </a:solidFill>
              <a:latin typeface="Calibri"/>
              <a:ea typeface="+mn-ea"/>
              <a:cs typeface="+mn-cs"/>
            </a:rPr>
            <a:t> Financial Intermediaries</a:t>
          </a:r>
        </a:p>
      </dgm:t>
    </dgm:pt>
    <dgm:pt modelId="{5980F193-E337-42B9-95F2-E6CA9BD8E1B9}" type="parTrans" cxnId="{788B2DCC-D0F8-45C1-B950-4C9B392381C0}">
      <dgm:prSet/>
      <dgm:spPr/>
      <dgm:t>
        <a:bodyPr/>
        <a:lstStyle/>
        <a:p>
          <a:endParaRPr lang="hr-HR" sz="1000"/>
        </a:p>
      </dgm:t>
    </dgm:pt>
    <dgm:pt modelId="{04355294-A5C3-41A2-A77D-446516469C59}" type="sibTrans" cxnId="{788B2DCC-D0F8-45C1-B950-4C9B392381C0}">
      <dgm:prSet/>
      <dgm:spPr/>
      <dgm:t>
        <a:bodyPr/>
        <a:lstStyle/>
        <a:p>
          <a:endParaRPr lang="hr-HR" sz="1000"/>
        </a:p>
      </dgm:t>
    </dgm:pt>
    <dgm:pt modelId="{6962E3EC-8801-4C4E-99FA-4372C375BBBF}">
      <dgm:prSet custT="1"/>
      <dgm:spPr>
        <a:xfrm rot="5400000">
          <a:off x="3843726" y="2320996"/>
          <a:ext cx="420024" cy="3815283"/>
        </a:xfrm>
        <a:solidFill>
          <a:sysClr val="window" lastClr="FFFFFF">
            <a:alpha val="90000"/>
            <a:tint val="40000"/>
            <a:hueOff val="0"/>
            <a:satOff val="0"/>
            <a:lumOff val="0"/>
            <a:alphaOff val="0"/>
          </a:sysClr>
        </a:solidFill>
        <a:ln w="12700" cap="flat" cmpd="sng" algn="ctr">
          <a:solidFill>
            <a:srgbClr val="1F497D"/>
          </a:solidFill>
          <a:prstDash val="solid"/>
          <a:miter lim="800000"/>
        </a:ln>
        <a:effectLst/>
      </dgm:spPr>
      <dgm:t>
        <a:bodyPr/>
        <a:lstStyle/>
        <a:p>
          <a:pPr>
            <a:buChar char="•"/>
          </a:pPr>
          <a:r>
            <a:rPr lang="hr-HR" sz="1000">
              <a:solidFill>
                <a:sysClr val="windowText" lastClr="000000"/>
              </a:solidFill>
              <a:latin typeface="Calibri"/>
              <a:ea typeface="+mn-ea"/>
              <a:cs typeface="+mn-cs"/>
            </a:rPr>
            <a:t> Stakeholder and Information Disclosure </a:t>
          </a:r>
        </a:p>
      </dgm:t>
    </dgm:pt>
    <dgm:pt modelId="{01C8FB1F-5368-43FE-B47E-83142C0886D9}" type="parTrans" cxnId="{D3F7FDD6-3A3A-4689-ADA1-A0AA32185BD4}">
      <dgm:prSet/>
      <dgm:spPr/>
      <dgm:t>
        <a:bodyPr/>
        <a:lstStyle/>
        <a:p>
          <a:endParaRPr lang="hr-HR" sz="1000"/>
        </a:p>
      </dgm:t>
    </dgm:pt>
    <dgm:pt modelId="{07E5ACAA-6AA9-4659-8FF9-3140841BCE2E}" type="sibTrans" cxnId="{D3F7FDD6-3A3A-4689-ADA1-A0AA32185BD4}">
      <dgm:prSet/>
      <dgm:spPr/>
      <dgm:t>
        <a:bodyPr/>
        <a:lstStyle/>
        <a:p>
          <a:endParaRPr lang="hr-HR" sz="1000"/>
        </a:p>
      </dgm:t>
    </dgm:pt>
    <dgm:pt modelId="{27F52123-463E-4E0A-ADA8-9F139BF94459}" type="pres">
      <dgm:prSet presAssocID="{23FA7F58-34AB-4590-A2C0-4796D49F9A9F}" presName="Name0" presStyleCnt="0">
        <dgm:presLayoutVars>
          <dgm:dir/>
          <dgm:animLvl val="lvl"/>
          <dgm:resizeHandles val="exact"/>
        </dgm:presLayoutVars>
      </dgm:prSet>
      <dgm:spPr/>
    </dgm:pt>
    <dgm:pt modelId="{F508F4C1-27DC-4FEF-AE3D-6C10C00AEA2B}" type="pres">
      <dgm:prSet presAssocID="{0656469D-8AE0-4431-9B0E-430C8D14F168}" presName="linNode" presStyleCnt="0"/>
      <dgm:spPr/>
    </dgm:pt>
    <dgm:pt modelId="{53167621-E85F-4654-B26B-6558488A8BFD}" type="pres">
      <dgm:prSet presAssocID="{0656469D-8AE0-4431-9B0E-430C8D14F168}" presName="parentText" presStyleLbl="node1" presStyleIdx="0" presStyleCnt="10" custScaleX="93578" custScaleY="72311">
        <dgm:presLayoutVars>
          <dgm:chMax val="1"/>
          <dgm:bulletEnabled val="1"/>
        </dgm:presLayoutVars>
      </dgm:prSet>
      <dgm:spPr>
        <a:prstGeom prst="roundRect">
          <a:avLst/>
        </a:prstGeom>
      </dgm:spPr>
    </dgm:pt>
    <dgm:pt modelId="{B93051E9-A441-4FA0-A98E-837E720F650B}" type="pres">
      <dgm:prSet presAssocID="{0656469D-8AE0-4431-9B0E-430C8D14F168}" presName="descendantText" presStyleLbl="alignAccFollowNode1" presStyleIdx="0" presStyleCnt="10" custLinFactNeighborX="7371" custLinFactNeighborY="-255">
        <dgm:presLayoutVars>
          <dgm:bulletEnabled val="1"/>
        </dgm:presLayoutVars>
      </dgm:prSet>
      <dgm:spPr>
        <a:prstGeom prst="round2SameRect">
          <a:avLst/>
        </a:prstGeom>
      </dgm:spPr>
    </dgm:pt>
    <dgm:pt modelId="{9F9E7B4E-50AD-4B81-85FB-BF2B5198CE83}" type="pres">
      <dgm:prSet presAssocID="{791F05C0-3545-4499-8A7E-29ADD284BD14}" presName="sp" presStyleCnt="0"/>
      <dgm:spPr/>
    </dgm:pt>
    <dgm:pt modelId="{508CFEDC-9118-44D1-A93E-619A268B40F4}" type="pres">
      <dgm:prSet presAssocID="{01BD2BD4-9422-4134-A809-94E6A035FD95}" presName="linNode" presStyleCnt="0"/>
      <dgm:spPr/>
    </dgm:pt>
    <dgm:pt modelId="{5A9B25F6-BF59-49F3-B144-5BDAA2841289}" type="pres">
      <dgm:prSet presAssocID="{01BD2BD4-9422-4134-A809-94E6A035FD95}" presName="parentText" presStyleLbl="node1" presStyleIdx="1" presStyleCnt="10" custScaleX="93762" custScaleY="71624">
        <dgm:presLayoutVars>
          <dgm:chMax val="1"/>
          <dgm:bulletEnabled val="1"/>
        </dgm:presLayoutVars>
      </dgm:prSet>
      <dgm:spPr>
        <a:prstGeom prst="roundRect">
          <a:avLst/>
        </a:prstGeom>
      </dgm:spPr>
    </dgm:pt>
    <dgm:pt modelId="{24FF8B05-5BC0-4E70-B692-DA0CECBE8407}" type="pres">
      <dgm:prSet presAssocID="{01BD2BD4-9422-4134-A809-94E6A035FD95}" presName="descendantText" presStyleLbl="alignAccFollowNode1" presStyleIdx="1" presStyleCnt="10" custLinFactNeighborX="6316">
        <dgm:presLayoutVars>
          <dgm:bulletEnabled val="1"/>
        </dgm:presLayoutVars>
      </dgm:prSet>
      <dgm:spPr>
        <a:prstGeom prst="round2SameRect">
          <a:avLst/>
        </a:prstGeom>
      </dgm:spPr>
    </dgm:pt>
    <dgm:pt modelId="{C8AD6531-721B-41CE-9602-0E77AEB4969A}" type="pres">
      <dgm:prSet presAssocID="{CE9E490B-D02E-4AC6-B371-6C8D5BF020AA}" presName="sp" presStyleCnt="0"/>
      <dgm:spPr/>
    </dgm:pt>
    <dgm:pt modelId="{AD7C0897-A23D-4A2B-8F13-B82F1CFC6749}" type="pres">
      <dgm:prSet presAssocID="{BFC944DF-419E-447C-A560-E5AA1D547CD7}" presName="linNode" presStyleCnt="0"/>
      <dgm:spPr/>
    </dgm:pt>
    <dgm:pt modelId="{87338CBD-CC42-4D61-AA4C-E0AFB6A74F05}" type="pres">
      <dgm:prSet presAssocID="{BFC944DF-419E-447C-A560-E5AA1D547CD7}" presName="parentText" presStyleLbl="node1" presStyleIdx="2" presStyleCnt="10" custScaleX="93762" custScaleY="71624">
        <dgm:presLayoutVars>
          <dgm:chMax val="1"/>
          <dgm:bulletEnabled val="1"/>
        </dgm:presLayoutVars>
      </dgm:prSet>
      <dgm:spPr>
        <a:prstGeom prst="roundRect">
          <a:avLst/>
        </a:prstGeom>
      </dgm:spPr>
    </dgm:pt>
    <dgm:pt modelId="{675FFD5A-7F27-4622-B76E-5CF32FEFAE56}" type="pres">
      <dgm:prSet presAssocID="{BFC944DF-419E-447C-A560-E5AA1D547CD7}" presName="descendantText" presStyleLbl="alignAccFollowNode1" presStyleIdx="2" presStyleCnt="10" custLinFactNeighborX="6312" custLinFactNeighborY="-1666">
        <dgm:presLayoutVars>
          <dgm:bulletEnabled val="1"/>
        </dgm:presLayoutVars>
      </dgm:prSet>
      <dgm:spPr>
        <a:prstGeom prst="round2SameRect">
          <a:avLst/>
        </a:prstGeom>
      </dgm:spPr>
    </dgm:pt>
    <dgm:pt modelId="{298DA927-68C5-4848-803B-11614E3F023A}" type="pres">
      <dgm:prSet presAssocID="{FE8B9DD6-FAA3-4F48-881A-85968827A8F6}" presName="sp" presStyleCnt="0"/>
      <dgm:spPr/>
    </dgm:pt>
    <dgm:pt modelId="{008FACE8-8ED5-47D6-B107-F4B2DCC63ADA}" type="pres">
      <dgm:prSet presAssocID="{935074B3-6E61-434A-A489-BF804EEFB1FF}" presName="linNode" presStyleCnt="0"/>
      <dgm:spPr/>
    </dgm:pt>
    <dgm:pt modelId="{22F5124C-30D4-4CAC-ADF4-0E7390446005}" type="pres">
      <dgm:prSet presAssocID="{935074B3-6E61-434A-A489-BF804EEFB1FF}" presName="parentText" presStyleLbl="node1" presStyleIdx="3" presStyleCnt="10" custScaleX="93762" custScaleY="71624">
        <dgm:presLayoutVars>
          <dgm:chMax val="1"/>
          <dgm:bulletEnabled val="1"/>
        </dgm:presLayoutVars>
      </dgm:prSet>
      <dgm:spPr>
        <a:prstGeom prst="roundRect">
          <a:avLst/>
        </a:prstGeom>
      </dgm:spPr>
    </dgm:pt>
    <dgm:pt modelId="{9B249701-8EC9-4483-B418-B5A20FFF10EC}" type="pres">
      <dgm:prSet presAssocID="{935074B3-6E61-434A-A489-BF804EEFB1FF}" presName="descendantText" presStyleLbl="alignAccFollowNode1" presStyleIdx="3" presStyleCnt="10" custLinFactNeighborX="3119" custLinFactNeighborY="0">
        <dgm:presLayoutVars>
          <dgm:bulletEnabled val="1"/>
        </dgm:presLayoutVars>
      </dgm:prSet>
      <dgm:spPr>
        <a:prstGeom prst="round2SameRect">
          <a:avLst/>
        </a:prstGeom>
      </dgm:spPr>
    </dgm:pt>
    <dgm:pt modelId="{1AF50178-6024-43E4-BAA2-8BF00DABDE13}" type="pres">
      <dgm:prSet presAssocID="{BE282C22-5976-4B40-B986-209C30F64BC5}" presName="sp" presStyleCnt="0"/>
      <dgm:spPr/>
    </dgm:pt>
    <dgm:pt modelId="{509AF8F5-673B-48E2-BC5C-B68E5F62AD27}" type="pres">
      <dgm:prSet presAssocID="{8CFD223A-FDE0-407A-83EC-1027A55709E6}" presName="linNode" presStyleCnt="0"/>
      <dgm:spPr/>
    </dgm:pt>
    <dgm:pt modelId="{01D1EC8E-A3B3-4771-B609-DDEA8BD00A34}" type="pres">
      <dgm:prSet presAssocID="{8CFD223A-FDE0-407A-83EC-1027A55709E6}" presName="parentText" presStyleLbl="node1" presStyleIdx="4" presStyleCnt="10" custScaleX="93762" custScaleY="71624">
        <dgm:presLayoutVars>
          <dgm:chMax val="1"/>
          <dgm:bulletEnabled val="1"/>
        </dgm:presLayoutVars>
      </dgm:prSet>
      <dgm:spPr>
        <a:prstGeom prst="roundRect">
          <a:avLst/>
        </a:prstGeom>
      </dgm:spPr>
    </dgm:pt>
    <dgm:pt modelId="{1626F154-AA3C-4152-9649-D39AB32AA5FF}" type="pres">
      <dgm:prSet presAssocID="{8CFD223A-FDE0-407A-83EC-1027A55709E6}" presName="descendantText" presStyleLbl="alignAccFollowNode1" presStyleIdx="4" presStyleCnt="10" custLinFactNeighborX="3119" custLinFactNeighborY="1665">
        <dgm:presLayoutVars>
          <dgm:bulletEnabled val="1"/>
        </dgm:presLayoutVars>
      </dgm:prSet>
      <dgm:spPr>
        <a:prstGeom prst="round2SameRect">
          <a:avLst/>
        </a:prstGeom>
      </dgm:spPr>
    </dgm:pt>
    <dgm:pt modelId="{DE10E294-1275-4058-94DE-B840C7F96F4B}" type="pres">
      <dgm:prSet presAssocID="{53B4F4C7-48E7-4F1F-A32D-BE0F2A0189C8}" presName="sp" presStyleCnt="0"/>
      <dgm:spPr/>
    </dgm:pt>
    <dgm:pt modelId="{92D2076F-4EFB-47C0-A8B0-AC9DD632FBFA}" type="pres">
      <dgm:prSet presAssocID="{F61E939F-4573-43C2-9932-9B25983BEB8E}" presName="linNode" presStyleCnt="0"/>
      <dgm:spPr/>
    </dgm:pt>
    <dgm:pt modelId="{270C7F63-709D-4833-8BE4-F2A8CC69B740}" type="pres">
      <dgm:prSet presAssocID="{F61E939F-4573-43C2-9932-9B25983BEB8E}" presName="parentText" presStyleLbl="node1" presStyleIdx="5" presStyleCnt="10" custScaleX="93762" custScaleY="71624">
        <dgm:presLayoutVars>
          <dgm:chMax val="1"/>
          <dgm:bulletEnabled val="1"/>
        </dgm:presLayoutVars>
      </dgm:prSet>
      <dgm:spPr>
        <a:prstGeom prst="roundRect">
          <a:avLst/>
        </a:prstGeom>
      </dgm:spPr>
    </dgm:pt>
    <dgm:pt modelId="{91244DD1-BFA4-4601-B4B1-39BFE919E2E0}" type="pres">
      <dgm:prSet presAssocID="{F61E939F-4573-43C2-9932-9B25983BEB8E}" presName="descendantText" presStyleLbl="alignAccFollowNode1" presStyleIdx="5" presStyleCnt="10" custLinFactNeighborX="3195">
        <dgm:presLayoutVars>
          <dgm:bulletEnabled val="1"/>
        </dgm:presLayoutVars>
      </dgm:prSet>
      <dgm:spPr>
        <a:prstGeom prst="round2SameRect">
          <a:avLst/>
        </a:prstGeom>
      </dgm:spPr>
    </dgm:pt>
    <dgm:pt modelId="{20E47EE4-9199-4490-BF1B-088CA6FB0ABA}" type="pres">
      <dgm:prSet presAssocID="{382A94C1-B9B7-4672-849D-27E3EC389991}" presName="sp" presStyleCnt="0"/>
      <dgm:spPr/>
    </dgm:pt>
    <dgm:pt modelId="{38F8E1BD-F322-4C41-A5AC-0003F20482B5}" type="pres">
      <dgm:prSet presAssocID="{2922D74D-DE5E-41E7-BFFA-EE7D72C77DA8}" presName="linNode" presStyleCnt="0"/>
      <dgm:spPr/>
    </dgm:pt>
    <dgm:pt modelId="{9E365916-36F0-444E-A685-A2B7F5DF5FCD}" type="pres">
      <dgm:prSet presAssocID="{2922D74D-DE5E-41E7-BFFA-EE7D72C77DA8}" presName="parentText" presStyleLbl="node1" presStyleIdx="6" presStyleCnt="10" custScaleX="93762" custScaleY="71624">
        <dgm:presLayoutVars>
          <dgm:chMax val="1"/>
          <dgm:bulletEnabled val="1"/>
        </dgm:presLayoutVars>
      </dgm:prSet>
      <dgm:spPr>
        <a:prstGeom prst="roundRect">
          <a:avLst/>
        </a:prstGeom>
      </dgm:spPr>
    </dgm:pt>
    <dgm:pt modelId="{C9E49E43-FD7C-4F8C-944E-52CEFFAB5DC5}" type="pres">
      <dgm:prSet presAssocID="{2922D74D-DE5E-41E7-BFFA-EE7D72C77DA8}" presName="descendantText" presStyleLbl="alignAccFollowNode1" presStyleIdx="6" presStyleCnt="10" custLinFactNeighborX="3195">
        <dgm:presLayoutVars>
          <dgm:bulletEnabled val="1"/>
        </dgm:presLayoutVars>
      </dgm:prSet>
      <dgm:spPr>
        <a:prstGeom prst="round2SameRect">
          <a:avLst/>
        </a:prstGeom>
      </dgm:spPr>
    </dgm:pt>
    <dgm:pt modelId="{C8A5E9D8-3FFD-49B5-A8D0-CA126AE3DBDE}" type="pres">
      <dgm:prSet presAssocID="{0AEE0CA5-DAB0-4359-AA4B-9B619530091D}" presName="sp" presStyleCnt="0"/>
      <dgm:spPr/>
    </dgm:pt>
    <dgm:pt modelId="{8A08F0D3-F65B-4481-9A50-4A59C668531B}" type="pres">
      <dgm:prSet presAssocID="{C01D8580-F64A-428A-A08A-68B2A1D7564D}" presName="linNode" presStyleCnt="0"/>
      <dgm:spPr/>
    </dgm:pt>
    <dgm:pt modelId="{939B8DEE-EE52-404C-B06D-980688304B10}" type="pres">
      <dgm:prSet presAssocID="{C01D8580-F64A-428A-A08A-68B2A1D7564D}" presName="parentText" presStyleLbl="node1" presStyleIdx="7" presStyleCnt="10" custScaleX="93762" custScaleY="71624">
        <dgm:presLayoutVars>
          <dgm:chMax val="1"/>
          <dgm:bulletEnabled val="1"/>
        </dgm:presLayoutVars>
      </dgm:prSet>
      <dgm:spPr>
        <a:prstGeom prst="roundRect">
          <a:avLst/>
        </a:prstGeom>
      </dgm:spPr>
    </dgm:pt>
    <dgm:pt modelId="{02BBE9E4-A604-4FC2-B33A-FF1BED65EF9E}" type="pres">
      <dgm:prSet presAssocID="{C01D8580-F64A-428A-A08A-68B2A1D7564D}" presName="descendantText" presStyleLbl="alignAccFollowNode1" presStyleIdx="7" presStyleCnt="10" custLinFactNeighborX="3195">
        <dgm:presLayoutVars>
          <dgm:bulletEnabled val="1"/>
        </dgm:presLayoutVars>
      </dgm:prSet>
      <dgm:spPr>
        <a:prstGeom prst="round2SameRect">
          <a:avLst/>
        </a:prstGeom>
      </dgm:spPr>
    </dgm:pt>
    <dgm:pt modelId="{9DE3B024-D27F-4076-A345-C53909D8842B}" type="pres">
      <dgm:prSet presAssocID="{57CBBA83-B6C9-4F90-BFBF-46B6C9AC6CF3}" presName="sp" presStyleCnt="0"/>
      <dgm:spPr/>
    </dgm:pt>
    <dgm:pt modelId="{19245FC1-0F03-4637-B390-644E7DA4CDBE}" type="pres">
      <dgm:prSet presAssocID="{82238ECA-90BE-4817-8DE8-A732C6C73A47}" presName="linNode" presStyleCnt="0"/>
      <dgm:spPr/>
    </dgm:pt>
    <dgm:pt modelId="{B8B332F7-2FE0-4D1B-B9BC-A304435AA5BA}" type="pres">
      <dgm:prSet presAssocID="{82238ECA-90BE-4817-8DE8-A732C6C73A47}" presName="parentText" presStyleLbl="node1" presStyleIdx="8" presStyleCnt="10" custScaleX="93762" custScaleY="71624">
        <dgm:presLayoutVars>
          <dgm:chMax val="1"/>
          <dgm:bulletEnabled val="1"/>
        </dgm:presLayoutVars>
      </dgm:prSet>
      <dgm:spPr>
        <a:prstGeom prst="roundRect">
          <a:avLst/>
        </a:prstGeom>
      </dgm:spPr>
    </dgm:pt>
    <dgm:pt modelId="{9BC1C3AC-835B-44F2-ACD0-CDF5E0480D72}" type="pres">
      <dgm:prSet presAssocID="{82238ECA-90BE-4817-8DE8-A732C6C73A47}" presName="descendantText" presStyleLbl="alignAccFollowNode1" presStyleIdx="8" presStyleCnt="10" custLinFactNeighborX="3195">
        <dgm:presLayoutVars>
          <dgm:bulletEnabled val="1"/>
        </dgm:presLayoutVars>
      </dgm:prSet>
      <dgm:spPr>
        <a:prstGeom prst="round2SameRect">
          <a:avLst/>
        </a:prstGeom>
      </dgm:spPr>
    </dgm:pt>
    <dgm:pt modelId="{CB3C2327-3AC8-4A26-8ED5-922494288D32}" type="pres">
      <dgm:prSet presAssocID="{22EA27AA-9A6F-482D-939D-D7E33EBAF62F}" presName="sp" presStyleCnt="0"/>
      <dgm:spPr/>
    </dgm:pt>
    <dgm:pt modelId="{C8F48807-ED6D-488B-A693-8B7C88524D18}" type="pres">
      <dgm:prSet presAssocID="{86D8318E-E947-4A6E-9885-B292BF8F82CA}" presName="linNode" presStyleCnt="0"/>
      <dgm:spPr/>
    </dgm:pt>
    <dgm:pt modelId="{CBE104D9-F0AF-4861-8AD7-BFA35C772D26}" type="pres">
      <dgm:prSet presAssocID="{86D8318E-E947-4A6E-9885-B292BF8F82CA}" presName="parentText" presStyleLbl="node1" presStyleIdx="9" presStyleCnt="10" custScaleX="93762" custScaleY="71624">
        <dgm:presLayoutVars>
          <dgm:chMax val="1"/>
          <dgm:bulletEnabled val="1"/>
        </dgm:presLayoutVars>
      </dgm:prSet>
      <dgm:spPr>
        <a:prstGeom prst="roundRect">
          <a:avLst/>
        </a:prstGeom>
      </dgm:spPr>
    </dgm:pt>
    <dgm:pt modelId="{4F25C92D-2C7E-452D-9A26-4FEEFF5750E7}" type="pres">
      <dgm:prSet presAssocID="{86D8318E-E947-4A6E-9885-B292BF8F82CA}" presName="descendantText" presStyleLbl="alignAccFollowNode1" presStyleIdx="9" presStyleCnt="10" custLinFactNeighborX="3195" custLinFactNeighborY="255">
        <dgm:presLayoutVars>
          <dgm:bulletEnabled val="1"/>
        </dgm:presLayoutVars>
      </dgm:prSet>
      <dgm:spPr>
        <a:prstGeom prst="round2SameRect">
          <a:avLst/>
        </a:prstGeom>
      </dgm:spPr>
    </dgm:pt>
  </dgm:ptLst>
  <dgm:cxnLst>
    <dgm:cxn modelId="{8B0AB703-2FDA-4F31-8A1C-ADA50A824094}" srcId="{23FA7F58-34AB-4590-A2C0-4796D49F9A9F}" destId="{935074B3-6E61-434A-A489-BF804EEFB1FF}" srcOrd="3" destOrd="0" parTransId="{905F4983-F9E5-49F0-B1EC-E2C45F8FC7D6}" sibTransId="{BE282C22-5976-4B40-B986-209C30F64BC5}"/>
    <dgm:cxn modelId="{1E0CF41C-2C3D-422D-B04F-F8E8FC791A6A}" srcId="{23FA7F58-34AB-4590-A2C0-4796D49F9A9F}" destId="{BFC944DF-419E-447C-A560-E5AA1D547CD7}" srcOrd="2" destOrd="0" parTransId="{A979BE4A-1F46-46DD-87FF-7190A549D49B}" sibTransId="{FE8B9DD6-FAA3-4F48-881A-85968827A8F6}"/>
    <dgm:cxn modelId="{1E2BF81C-2C6C-4CD6-8C8D-4A4BDD84E802}" srcId="{23FA7F58-34AB-4590-A2C0-4796D49F9A9F}" destId="{86D8318E-E947-4A6E-9885-B292BF8F82CA}" srcOrd="9" destOrd="0" parTransId="{52162C59-7538-4B41-B55D-ADFF16707679}" sibTransId="{BE6156C8-AAF7-44C5-9FF8-CEB249DBE071}"/>
    <dgm:cxn modelId="{D6087920-C5C2-4099-902B-E05C148CEE35}" srcId="{0656469D-8AE0-4431-9B0E-430C8D14F168}" destId="{32280207-1A3A-4871-96F6-FF78CF5F97E5}" srcOrd="0" destOrd="0" parTransId="{4AA61993-9007-4A7C-B597-DBA60132BD9E}" sibTransId="{6F48571D-E078-4760-ACDA-40D5AE682F53}"/>
    <dgm:cxn modelId="{624D8123-AFA7-44E1-85C9-FB7A7FAAFD9E}" type="presOf" srcId="{2AFA8FE4-E70C-4A3C-A745-1B19E4F729A9}" destId="{24FF8B05-5BC0-4E70-B692-DA0CECBE8407}" srcOrd="0" destOrd="0" presId="urn:microsoft.com/office/officeart/2005/8/layout/vList5"/>
    <dgm:cxn modelId="{DE4EAF2B-2EB6-444B-8522-8763913FB941}" srcId="{23FA7F58-34AB-4590-A2C0-4796D49F9A9F}" destId="{2922D74D-DE5E-41E7-BFFA-EE7D72C77DA8}" srcOrd="6" destOrd="0" parTransId="{13216F6C-45BD-4940-A41B-6B6ABD0316A2}" sibTransId="{0AEE0CA5-DAB0-4359-AA4B-9B619530091D}"/>
    <dgm:cxn modelId="{DBA4C82B-99B2-47A6-812C-1CE4EA5A5BEF}" type="presOf" srcId="{9A1FCB4C-3AD1-4FD6-8427-1F20CE4F8E8C}" destId="{C9E49E43-FD7C-4F8C-944E-52CEFFAB5DC5}" srcOrd="0" destOrd="0" presId="urn:microsoft.com/office/officeart/2005/8/layout/vList5"/>
    <dgm:cxn modelId="{B3B61030-8768-4834-92FC-F7C6D2A8E99E}" srcId="{23FA7F58-34AB-4590-A2C0-4796D49F9A9F}" destId="{C01D8580-F64A-428A-A08A-68B2A1D7564D}" srcOrd="7" destOrd="0" parTransId="{7BB46279-E5E9-4EC8-B233-0628C09E6CD8}" sibTransId="{57CBBA83-B6C9-4F90-BFBF-46B6C9AC6CF3}"/>
    <dgm:cxn modelId="{4CA2C331-0891-4982-B3AE-06D313522BBF}" type="presOf" srcId="{23FA7F58-34AB-4590-A2C0-4796D49F9A9F}" destId="{27F52123-463E-4E0A-ADA8-9F139BF94459}" srcOrd="0" destOrd="0" presId="urn:microsoft.com/office/officeart/2005/8/layout/vList5"/>
    <dgm:cxn modelId="{8359E73F-5D08-4239-B1E6-796835950006}" type="presOf" srcId="{BFC944DF-419E-447C-A560-E5AA1D547CD7}" destId="{87338CBD-CC42-4D61-AA4C-E0AFB6A74F05}" srcOrd="0" destOrd="0" presId="urn:microsoft.com/office/officeart/2005/8/layout/vList5"/>
    <dgm:cxn modelId="{35387F40-44A4-4CA7-AF4E-3C739AE6611C}" srcId="{23FA7F58-34AB-4590-A2C0-4796D49F9A9F}" destId="{8CFD223A-FDE0-407A-83EC-1027A55709E6}" srcOrd="4" destOrd="0" parTransId="{1486EED0-5FFE-4377-8002-B1857048E2C0}" sibTransId="{53B4F4C7-48E7-4F1F-A32D-BE0F2A0189C8}"/>
    <dgm:cxn modelId="{2CD1D25B-EC7A-484E-AF7D-576F5E7C5D85}" type="presOf" srcId="{6962E3EC-8801-4C4E-99FA-4372C375BBBF}" destId="{4F25C92D-2C7E-452D-9A26-4FEEFF5750E7}" srcOrd="0" destOrd="0" presId="urn:microsoft.com/office/officeart/2005/8/layout/vList5"/>
    <dgm:cxn modelId="{E623375D-5470-4715-83E4-B954D6223929}" type="presOf" srcId="{3CEFB140-FE1F-42AC-B1FC-6BE2924CC12F}" destId="{91244DD1-BFA4-4601-B4B1-39BFE919E2E0}" srcOrd="0" destOrd="0" presId="urn:microsoft.com/office/officeart/2005/8/layout/vList5"/>
    <dgm:cxn modelId="{5852D75D-394C-4410-A66F-C7CBC53D9BE4}" srcId="{F61E939F-4573-43C2-9932-9B25983BEB8E}" destId="{3CEFB140-FE1F-42AC-B1FC-6BE2924CC12F}" srcOrd="0" destOrd="0" parTransId="{22382C99-FCDB-4C1D-8E23-4CED57F99A0D}" sibTransId="{74886878-DB97-4EEB-9DED-D6A4D1138B21}"/>
    <dgm:cxn modelId="{B893D065-E867-49F4-B523-D04133B97B45}" srcId="{2922D74D-DE5E-41E7-BFFA-EE7D72C77DA8}" destId="{9A1FCB4C-3AD1-4FD6-8427-1F20CE4F8E8C}" srcOrd="0" destOrd="0" parTransId="{705F058D-EE93-4A53-B309-303B97CF3033}" sibTransId="{D0702C91-C85D-4609-94AA-4356D7CFCB9B}"/>
    <dgm:cxn modelId="{565C3950-42F9-41E9-8BB2-3B8923EFED27}" srcId="{23FA7F58-34AB-4590-A2C0-4796D49F9A9F}" destId="{82238ECA-90BE-4817-8DE8-A732C6C73A47}" srcOrd="8" destOrd="0" parTransId="{E6CCE7D1-5EB7-4A89-98C1-A902EDDC1377}" sibTransId="{22EA27AA-9A6F-482D-939D-D7E33EBAF62F}"/>
    <dgm:cxn modelId="{824AE054-8092-4450-9155-ADC0907E558D}" type="presOf" srcId="{C62D94CF-D75F-4620-8B14-43B8E22010C6}" destId="{1626F154-AA3C-4152-9649-D39AB32AA5FF}" srcOrd="0" destOrd="0" presId="urn:microsoft.com/office/officeart/2005/8/layout/vList5"/>
    <dgm:cxn modelId="{41319779-51EB-44D2-A3B9-80BF726214B1}" srcId="{01BD2BD4-9422-4134-A809-94E6A035FD95}" destId="{2AFA8FE4-E70C-4A3C-A745-1B19E4F729A9}" srcOrd="0" destOrd="0" parTransId="{087170C8-ABAF-4C34-899F-DA573E8C6BED}" sibTransId="{3F8C34BA-C471-450C-B87D-BF8EEFBB4624}"/>
    <dgm:cxn modelId="{AA4BC67C-44F4-4E51-9BF5-47328126932E}" srcId="{C01D8580-F64A-428A-A08A-68B2A1D7564D}" destId="{F5D76AC7-9F98-48E8-85B6-A9E3CAD78B26}" srcOrd="0" destOrd="0" parTransId="{252210C4-6DC0-4EA9-AE92-E2C222D1F4B9}" sibTransId="{3C1EDD42-CF18-4B5F-9B85-BB9FDB4F4595}"/>
    <dgm:cxn modelId="{3BA97E7D-4DB1-483A-ACB1-2AD67CE0733C}" srcId="{BFC944DF-419E-447C-A560-E5AA1D547CD7}" destId="{3EFF86FF-D8EC-4623-BD32-7A10F09CBBD5}" srcOrd="0" destOrd="0" parTransId="{9ABF0EC7-7DE4-4959-8092-B4AAC9BD32F0}" sibTransId="{5B2953EE-513E-4956-8613-BF4FAF7D3394}"/>
    <dgm:cxn modelId="{5BF7818D-DC8A-4F47-975D-E1FA3267DF56}" type="presOf" srcId="{32280207-1A3A-4871-96F6-FF78CF5F97E5}" destId="{B93051E9-A441-4FA0-A98E-837E720F650B}" srcOrd="0" destOrd="0" presId="urn:microsoft.com/office/officeart/2005/8/layout/vList5"/>
    <dgm:cxn modelId="{877AB58F-7090-44E0-958F-61C8F2AFAEE2}" type="presOf" srcId="{28F6A4B1-A92C-45A8-AB9B-81CDEEC4C5B4}" destId="{9B249701-8EC9-4483-B418-B5A20FFF10EC}" srcOrd="0" destOrd="0" presId="urn:microsoft.com/office/officeart/2005/8/layout/vList5"/>
    <dgm:cxn modelId="{B0955892-8330-42A4-8E9E-3A28988D7F57}" srcId="{23FA7F58-34AB-4590-A2C0-4796D49F9A9F}" destId="{F61E939F-4573-43C2-9932-9B25983BEB8E}" srcOrd="5" destOrd="0" parTransId="{26B80455-530E-41F3-9835-5E935CD43691}" sibTransId="{382A94C1-B9B7-4672-849D-27E3EC389991}"/>
    <dgm:cxn modelId="{BDE9C499-BB31-414E-A3A3-1B97DFB1D69A}" type="presOf" srcId="{8CFD223A-FDE0-407A-83EC-1027A55709E6}" destId="{01D1EC8E-A3B3-4771-B609-DDEA8BD00A34}" srcOrd="0" destOrd="0" presId="urn:microsoft.com/office/officeart/2005/8/layout/vList5"/>
    <dgm:cxn modelId="{CDDC98A0-003C-4BD5-AA2D-70B5ED39FDE8}" type="presOf" srcId="{935074B3-6E61-434A-A489-BF804EEFB1FF}" destId="{22F5124C-30D4-4CAC-ADF4-0E7390446005}" srcOrd="0" destOrd="0" presId="urn:microsoft.com/office/officeart/2005/8/layout/vList5"/>
    <dgm:cxn modelId="{DE3136A1-0EC1-42DF-8C4F-0CD0E674179D}" srcId="{23FA7F58-34AB-4590-A2C0-4796D49F9A9F}" destId="{01BD2BD4-9422-4134-A809-94E6A035FD95}" srcOrd="1" destOrd="0" parTransId="{CAC401F8-EE46-499D-9878-7A0B623DF1F2}" sibTransId="{CE9E490B-D02E-4AC6-B371-6C8D5BF020AA}"/>
    <dgm:cxn modelId="{E38395A7-8C2F-4641-A8BD-77C67B09B6C9}" type="presOf" srcId="{F5D76AC7-9F98-48E8-85B6-A9E3CAD78B26}" destId="{02BBE9E4-A604-4FC2-B33A-FF1BED65EF9E}" srcOrd="0" destOrd="0" presId="urn:microsoft.com/office/officeart/2005/8/layout/vList5"/>
    <dgm:cxn modelId="{695711AA-1D77-46FC-B56E-9FE6D08973B3}" type="presOf" srcId="{F61E939F-4573-43C2-9932-9B25983BEB8E}" destId="{270C7F63-709D-4833-8BE4-F2A8CC69B740}" srcOrd="0" destOrd="0" presId="urn:microsoft.com/office/officeart/2005/8/layout/vList5"/>
    <dgm:cxn modelId="{788B2DCC-D0F8-45C1-B950-4C9B392381C0}" srcId="{82238ECA-90BE-4817-8DE8-A732C6C73A47}" destId="{ED51563F-9AC4-4AFF-BAAD-5C9C1555D373}" srcOrd="0" destOrd="0" parTransId="{5980F193-E337-42B9-95F2-E6CA9BD8E1B9}" sibTransId="{04355294-A5C3-41A2-A77D-446516469C59}"/>
    <dgm:cxn modelId="{4BE7A6CF-B728-46DB-BAA8-4DA5D443970B}" srcId="{23FA7F58-34AB-4590-A2C0-4796D49F9A9F}" destId="{0656469D-8AE0-4431-9B0E-430C8D14F168}" srcOrd="0" destOrd="0" parTransId="{19EFFC5D-1609-40EA-A43C-8A0C6C0C7D47}" sibTransId="{791F05C0-3545-4499-8A7E-29ADD284BD14}"/>
    <dgm:cxn modelId="{498078D0-5FD2-45D3-A3D3-309FEA0D7DAE}" type="presOf" srcId="{0656469D-8AE0-4431-9B0E-430C8D14F168}" destId="{53167621-E85F-4654-B26B-6558488A8BFD}" srcOrd="0" destOrd="0" presId="urn:microsoft.com/office/officeart/2005/8/layout/vList5"/>
    <dgm:cxn modelId="{E1C0BFD3-DC34-4056-B657-E601982718AB}" srcId="{8CFD223A-FDE0-407A-83EC-1027A55709E6}" destId="{C62D94CF-D75F-4620-8B14-43B8E22010C6}" srcOrd="0" destOrd="0" parTransId="{DEDF41CC-35C0-4FAA-AA30-CB68436B534A}" sibTransId="{BA0B16BA-4892-42FD-9DF0-D4E9A2E34A4E}"/>
    <dgm:cxn modelId="{D3F7FDD6-3A3A-4689-ADA1-A0AA32185BD4}" srcId="{86D8318E-E947-4A6E-9885-B292BF8F82CA}" destId="{6962E3EC-8801-4C4E-99FA-4372C375BBBF}" srcOrd="0" destOrd="0" parTransId="{01C8FB1F-5368-43FE-B47E-83142C0886D9}" sibTransId="{07E5ACAA-6AA9-4659-8FF9-3140841BCE2E}"/>
    <dgm:cxn modelId="{3342B4D9-D32E-4B42-86B8-C4D3E1584C49}" type="presOf" srcId="{82238ECA-90BE-4817-8DE8-A732C6C73A47}" destId="{B8B332F7-2FE0-4D1B-B9BC-A304435AA5BA}" srcOrd="0" destOrd="0" presId="urn:microsoft.com/office/officeart/2005/8/layout/vList5"/>
    <dgm:cxn modelId="{661274DA-AD2D-4804-AE63-A9C4C8DE80E9}" type="presOf" srcId="{3EFF86FF-D8EC-4623-BD32-7A10F09CBBD5}" destId="{675FFD5A-7F27-4622-B76E-5CF32FEFAE56}" srcOrd="0" destOrd="0" presId="urn:microsoft.com/office/officeart/2005/8/layout/vList5"/>
    <dgm:cxn modelId="{417924DC-FEE1-430A-8E4F-B54FD4CB34D5}" type="presOf" srcId="{C01D8580-F64A-428A-A08A-68B2A1D7564D}" destId="{939B8DEE-EE52-404C-B06D-980688304B10}" srcOrd="0" destOrd="0" presId="urn:microsoft.com/office/officeart/2005/8/layout/vList5"/>
    <dgm:cxn modelId="{A3ED62DC-BD46-4E7D-9E75-BEFC61004813}" type="presOf" srcId="{2922D74D-DE5E-41E7-BFFA-EE7D72C77DA8}" destId="{9E365916-36F0-444E-A685-A2B7F5DF5FCD}" srcOrd="0" destOrd="0" presId="urn:microsoft.com/office/officeart/2005/8/layout/vList5"/>
    <dgm:cxn modelId="{EB0451E3-EA96-43AA-BFD3-CD0EF2F60161}" type="presOf" srcId="{86D8318E-E947-4A6E-9885-B292BF8F82CA}" destId="{CBE104D9-F0AF-4861-8AD7-BFA35C772D26}" srcOrd="0" destOrd="0" presId="urn:microsoft.com/office/officeart/2005/8/layout/vList5"/>
    <dgm:cxn modelId="{F1ED00ED-7F74-4EB5-A954-5EAC30346B0B}" type="presOf" srcId="{01BD2BD4-9422-4134-A809-94E6A035FD95}" destId="{5A9B25F6-BF59-49F3-B144-5BDAA2841289}" srcOrd="0" destOrd="0" presId="urn:microsoft.com/office/officeart/2005/8/layout/vList5"/>
    <dgm:cxn modelId="{D5512CED-7325-4374-8D65-B6584994A045}" type="presOf" srcId="{ED51563F-9AC4-4AFF-BAAD-5C9C1555D373}" destId="{9BC1C3AC-835B-44F2-ACD0-CDF5E0480D72}" srcOrd="0" destOrd="0" presId="urn:microsoft.com/office/officeart/2005/8/layout/vList5"/>
    <dgm:cxn modelId="{7D0B61FB-BB04-48E8-AEF4-3F0C25F7BED5}" srcId="{935074B3-6E61-434A-A489-BF804EEFB1FF}" destId="{28F6A4B1-A92C-45A8-AB9B-81CDEEC4C5B4}" srcOrd="0" destOrd="0" parTransId="{DBE2751F-7236-4370-91C5-C70E4D82BE45}" sibTransId="{45FD9D58-F78F-4225-ABBC-E18487A22C9F}"/>
    <dgm:cxn modelId="{1FE9EAEB-3E07-4BF9-A97F-8BD97903D964}" type="presParOf" srcId="{27F52123-463E-4E0A-ADA8-9F139BF94459}" destId="{F508F4C1-27DC-4FEF-AE3D-6C10C00AEA2B}" srcOrd="0" destOrd="0" presId="urn:microsoft.com/office/officeart/2005/8/layout/vList5"/>
    <dgm:cxn modelId="{9A935A1E-D203-4613-8F4F-C5D099D3E5CF}" type="presParOf" srcId="{F508F4C1-27DC-4FEF-AE3D-6C10C00AEA2B}" destId="{53167621-E85F-4654-B26B-6558488A8BFD}" srcOrd="0" destOrd="0" presId="urn:microsoft.com/office/officeart/2005/8/layout/vList5"/>
    <dgm:cxn modelId="{7F7918BA-1D71-4097-8CFD-360A98990539}" type="presParOf" srcId="{F508F4C1-27DC-4FEF-AE3D-6C10C00AEA2B}" destId="{B93051E9-A441-4FA0-A98E-837E720F650B}" srcOrd="1" destOrd="0" presId="urn:microsoft.com/office/officeart/2005/8/layout/vList5"/>
    <dgm:cxn modelId="{0B501BB8-F4EE-4C72-90EB-0CB69C4DDEDC}" type="presParOf" srcId="{27F52123-463E-4E0A-ADA8-9F139BF94459}" destId="{9F9E7B4E-50AD-4B81-85FB-BF2B5198CE83}" srcOrd="1" destOrd="0" presId="urn:microsoft.com/office/officeart/2005/8/layout/vList5"/>
    <dgm:cxn modelId="{7BDE1ED6-E6AD-4166-8B99-E179F5A16260}" type="presParOf" srcId="{27F52123-463E-4E0A-ADA8-9F139BF94459}" destId="{508CFEDC-9118-44D1-A93E-619A268B40F4}" srcOrd="2" destOrd="0" presId="urn:microsoft.com/office/officeart/2005/8/layout/vList5"/>
    <dgm:cxn modelId="{B5276771-2C23-4FAF-AB5B-E14A43A26147}" type="presParOf" srcId="{508CFEDC-9118-44D1-A93E-619A268B40F4}" destId="{5A9B25F6-BF59-49F3-B144-5BDAA2841289}" srcOrd="0" destOrd="0" presId="urn:microsoft.com/office/officeart/2005/8/layout/vList5"/>
    <dgm:cxn modelId="{C14992C6-4013-4CC7-81A3-65071CA284BA}" type="presParOf" srcId="{508CFEDC-9118-44D1-A93E-619A268B40F4}" destId="{24FF8B05-5BC0-4E70-B692-DA0CECBE8407}" srcOrd="1" destOrd="0" presId="urn:microsoft.com/office/officeart/2005/8/layout/vList5"/>
    <dgm:cxn modelId="{2083C9E3-696A-4EB9-AD8F-86FAB3B97B62}" type="presParOf" srcId="{27F52123-463E-4E0A-ADA8-9F139BF94459}" destId="{C8AD6531-721B-41CE-9602-0E77AEB4969A}" srcOrd="3" destOrd="0" presId="urn:microsoft.com/office/officeart/2005/8/layout/vList5"/>
    <dgm:cxn modelId="{E5DA9828-2A2C-4C87-B58C-D2550BEECC2E}" type="presParOf" srcId="{27F52123-463E-4E0A-ADA8-9F139BF94459}" destId="{AD7C0897-A23D-4A2B-8F13-B82F1CFC6749}" srcOrd="4" destOrd="0" presId="urn:microsoft.com/office/officeart/2005/8/layout/vList5"/>
    <dgm:cxn modelId="{732A5F8D-5006-44EE-B3BC-D8950A3B7774}" type="presParOf" srcId="{AD7C0897-A23D-4A2B-8F13-B82F1CFC6749}" destId="{87338CBD-CC42-4D61-AA4C-E0AFB6A74F05}" srcOrd="0" destOrd="0" presId="urn:microsoft.com/office/officeart/2005/8/layout/vList5"/>
    <dgm:cxn modelId="{C094CEE6-2764-46AA-8606-EA1056FE700D}" type="presParOf" srcId="{AD7C0897-A23D-4A2B-8F13-B82F1CFC6749}" destId="{675FFD5A-7F27-4622-B76E-5CF32FEFAE56}" srcOrd="1" destOrd="0" presId="urn:microsoft.com/office/officeart/2005/8/layout/vList5"/>
    <dgm:cxn modelId="{8FC6D59A-06CE-4D57-87A7-0FD61A5DD07C}" type="presParOf" srcId="{27F52123-463E-4E0A-ADA8-9F139BF94459}" destId="{298DA927-68C5-4848-803B-11614E3F023A}" srcOrd="5" destOrd="0" presId="urn:microsoft.com/office/officeart/2005/8/layout/vList5"/>
    <dgm:cxn modelId="{10ED15DA-1F27-4B87-B799-8B0922C7C561}" type="presParOf" srcId="{27F52123-463E-4E0A-ADA8-9F139BF94459}" destId="{008FACE8-8ED5-47D6-B107-F4B2DCC63ADA}" srcOrd="6" destOrd="0" presId="urn:microsoft.com/office/officeart/2005/8/layout/vList5"/>
    <dgm:cxn modelId="{60131F7B-C67F-4547-A244-1140ACB56FE5}" type="presParOf" srcId="{008FACE8-8ED5-47D6-B107-F4B2DCC63ADA}" destId="{22F5124C-30D4-4CAC-ADF4-0E7390446005}" srcOrd="0" destOrd="0" presId="urn:microsoft.com/office/officeart/2005/8/layout/vList5"/>
    <dgm:cxn modelId="{6B2A8F88-85EC-43F7-8FA0-18013683B47E}" type="presParOf" srcId="{008FACE8-8ED5-47D6-B107-F4B2DCC63ADA}" destId="{9B249701-8EC9-4483-B418-B5A20FFF10EC}" srcOrd="1" destOrd="0" presId="urn:microsoft.com/office/officeart/2005/8/layout/vList5"/>
    <dgm:cxn modelId="{94E7F13A-76C9-4C4F-9420-EA6CCD91D7A6}" type="presParOf" srcId="{27F52123-463E-4E0A-ADA8-9F139BF94459}" destId="{1AF50178-6024-43E4-BAA2-8BF00DABDE13}" srcOrd="7" destOrd="0" presId="urn:microsoft.com/office/officeart/2005/8/layout/vList5"/>
    <dgm:cxn modelId="{7CBF20A7-7BAB-4B28-9763-227A45982C6B}" type="presParOf" srcId="{27F52123-463E-4E0A-ADA8-9F139BF94459}" destId="{509AF8F5-673B-48E2-BC5C-B68E5F62AD27}" srcOrd="8" destOrd="0" presId="urn:microsoft.com/office/officeart/2005/8/layout/vList5"/>
    <dgm:cxn modelId="{AF010F3B-9903-48B9-A529-59A39A59C419}" type="presParOf" srcId="{509AF8F5-673B-48E2-BC5C-B68E5F62AD27}" destId="{01D1EC8E-A3B3-4771-B609-DDEA8BD00A34}" srcOrd="0" destOrd="0" presId="urn:microsoft.com/office/officeart/2005/8/layout/vList5"/>
    <dgm:cxn modelId="{BC397389-CAAB-444B-BAE9-A640C5937B63}" type="presParOf" srcId="{509AF8F5-673B-48E2-BC5C-B68E5F62AD27}" destId="{1626F154-AA3C-4152-9649-D39AB32AA5FF}" srcOrd="1" destOrd="0" presId="urn:microsoft.com/office/officeart/2005/8/layout/vList5"/>
    <dgm:cxn modelId="{BF6D924E-21EF-4A65-B8FB-DE24072F32A9}" type="presParOf" srcId="{27F52123-463E-4E0A-ADA8-9F139BF94459}" destId="{DE10E294-1275-4058-94DE-B840C7F96F4B}" srcOrd="9" destOrd="0" presId="urn:microsoft.com/office/officeart/2005/8/layout/vList5"/>
    <dgm:cxn modelId="{76BC7DAB-8ABF-4DF6-93AB-CE5EBE480EE4}" type="presParOf" srcId="{27F52123-463E-4E0A-ADA8-9F139BF94459}" destId="{92D2076F-4EFB-47C0-A8B0-AC9DD632FBFA}" srcOrd="10" destOrd="0" presId="urn:microsoft.com/office/officeart/2005/8/layout/vList5"/>
    <dgm:cxn modelId="{877460E2-A6AE-4096-AD0A-53B5E8DB7643}" type="presParOf" srcId="{92D2076F-4EFB-47C0-A8B0-AC9DD632FBFA}" destId="{270C7F63-709D-4833-8BE4-F2A8CC69B740}" srcOrd="0" destOrd="0" presId="urn:microsoft.com/office/officeart/2005/8/layout/vList5"/>
    <dgm:cxn modelId="{190A83AE-F014-4109-9F0F-87638F877119}" type="presParOf" srcId="{92D2076F-4EFB-47C0-A8B0-AC9DD632FBFA}" destId="{91244DD1-BFA4-4601-B4B1-39BFE919E2E0}" srcOrd="1" destOrd="0" presId="urn:microsoft.com/office/officeart/2005/8/layout/vList5"/>
    <dgm:cxn modelId="{F21526D9-813E-4E84-B717-1D0716D29519}" type="presParOf" srcId="{27F52123-463E-4E0A-ADA8-9F139BF94459}" destId="{20E47EE4-9199-4490-BF1B-088CA6FB0ABA}" srcOrd="11" destOrd="0" presId="urn:microsoft.com/office/officeart/2005/8/layout/vList5"/>
    <dgm:cxn modelId="{A42DD4A5-D97C-46DD-B8B2-A22240AF286A}" type="presParOf" srcId="{27F52123-463E-4E0A-ADA8-9F139BF94459}" destId="{38F8E1BD-F322-4C41-A5AC-0003F20482B5}" srcOrd="12" destOrd="0" presId="urn:microsoft.com/office/officeart/2005/8/layout/vList5"/>
    <dgm:cxn modelId="{348BE412-0CFD-43A5-B970-E0A93DECB3A1}" type="presParOf" srcId="{38F8E1BD-F322-4C41-A5AC-0003F20482B5}" destId="{9E365916-36F0-444E-A685-A2B7F5DF5FCD}" srcOrd="0" destOrd="0" presId="urn:microsoft.com/office/officeart/2005/8/layout/vList5"/>
    <dgm:cxn modelId="{85A6BBDC-CD57-41EE-B3B3-FF82829163E2}" type="presParOf" srcId="{38F8E1BD-F322-4C41-A5AC-0003F20482B5}" destId="{C9E49E43-FD7C-4F8C-944E-52CEFFAB5DC5}" srcOrd="1" destOrd="0" presId="urn:microsoft.com/office/officeart/2005/8/layout/vList5"/>
    <dgm:cxn modelId="{139B084C-6DF7-483D-B81E-49C8905CFC27}" type="presParOf" srcId="{27F52123-463E-4E0A-ADA8-9F139BF94459}" destId="{C8A5E9D8-3FFD-49B5-A8D0-CA126AE3DBDE}" srcOrd="13" destOrd="0" presId="urn:microsoft.com/office/officeart/2005/8/layout/vList5"/>
    <dgm:cxn modelId="{3C236AE4-F523-477E-B27A-47240E94EF5F}" type="presParOf" srcId="{27F52123-463E-4E0A-ADA8-9F139BF94459}" destId="{8A08F0D3-F65B-4481-9A50-4A59C668531B}" srcOrd="14" destOrd="0" presId="urn:microsoft.com/office/officeart/2005/8/layout/vList5"/>
    <dgm:cxn modelId="{775B2F40-043C-4CC1-8A48-D6ECAFD19BFA}" type="presParOf" srcId="{8A08F0D3-F65B-4481-9A50-4A59C668531B}" destId="{939B8DEE-EE52-404C-B06D-980688304B10}" srcOrd="0" destOrd="0" presId="urn:microsoft.com/office/officeart/2005/8/layout/vList5"/>
    <dgm:cxn modelId="{018C0154-8811-4F07-BB32-E43FB94642EC}" type="presParOf" srcId="{8A08F0D3-F65B-4481-9A50-4A59C668531B}" destId="{02BBE9E4-A604-4FC2-B33A-FF1BED65EF9E}" srcOrd="1" destOrd="0" presId="urn:microsoft.com/office/officeart/2005/8/layout/vList5"/>
    <dgm:cxn modelId="{17525235-BA2F-4964-9F3F-3A6299FCEAF6}" type="presParOf" srcId="{27F52123-463E-4E0A-ADA8-9F139BF94459}" destId="{9DE3B024-D27F-4076-A345-C53909D8842B}" srcOrd="15" destOrd="0" presId="urn:microsoft.com/office/officeart/2005/8/layout/vList5"/>
    <dgm:cxn modelId="{28669F7A-5820-4124-A1C5-39B1D633ED24}" type="presParOf" srcId="{27F52123-463E-4E0A-ADA8-9F139BF94459}" destId="{19245FC1-0F03-4637-B390-644E7DA4CDBE}" srcOrd="16" destOrd="0" presId="urn:microsoft.com/office/officeart/2005/8/layout/vList5"/>
    <dgm:cxn modelId="{77740975-4F80-4AA2-956C-FFC45A4C1B3E}" type="presParOf" srcId="{19245FC1-0F03-4637-B390-644E7DA4CDBE}" destId="{B8B332F7-2FE0-4D1B-B9BC-A304435AA5BA}" srcOrd="0" destOrd="0" presId="urn:microsoft.com/office/officeart/2005/8/layout/vList5"/>
    <dgm:cxn modelId="{2A818452-A159-48A8-8F40-F76323FB2598}" type="presParOf" srcId="{19245FC1-0F03-4637-B390-644E7DA4CDBE}" destId="{9BC1C3AC-835B-44F2-ACD0-CDF5E0480D72}" srcOrd="1" destOrd="0" presId="urn:microsoft.com/office/officeart/2005/8/layout/vList5"/>
    <dgm:cxn modelId="{2BF32AA4-71EB-49C4-9D28-307B2DE35909}" type="presParOf" srcId="{27F52123-463E-4E0A-ADA8-9F139BF94459}" destId="{CB3C2327-3AC8-4A26-8ED5-922494288D32}" srcOrd="17" destOrd="0" presId="urn:microsoft.com/office/officeart/2005/8/layout/vList5"/>
    <dgm:cxn modelId="{79D05BA2-7109-4893-AC34-770170BA4321}" type="presParOf" srcId="{27F52123-463E-4E0A-ADA8-9F139BF94459}" destId="{C8F48807-ED6D-488B-A693-8B7C88524D18}" srcOrd="18" destOrd="0" presId="urn:microsoft.com/office/officeart/2005/8/layout/vList5"/>
    <dgm:cxn modelId="{62CBE3AC-DC29-4052-B84B-5996AB2E669B}" type="presParOf" srcId="{C8F48807-ED6D-488B-A693-8B7C88524D18}" destId="{CBE104D9-F0AF-4861-8AD7-BFA35C772D26}" srcOrd="0" destOrd="0" presId="urn:microsoft.com/office/officeart/2005/8/layout/vList5"/>
    <dgm:cxn modelId="{0C12D551-0733-4315-9FD0-E8133C8E4C8C}" type="presParOf" srcId="{C8F48807-ED6D-488B-A693-8B7C88524D18}" destId="{4F25C92D-2C7E-452D-9A26-4FEEFF5750E7}" srcOrd="1" destOrd="0" presId="urn:microsoft.com/office/officeart/2005/8/layout/vList5"/>
  </dgm:cxnLst>
  <dgm:bg/>
  <dgm:whole/>
  <dgm:extLst>
    <a:ext uri="http://schemas.microsoft.com/office/drawing/2008/diagram">
      <dsp:dataModelExt xmlns:dsp="http://schemas.microsoft.com/office/drawing/2008/diagram" relId="rId3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7C73198-7CA5-4861-9187-D8242923F164}">
      <dsp:nvSpPr>
        <dsp:cNvPr id="0" name=""/>
        <dsp:cNvSpPr/>
      </dsp:nvSpPr>
      <dsp:spPr>
        <a:xfrm>
          <a:off x="1990534" y="40886"/>
          <a:ext cx="1962531" cy="1962531"/>
        </a:xfrm>
        <a:prstGeom prst="ellipse">
          <a:avLst/>
        </a:prstGeom>
        <a:solidFill>
          <a:sysClr val="window" lastClr="FFFFFF">
            <a:alpha val="50000"/>
            <a:hueOff val="0"/>
            <a:satOff val="0"/>
            <a:lumOff val="0"/>
            <a:alphaOff val="0"/>
          </a:sysClr>
        </a:solidFill>
        <a:ln w="12700" cap="flat" cmpd="sng" algn="ctr">
          <a:solidFill>
            <a:srgbClr val="44546A">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marL="0" lvl="0" indent="0" algn="ctr" defTabSz="400050" rtl="0">
            <a:lnSpc>
              <a:spcPct val="90000"/>
            </a:lnSpc>
            <a:spcBef>
              <a:spcPct val="0"/>
            </a:spcBef>
            <a:spcAft>
              <a:spcPct val="35000"/>
            </a:spcAft>
            <a:buNone/>
          </a:pPr>
          <a:r>
            <a:rPr lang="hr-HR" sz="900" b="0" kern="1200">
              <a:solidFill>
                <a:sysClr val="windowText" lastClr="000000">
                  <a:hueOff val="0"/>
                  <a:satOff val="0"/>
                  <a:lumOff val="0"/>
                  <a:alphaOff val="0"/>
                </a:sysClr>
              </a:solidFill>
              <a:latin typeface="Calibri" panose="020F0502020204030204"/>
              <a:ea typeface="+mn-ea"/>
              <a:cs typeface="+mn-cs"/>
            </a:rPr>
            <a:t>A</a:t>
          </a:r>
          <a:r>
            <a:rPr lang="hr-HR" sz="900" b="1" kern="1200">
              <a:solidFill>
                <a:sysClr val="windowText" lastClr="000000">
                  <a:hueOff val="0"/>
                  <a:satOff val="0"/>
                  <a:lumOff val="0"/>
                  <a:alphaOff val="0"/>
                </a:sysClr>
              </a:solidFill>
              <a:latin typeface="Calibri" panose="020F0502020204030204"/>
              <a:ea typeface="+mn-ea"/>
              <a:cs typeface="+mn-cs"/>
            </a:rPr>
            <a:t> Vision for Sustainable Development</a:t>
          </a:r>
          <a:r>
            <a:rPr lang="hr-HR" sz="900" kern="1200">
              <a:solidFill>
                <a:sysClr val="windowText" lastClr="000000">
                  <a:hueOff val="0"/>
                  <a:satOff val="0"/>
                  <a:lumOff val="0"/>
                  <a:alphaOff val="0"/>
                </a:sysClr>
              </a:solidFill>
              <a:latin typeface="Calibri" panose="020F0502020204030204"/>
              <a:ea typeface="+mn-ea"/>
              <a:cs typeface="+mn-cs"/>
            </a:rPr>
            <a:t>, which sets out the Bank's aspirations regarding environmental and social sustainability</a:t>
          </a:r>
        </a:p>
      </dsp:txBody>
      <dsp:txXfrm>
        <a:off x="2252205" y="384328"/>
        <a:ext cx="1439189" cy="883138"/>
      </dsp:txXfrm>
    </dsp:sp>
    <dsp:sp modelId="{5314F082-1DD6-427E-B574-34927F00AE08}">
      <dsp:nvSpPr>
        <dsp:cNvPr id="0" name=""/>
        <dsp:cNvSpPr/>
      </dsp:nvSpPr>
      <dsp:spPr>
        <a:xfrm>
          <a:off x="2698681" y="1267467"/>
          <a:ext cx="1962531" cy="1962531"/>
        </a:xfrm>
        <a:prstGeom prst="ellipse">
          <a:avLst/>
        </a:prstGeom>
        <a:solidFill>
          <a:sysClr val="window" lastClr="FFFFFF">
            <a:alpha val="50000"/>
            <a:hueOff val="0"/>
            <a:satOff val="0"/>
            <a:lumOff val="0"/>
            <a:alphaOff val="0"/>
          </a:sysClr>
        </a:solidFill>
        <a:ln w="12700" cap="flat" cmpd="sng" algn="ctr">
          <a:solidFill>
            <a:srgbClr val="4472C4"/>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marL="0" lvl="0" indent="0" algn="ctr" defTabSz="400050" rtl="0">
            <a:lnSpc>
              <a:spcPct val="90000"/>
            </a:lnSpc>
            <a:spcBef>
              <a:spcPct val="0"/>
            </a:spcBef>
            <a:spcAft>
              <a:spcPct val="35000"/>
            </a:spcAft>
            <a:buNone/>
          </a:pPr>
          <a:r>
            <a:rPr lang="hr-HR" sz="900" b="1" kern="1200">
              <a:solidFill>
                <a:sysClr val="windowText" lastClr="000000">
                  <a:hueOff val="0"/>
                  <a:satOff val="0"/>
                  <a:lumOff val="0"/>
                  <a:alphaOff val="0"/>
                </a:sysClr>
              </a:solidFill>
              <a:latin typeface="Calibri" panose="020F0502020204030204"/>
              <a:ea typeface="+mn-ea"/>
              <a:cs typeface="+mn-cs"/>
            </a:rPr>
            <a:t>The World Bank Environmental and Social Policy for Investment Project Financing,</a:t>
          </a:r>
          <a:r>
            <a:rPr lang="hr-HR" sz="900" kern="1200">
              <a:solidFill>
                <a:sysClr val="windowText" lastClr="000000">
                  <a:hueOff val="0"/>
                  <a:satOff val="0"/>
                  <a:lumOff val="0"/>
                  <a:alphaOff val="0"/>
                </a:sysClr>
              </a:solidFill>
              <a:latin typeface="Calibri" panose="020F0502020204030204"/>
              <a:ea typeface="+mn-ea"/>
              <a:cs typeface="+mn-cs"/>
            </a:rPr>
            <a:t> which sets out the mandatory requirements that apply to the Bank</a:t>
          </a:r>
        </a:p>
      </dsp:txBody>
      <dsp:txXfrm>
        <a:off x="3298888" y="1774455"/>
        <a:ext cx="1177518" cy="1079392"/>
      </dsp:txXfrm>
    </dsp:sp>
    <dsp:sp modelId="{3A05D180-2E4B-4DAF-9896-2CFC9E500AE8}">
      <dsp:nvSpPr>
        <dsp:cNvPr id="0" name=""/>
        <dsp:cNvSpPr/>
      </dsp:nvSpPr>
      <dsp:spPr>
        <a:xfrm>
          <a:off x="1282387" y="1267467"/>
          <a:ext cx="1962531" cy="1962531"/>
        </a:xfrm>
        <a:prstGeom prst="ellipse">
          <a:avLst/>
        </a:prstGeom>
        <a:solidFill>
          <a:sysClr val="window" lastClr="FFFFFF">
            <a:alpha val="50000"/>
            <a:hueOff val="0"/>
            <a:satOff val="0"/>
            <a:lumOff val="0"/>
            <a:alphaOff val="0"/>
          </a:sysClr>
        </a:solidFill>
        <a:ln w="12700" cap="flat" cmpd="sng" algn="ctr">
          <a:solidFill>
            <a:srgbClr val="008000"/>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marL="0" lvl="0" indent="0" algn="ctr" defTabSz="400050" rtl="0">
            <a:lnSpc>
              <a:spcPct val="90000"/>
            </a:lnSpc>
            <a:spcBef>
              <a:spcPct val="0"/>
            </a:spcBef>
            <a:spcAft>
              <a:spcPct val="35000"/>
            </a:spcAft>
            <a:buNone/>
          </a:pPr>
          <a:r>
            <a:rPr lang="hr-HR" sz="900" b="0" kern="1200">
              <a:solidFill>
                <a:sysClr val="windowText" lastClr="000000">
                  <a:hueOff val="0"/>
                  <a:satOff val="0"/>
                  <a:lumOff val="0"/>
                  <a:alphaOff val="0"/>
                </a:sysClr>
              </a:solidFill>
              <a:latin typeface="Calibri" panose="020F0502020204030204"/>
              <a:ea typeface="+mn-ea"/>
              <a:cs typeface="+mn-cs"/>
            </a:rPr>
            <a:t>The</a:t>
          </a:r>
          <a:r>
            <a:rPr lang="hr-HR" sz="900" b="1" kern="1200">
              <a:solidFill>
                <a:sysClr val="windowText" lastClr="000000">
                  <a:hueOff val="0"/>
                  <a:satOff val="0"/>
                  <a:lumOff val="0"/>
                  <a:alphaOff val="0"/>
                </a:sysClr>
              </a:solidFill>
              <a:latin typeface="Calibri" panose="020F0502020204030204"/>
              <a:ea typeface="+mn-ea"/>
              <a:cs typeface="+mn-cs"/>
            </a:rPr>
            <a:t> Environmental and Social Standards,</a:t>
          </a:r>
          <a:r>
            <a:rPr lang="hr-HR" sz="900" kern="1200">
              <a:solidFill>
                <a:sysClr val="windowText" lastClr="000000">
                  <a:hueOff val="0"/>
                  <a:satOff val="0"/>
                  <a:lumOff val="0"/>
                  <a:alphaOff val="0"/>
                </a:sysClr>
              </a:solidFill>
              <a:latin typeface="Calibri" panose="020F0502020204030204"/>
              <a:ea typeface="+mn-ea"/>
              <a:cs typeface="+mn-cs"/>
            </a:rPr>
            <a:t> which set out the mandatory requirements that apply to the Borrower and projects</a:t>
          </a:r>
        </a:p>
      </dsp:txBody>
      <dsp:txXfrm>
        <a:off x="1467192" y="1774455"/>
        <a:ext cx="1177518" cy="1079392"/>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93051E9-A441-4FA0-A98E-837E720F650B}">
      <dsp:nvSpPr>
        <dsp:cNvPr id="0" name=""/>
        <dsp:cNvSpPr/>
      </dsp:nvSpPr>
      <dsp:spPr>
        <a:xfrm rot="5400000">
          <a:off x="3845021" y="-1698238"/>
          <a:ext cx="420024" cy="3816502"/>
        </a:xfrm>
        <a:prstGeom prst="round2SameRect">
          <a:avLst/>
        </a:prstGeom>
        <a:solidFill>
          <a:sysClr val="window" lastClr="FFFFFF">
            <a:alpha val="90000"/>
            <a:tint val="40000"/>
            <a:hueOff val="0"/>
            <a:satOff val="0"/>
            <a:lumOff val="0"/>
            <a:alphaOff val="0"/>
          </a:sysClr>
        </a:solidFill>
        <a:ln w="12700" cap="rnd" cmpd="sng" algn="ctr">
          <a:solidFill>
            <a:srgbClr val="1F497D"/>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Char char="•"/>
          </a:pPr>
          <a:r>
            <a:rPr lang="hr-HR" sz="1000" kern="1200">
              <a:solidFill>
                <a:sysClr val="windowText" lastClr="000000"/>
              </a:solidFill>
              <a:latin typeface="Calibri"/>
              <a:ea typeface="+mn-ea"/>
              <a:cs typeface="+mn-cs"/>
            </a:rPr>
            <a:t> Assessment and Management of Environmental and Social Risks and Impacts</a:t>
          </a:r>
        </a:p>
      </dsp:txBody>
      <dsp:txXfrm rot="-5400000">
        <a:off x="2146782" y="20505"/>
        <a:ext cx="3795998" cy="379016"/>
      </dsp:txXfrm>
    </dsp:sp>
    <dsp:sp modelId="{53167621-E85F-4654-B26B-6558488A8BFD}">
      <dsp:nvSpPr>
        <dsp:cNvPr id="0" name=""/>
        <dsp:cNvSpPr/>
      </dsp:nvSpPr>
      <dsp:spPr>
        <a:xfrm>
          <a:off x="66958" y="21254"/>
          <a:ext cx="2008916" cy="379654"/>
        </a:xfrm>
        <a:prstGeom prst="roundRect">
          <a:avLst/>
        </a:prstGeom>
        <a:solidFill>
          <a:sysClr val="window" lastClr="FFFFFF">
            <a:hueOff val="0"/>
            <a:satOff val="0"/>
            <a:lumOff val="0"/>
            <a:alphaOff val="0"/>
          </a:sysClr>
        </a:solidFill>
        <a:ln w="19050" cap="flat" cmpd="sng" algn="ctr">
          <a:solidFill>
            <a:srgbClr val="008000"/>
          </a:solidFill>
          <a:prstDash val="sysDot"/>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19050" rIns="38100" bIns="19050" numCol="1" spcCol="1270" anchor="ctr" anchorCtr="0">
          <a:noAutofit/>
        </a:bodyPr>
        <a:lstStyle/>
        <a:p>
          <a:pPr marL="0" lvl="0" indent="0" algn="ctr" defTabSz="444500">
            <a:lnSpc>
              <a:spcPct val="90000"/>
            </a:lnSpc>
            <a:spcBef>
              <a:spcPct val="0"/>
            </a:spcBef>
            <a:spcAft>
              <a:spcPct val="35000"/>
            </a:spcAft>
            <a:buNone/>
          </a:pPr>
          <a:r>
            <a:rPr lang="hr-HR" sz="1000" kern="1200">
              <a:solidFill>
                <a:sysClr val="windowText" lastClr="000000"/>
              </a:solidFill>
              <a:latin typeface="Calibri"/>
              <a:ea typeface="+mn-ea"/>
              <a:cs typeface="+mn-cs"/>
            </a:rPr>
            <a:t>Environmental &amp; Social Standard 1</a:t>
          </a:r>
        </a:p>
      </dsp:txBody>
      <dsp:txXfrm>
        <a:off x="85491" y="39787"/>
        <a:ext cx="1971850" cy="342588"/>
      </dsp:txXfrm>
    </dsp:sp>
    <dsp:sp modelId="{24FF8B05-5BC0-4E70-B692-DA0CECBE8407}">
      <dsp:nvSpPr>
        <dsp:cNvPr id="0" name=""/>
        <dsp:cNvSpPr/>
      </dsp:nvSpPr>
      <dsp:spPr>
        <a:xfrm rot="5400000">
          <a:off x="3845021" y="-1250892"/>
          <a:ext cx="420024" cy="3816502"/>
        </a:xfrm>
        <a:prstGeom prst="round2SameRect">
          <a:avLst/>
        </a:prstGeom>
        <a:solidFill>
          <a:sysClr val="window" lastClr="FFFFFF">
            <a:alpha val="90000"/>
            <a:tint val="40000"/>
            <a:hueOff val="0"/>
            <a:satOff val="0"/>
            <a:lumOff val="0"/>
            <a:alphaOff val="0"/>
          </a:sysClr>
        </a:solidFill>
        <a:ln w="12700" cap="flat" cmpd="sng" algn="ctr">
          <a:solidFill>
            <a:srgbClr val="1F497D"/>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Char char="•"/>
          </a:pPr>
          <a:r>
            <a:rPr lang="hr-HR" sz="1000" kern="1200">
              <a:solidFill>
                <a:sysClr val="windowText" lastClr="000000"/>
              </a:solidFill>
              <a:latin typeface="Calibri"/>
              <a:ea typeface="+mn-ea"/>
              <a:cs typeface="+mn-cs"/>
            </a:rPr>
            <a:t> Labor and Working Conditions</a:t>
          </a:r>
        </a:p>
      </dsp:txBody>
      <dsp:txXfrm rot="-5400000">
        <a:off x="2146782" y="467851"/>
        <a:ext cx="3795998" cy="379016"/>
      </dsp:txXfrm>
    </dsp:sp>
    <dsp:sp modelId="{5A9B25F6-BF59-49F3-B144-5BDAA2841289}">
      <dsp:nvSpPr>
        <dsp:cNvPr id="0" name=""/>
        <dsp:cNvSpPr/>
      </dsp:nvSpPr>
      <dsp:spPr>
        <a:xfrm>
          <a:off x="66958" y="469334"/>
          <a:ext cx="2012866" cy="376048"/>
        </a:xfrm>
        <a:prstGeom prst="roundRect">
          <a:avLst/>
        </a:prstGeom>
        <a:solidFill>
          <a:sysClr val="window" lastClr="FFFFFF">
            <a:hueOff val="0"/>
            <a:satOff val="0"/>
            <a:lumOff val="0"/>
            <a:alphaOff val="0"/>
          </a:sysClr>
        </a:solidFill>
        <a:ln w="19050" cap="flat" cmpd="sng" algn="ctr">
          <a:solidFill>
            <a:srgbClr val="008000"/>
          </a:solidFill>
          <a:prstDash val="sysDot"/>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19050" rIns="38100" bIns="19050" numCol="1" spcCol="1270" anchor="ctr" anchorCtr="0">
          <a:noAutofit/>
        </a:bodyPr>
        <a:lstStyle/>
        <a:p>
          <a:pPr marL="0" lvl="0" indent="0" algn="ctr" defTabSz="444500">
            <a:lnSpc>
              <a:spcPct val="90000"/>
            </a:lnSpc>
            <a:spcBef>
              <a:spcPct val="0"/>
            </a:spcBef>
            <a:spcAft>
              <a:spcPct val="35000"/>
            </a:spcAft>
            <a:buNone/>
          </a:pPr>
          <a:r>
            <a:rPr lang="hr-HR" sz="1000" kern="1200">
              <a:solidFill>
                <a:sysClr val="windowText" lastClr="000000"/>
              </a:solidFill>
              <a:latin typeface="Calibri"/>
              <a:ea typeface="+mn-ea"/>
              <a:cs typeface="+mn-cs"/>
            </a:rPr>
            <a:t>Environmental &amp; Social Standard 2</a:t>
          </a:r>
        </a:p>
      </dsp:txBody>
      <dsp:txXfrm>
        <a:off x="85315" y="487691"/>
        <a:ext cx="1976152" cy="339334"/>
      </dsp:txXfrm>
    </dsp:sp>
    <dsp:sp modelId="{675FFD5A-7F27-4622-B76E-5CF32FEFAE56}">
      <dsp:nvSpPr>
        <dsp:cNvPr id="0" name=""/>
        <dsp:cNvSpPr/>
      </dsp:nvSpPr>
      <dsp:spPr>
        <a:xfrm rot="5400000">
          <a:off x="3845021" y="-811614"/>
          <a:ext cx="420024" cy="3816502"/>
        </a:xfrm>
        <a:prstGeom prst="round2SameRect">
          <a:avLst/>
        </a:prstGeom>
        <a:solidFill>
          <a:sysClr val="window" lastClr="FFFFFF">
            <a:alpha val="90000"/>
            <a:tint val="40000"/>
            <a:hueOff val="0"/>
            <a:satOff val="0"/>
            <a:lumOff val="0"/>
            <a:alphaOff val="0"/>
          </a:sysClr>
        </a:solidFill>
        <a:ln w="12700" cap="flat" cmpd="sng" algn="ctr">
          <a:solidFill>
            <a:srgbClr val="1F497D"/>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Char char="•"/>
          </a:pPr>
          <a:r>
            <a:rPr lang="hr-HR" sz="1000" kern="1200">
              <a:solidFill>
                <a:sysClr val="windowText" lastClr="000000"/>
              </a:solidFill>
              <a:latin typeface="Calibri"/>
              <a:ea typeface="+mn-ea"/>
              <a:cs typeface="+mn-cs"/>
            </a:rPr>
            <a:t> Resource Efficiency and Pollution Prevention and Management</a:t>
          </a:r>
        </a:p>
      </dsp:txBody>
      <dsp:txXfrm rot="-5400000">
        <a:off x="2146782" y="907129"/>
        <a:ext cx="3795998" cy="379016"/>
      </dsp:txXfrm>
    </dsp:sp>
    <dsp:sp modelId="{87338CBD-CC42-4D61-AA4C-E0AFB6A74F05}">
      <dsp:nvSpPr>
        <dsp:cNvPr id="0" name=""/>
        <dsp:cNvSpPr/>
      </dsp:nvSpPr>
      <dsp:spPr>
        <a:xfrm>
          <a:off x="66958" y="915610"/>
          <a:ext cx="2012866" cy="376048"/>
        </a:xfrm>
        <a:prstGeom prst="roundRect">
          <a:avLst/>
        </a:prstGeom>
        <a:solidFill>
          <a:sysClr val="window" lastClr="FFFFFF">
            <a:hueOff val="0"/>
            <a:satOff val="0"/>
            <a:lumOff val="0"/>
            <a:alphaOff val="0"/>
          </a:sysClr>
        </a:solidFill>
        <a:ln w="19050" cap="flat" cmpd="sng" algn="ctr">
          <a:solidFill>
            <a:srgbClr val="008000"/>
          </a:solidFill>
          <a:prstDash val="sysDot"/>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19050" rIns="38100" bIns="19050" numCol="1" spcCol="1270" anchor="ctr" anchorCtr="0">
          <a:noAutofit/>
        </a:bodyPr>
        <a:lstStyle/>
        <a:p>
          <a:pPr marL="0" lvl="0" indent="0" algn="ctr" defTabSz="444500">
            <a:lnSpc>
              <a:spcPct val="90000"/>
            </a:lnSpc>
            <a:spcBef>
              <a:spcPct val="0"/>
            </a:spcBef>
            <a:spcAft>
              <a:spcPct val="35000"/>
            </a:spcAft>
            <a:buNone/>
          </a:pPr>
          <a:r>
            <a:rPr lang="hr-HR" sz="1000" kern="1200">
              <a:solidFill>
                <a:sysClr val="windowText" lastClr="000000"/>
              </a:solidFill>
              <a:latin typeface="Calibri"/>
              <a:ea typeface="+mn-ea"/>
              <a:cs typeface="+mn-cs"/>
            </a:rPr>
            <a:t>Environmental &amp; Social Standard 3</a:t>
          </a:r>
        </a:p>
      </dsp:txBody>
      <dsp:txXfrm>
        <a:off x="85315" y="933967"/>
        <a:ext cx="1976152" cy="339334"/>
      </dsp:txXfrm>
    </dsp:sp>
    <dsp:sp modelId="{9B249701-8EC9-4483-B418-B5A20FFF10EC}">
      <dsp:nvSpPr>
        <dsp:cNvPr id="0" name=""/>
        <dsp:cNvSpPr/>
      </dsp:nvSpPr>
      <dsp:spPr>
        <a:xfrm rot="5400000">
          <a:off x="3845021" y="-358340"/>
          <a:ext cx="420024" cy="3816502"/>
        </a:xfrm>
        <a:prstGeom prst="round2SameRect">
          <a:avLst/>
        </a:prstGeom>
        <a:solidFill>
          <a:sysClr val="window" lastClr="FFFFFF">
            <a:alpha val="90000"/>
            <a:tint val="40000"/>
            <a:hueOff val="0"/>
            <a:satOff val="0"/>
            <a:lumOff val="0"/>
            <a:alphaOff val="0"/>
          </a:sysClr>
        </a:solidFill>
        <a:ln w="12700" cap="flat" cmpd="sng" algn="ctr">
          <a:solidFill>
            <a:srgbClr val="1F497D"/>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Char char="•"/>
          </a:pPr>
          <a:r>
            <a:rPr lang="hr-HR" sz="1000" kern="1200">
              <a:solidFill>
                <a:sysClr val="windowText" lastClr="000000"/>
              </a:solidFill>
              <a:latin typeface="Calibri"/>
              <a:ea typeface="+mn-ea"/>
              <a:cs typeface="+mn-cs"/>
            </a:rPr>
            <a:t> Community Health and Safety</a:t>
          </a:r>
        </a:p>
      </dsp:txBody>
      <dsp:txXfrm rot="-5400000">
        <a:off x="2146782" y="1360403"/>
        <a:ext cx="3795998" cy="379016"/>
      </dsp:txXfrm>
    </dsp:sp>
    <dsp:sp modelId="{22F5124C-30D4-4CAC-ADF4-0E7390446005}">
      <dsp:nvSpPr>
        <dsp:cNvPr id="0" name=""/>
        <dsp:cNvSpPr/>
      </dsp:nvSpPr>
      <dsp:spPr>
        <a:xfrm>
          <a:off x="66958" y="1361886"/>
          <a:ext cx="2012866" cy="376048"/>
        </a:xfrm>
        <a:prstGeom prst="roundRect">
          <a:avLst/>
        </a:prstGeom>
        <a:solidFill>
          <a:sysClr val="window" lastClr="FFFFFF">
            <a:hueOff val="0"/>
            <a:satOff val="0"/>
            <a:lumOff val="0"/>
            <a:alphaOff val="0"/>
          </a:sysClr>
        </a:solidFill>
        <a:ln w="19050" cap="flat" cmpd="sng" algn="ctr">
          <a:solidFill>
            <a:srgbClr val="008000"/>
          </a:solidFill>
          <a:prstDash val="sysDot"/>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19050" rIns="38100" bIns="19050" numCol="1" spcCol="1270" anchor="ctr" anchorCtr="0">
          <a:noAutofit/>
        </a:bodyPr>
        <a:lstStyle/>
        <a:p>
          <a:pPr marL="0" lvl="0" indent="0" algn="ctr" defTabSz="444500">
            <a:lnSpc>
              <a:spcPct val="90000"/>
            </a:lnSpc>
            <a:spcBef>
              <a:spcPct val="0"/>
            </a:spcBef>
            <a:spcAft>
              <a:spcPct val="35000"/>
            </a:spcAft>
            <a:buNone/>
          </a:pPr>
          <a:r>
            <a:rPr lang="hr-HR" sz="1000" kern="1200">
              <a:solidFill>
                <a:sysClr val="windowText" lastClr="000000"/>
              </a:solidFill>
              <a:latin typeface="Calibri"/>
              <a:ea typeface="+mn-ea"/>
              <a:cs typeface="+mn-cs"/>
            </a:rPr>
            <a:t>Environmental &amp; Social Standard 4</a:t>
          </a:r>
        </a:p>
      </dsp:txBody>
      <dsp:txXfrm>
        <a:off x="85315" y="1380243"/>
        <a:ext cx="1976152" cy="339334"/>
      </dsp:txXfrm>
    </dsp:sp>
    <dsp:sp modelId="{1626F154-AA3C-4152-9649-D39AB32AA5FF}">
      <dsp:nvSpPr>
        <dsp:cNvPr id="0" name=""/>
        <dsp:cNvSpPr/>
      </dsp:nvSpPr>
      <dsp:spPr>
        <a:xfrm rot="5400000">
          <a:off x="3845021" y="94929"/>
          <a:ext cx="420024" cy="3816502"/>
        </a:xfrm>
        <a:prstGeom prst="round2SameRect">
          <a:avLst/>
        </a:prstGeom>
        <a:solidFill>
          <a:sysClr val="window" lastClr="FFFFFF">
            <a:alpha val="90000"/>
            <a:tint val="40000"/>
            <a:hueOff val="0"/>
            <a:satOff val="0"/>
            <a:lumOff val="0"/>
            <a:alphaOff val="0"/>
          </a:sysClr>
        </a:solidFill>
        <a:ln w="12700" cap="flat" cmpd="sng" algn="ctr">
          <a:solidFill>
            <a:srgbClr val="1F497D"/>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Char char="•"/>
          </a:pPr>
          <a:r>
            <a:rPr lang="hr-HR" sz="1000" kern="1200">
              <a:solidFill>
                <a:sysClr val="windowText" lastClr="000000"/>
              </a:solidFill>
              <a:latin typeface="Calibri"/>
              <a:ea typeface="+mn-ea"/>
              <a:cs typeface="+mn-cs"/>
            </a:rPr>
            <a:t> Land Acquisition, Restrictions on Land Use and Involuntary Resettlement</a:t>
          </a:r>
        </a:p>
      </dsp:txBody>
      <dsp:txXfrm rot="-5400000">
        <a:off x="2146782" y="1813672"/>
        <a:ext cx="3795998" cy="379016"/>
      </dsp:txXfrm>
    </dsp:sp>
    <dsp:sp modelId="{01D1EC8E-A3B3-4771-B609-DDEA8BD00A34}">
      <dsp:nvSpPr>
        <dsp:cNvPr id="0" name=""/>
        <dsp:cNvSpPr/>
      </dsp:nvSpPr>
      <dsp:spPr>
        <a:xfrm>
          <a:off x="66958" y="1808162"/>
          <a:ext cx="2012866" cy="376048"/>
        </a:xfrm>
        <a:prstGeom prst="roundRect">
          <a:avLst/>
        </a:prstGeom>
        <a:solidFill>
          <a:sysClr val="window" lastClr="FFFFFF">
            <a:hueOff val="0"/>
            <a:satOff val="0"/>
            <a:lumOff val="0"/>
            <a:alphaOff val="0"/>
          </a:sysClr>
        </a:solidFill>
        <a:ln w="19050" cap="flat" cmpd="sng" algn="ctr">
          <a:solidFill>
            <a:srgbClr val="008000"/>
          </a:solidFill>
          <a:prstDash val="sysDot"/>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19050" rIns="38100" bIns="19050" numCol="1" spcCol="1270" anchor="ctr" anchorCtr="0">
          <a:noAutofit/>
        </a:bodyPr>
        <a:lstStyle/>
        <a:p>
          <a:pPr marL="0" lvl="0" indent="0" algn="ctr" defTabSz="444500">
            <a:lnSpc>
              <a:spcPct val="90000"/>
            </a:lnSpc>
            <a:spcBef>
              <a:spcPct val="0"/>
            </a:spcBef>
            <a:spcAft>
              <a:spcPct val="35000"/>
            </a:spcAft>
            <a:buNone/>
          </a:pPr>
          <a:r>
            <a:rPr lang="hr-HR" sz="1000" kern="1200">
              <a:solidFill>
                <a:sysClr val="windowText" lastClr="000000"/>
              </a:solidFill>
              <a:latin typeface="Calibri"/>
              <a:ea typeface="+mn-ea"/>
              <a:cs typeface="+mn-cs"/>
            </a:rPr>
            <a:t>Environmental &amp; Social Standard 5</a:t>
          </a:r>
        </a:p>
      </dsp:txBody>
      <dsp:txXfrm>
        <a:off x="85315" y="1826519"/>
        <a:ext cx="1976152" cy="339334"/>
      </dsp:txXfrm>
    </dsp:sp>
    <dsp:sp modelId="{91244DD1-BFA4-4601-B4B1-39BFE919E2E0}">
      <dsp:nvSpPr>
        <dsp:cNvPr id="0" name=""/>
        <dsp:cNvSpPr/>
      </dsp:nvSpPr>
      <dsp:spPr>
        <a:xfrm rot="5400000">
          <a:off x="3845021" y="534211"/>
          <a:ext cx="420024" cy="3816502"/>
        </a:xfrm>
        <a:prstGeom prst="round2SameRect">
          <a:avLst/>
        </a:prstGeom>
        <a:solidFill>
          <a:sysClr val="window" lastClr="FFFFFF">
            <a:alpha val="90000"/>
            <a:tint val="40000"/>
            <a:hueOff val="0"/>
            <a:satOff val="0"/>
            <a:lumOff val="0"/>
            <a:alphaOff val="0"/>
          </a:sysClr>
        </a:solidFill>
        <a:ln w="12700" cap="flat" cmpd="sng" algn="ctr">
          <a:solidFill>
            <a:srgbClr val="1F497D"/>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Char char="•"/>
          </a:pPr>
          <a:r>
            <a:rPr lang="hr-HR" sz="1000" kern="1200">
              <a:solidFill>
                <a:sysClr val="windowText" lastClr="000000"/>
              </a:solidFill>
              <a:latin typeface="Calibri"/>
              <a:ea typeface="+mn-ea"/>
              <a:cs typeface="+mn-cs"/>
            </a:rPr>
            <a:t> Biodiversity Conservation and Sustainable Management of Living Natural Resources</a:t>
          </a:r>
        </a:p>
      </dsp:txBody>
      <dsp:txXfrm rot="-5400000">
        <a:off x="2146782" y="2252954"/>
        <a:ext cx="3795998" cy="379016"/>
      </dsp:txXfrm>
    </dsp:sp>
    <dsp:sp modelId="{270C7F63-709D-4833-8BE4-F2A8CC69B740}">
      <dsp:nvSpPr>
        <dsp:cNvPr id="0" name=""/>
        <dsp:cNvSpPr/>
      </dsp:nvSpPr>
      <dsp:spPr>
        <a:xfrm>
          <a:off x="66958" y="2254439"/>
          <a:ext cx="2012866" cy="376048"/>
        </a:xfrm>
        <a:prstGeom prst="roundRect">
          <a:avLst/>
        </a:prstGeom>
        <a:solidFill>
          <a:sysClr val="window" lastClr="FFFFFF">
            <a:hueOff val="0"/>
            <a:satOff val="0"/>
            <a:lumOff val="0"/>
            <a:alphaOff val="0"/>
          </a:sysClr>
        </a:solidFill>
        <a:ln w="19050" cap="flat" cmpd="sng" algn="ctr">
          <a:solidFill>
            <a:srgbClr val="008000"/>
          </a:solidFill>
          <a:prstDash val="sysDot"/>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19050" rIns="38100" bIns="19050" numCol="1" spcCol="1270" anchor="ctr" anchorCtr="0">
          <a:noAutofit/>
        </a:bodyPr>
        <a:lstStyle/>
        <a:p>
          <a:pPr marL="0" lvl="0" indent="0" algn="ctr" defTabSz="444500">
            <a:lnSpc>
              <a:spcPct val="90000"/>
            </a:lnSpc>
            <a:spcBef>
              <a:spcPct val="0"/>
            </a:spcBef>
            <a:spcAft>
              <a:spcPct val="35000"/>
            </a:spcAft>
            <a:buNone/>
          </a:pPr>
          <a:r>
            <a:rPr lang="hr-HR" sz="1000" kern="1200">
              <a:solidFill>
                <a:sysClr val="windowText" lastClr="000000"/>
              </a:solidFill>
              <a:latin typeface="Calibri"/>
              <a:ea typeface="+mn-ea"/>
              <a:cs typeface="+mn-cs"/>
            </a:rPr>
            <a:t>Environmental &amp; Social Standard 6</a:t>
          </a:r>
        </a:p>
      </dsp:txBody>
      <dsp:txXfrm>
        <a:off x="85315" y="2272796"/>
        <a:ext cx="1976152" cy="339334"/>
      </dsp:txXfrm>
    </dsp:sp>
    <dsp:sp modelId="{C9E49E43-FD7C-4F8C-944E-52CEFFAB5DC5}">
      <dsp:nvSpPr>
        <dsp:cNvPr id="0" name=""/>
        <dsp:cNvSpPr/>
      </dsp:nvSpPr>
      <dsp:spPr>
        <a:xfrm rot="5400000">
          <a:off x="3845021" y="980487"/>
          <a:ext cx="420024" cy="3816502"/>
        </a:xfrm>
        <a:prstGeom prst="round2SameRect">
          <a:avLst/>
        </a:prstGeom>
        <a:solidFill>
          <a:sysClr val="window" lastClr="FFFFFF">
            <a:alpha val="90000"/>
            <a:tint val="40000"/>
            <a:hueOff val="0"/>
            <a:satOff val="0"/>
            <a:lumOff val="0"/>
            <a:alphaOff val="0"/>
          </a:sysClr>
        </a:solidFill>
        <a:ln w="12700" cap="flat" cmpd="sng" algn="ctr">
          <a:solidFill>
            <a:srgbClr val="1F497D"/>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Char char="•"/>
          </a:pPr>
          <a:r>
            <a:rPr lang="hr-HR" sz="1000" kern="1200">
              <a:solidFill>
                <a:sysClr val="windowText" lastClr="000000"/>
              </a:solidFill>
              <a:latin typeface="Calibri"/>
              <a:ea typeface="+mn-ea"/>
              <a:cs typeface="+mn-cs"/>
            </a:rPr>
            <a:t> Indigenous Peoples</a:t>
          </a:r>
        </a:p>
      </dsp:txBody>
      <dsp:txXfrm rot="-5400000">
        <a:off x="2146782" y="2699230"/>
        <a:ext cx="3795998" cy="379016"/>
      </dsp:txXfrm>
    </dsp:sp>
    <dsp:sp modelId="{9E365916-36F0-444E-A685-A2B7F5DF5FCD}">
      <dsp:nvSpPr>
        <dsp:cNvPr id="0" name=""/>
        <dsp:cNvSpPr/>
      </dsp:nvSpPr>
      <dsp:spPr>
        <a:xfrm>
          <a:off x="66958" y="2700715"/>
          <a:ext cx="2012866" cy="376048"/>
        </a:xfrm>
        <a:prstGeom prst="roundRect">
          <a:avLst/>
        </a:prstGeom>
        <a:solidFill>
          <a:sysClr val="window" lastClr="FFFFFF">
            <a:hueOff val="0"/>
            <a:satOff val="0"/>
            <a:lumOff val="0"/>
            <a:alphaOff val="0"/>
          </a:sysClr>
        </a:solidFill>
        <a:ln w="19050" cap="flat" cmpd="sng" algn="ctr">
          <a:solidFill>
            <a:srgbClr val="008000"/>
          </a:solidFill>
          <a:prstDash val="sysDot"/>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19050" rIns="38100" bIns="19050" numCol="1" spcCol="1270" anchor="ctr" anchorCtr="0">
          <a:noAutofit/>
        </a:bodyPr>
        <a:lstStyle/>
        <a:p>
          <a:pPr marL="0" lvl="0" indent="0" algn="ctr" defTabSz="444500">
            <a:lnSpc>
              <a:spcPct val="90000"/>
            </a:lnSpc>
            <a:spcBef>
              <a:spcPct val="0"/>
            </a:spcBef>
            <a:spcAft>
              <a:spcPct val="35000"/>
            </a:spcAft>
            <a:buNone/>
          </a:pPr>
          <a:r>
            <a:rPr lang="hr-HR" sz="1000" kern="1200">
              <a:solidFill>
                <a:sysClr val="windowText" lastClr="000000"/>
              </a:solidFill>
              <a:latin typeface="Calibri"/>
              <a:ea typeface="+mn-ea"/>
              <a:cs typeface="+mn-cs"/>
            </a:rPr>
            <a:t>Environmental &amp; Social Standard 7</a:t>
          </a:r>
        </a:p>
      </dsp:txBody>
      <dsp:txXfrm>
        <a:off x="85315" y="2719072"/>
        <a:ext cx="1976152" cy="339334"/>
      </dsp:txXfrm>
    </dsp:sp>
    <dsp:sp modelId="{02BBE9E4-A604-4FC2-B33A-FF1BED65EF9E}">
      <dsp:nvSpPr>
        <dsp:cNvPr id="0" name=""/>
        <dsp:cNvSpPr/>
      </dsp:nvSpPr>
      <dsp:spPr>
        <a:xfrm rot="5400000">
          <a:off x="3845021" y="1426764"/>
          <a:ext cx="420024" cy="3816502"/>
        </a:xfrm>
        <a:prstGeom prst="round2SameRect">
          <a:avLst/>
        </a:prstGeom>
        <a:solidFill>
          <a:sysClr val="window" lastClr="FFFFFF">
            <a:alpha val="90000"/>
            <a:tint val="40000"/>
            <a:hueOff val="0"/>
            <a:satOff val="0"/>
            <a:lumOff val="0"/>
            <a:alphaOff val="0"/>
          </a:sysClr>
        </a:solidFill>
        <a:ln w="12700" cap="flat" cmpd="sng" algn="ctr">
          <a:solidFill>
            <a:srgbClr val="1F497D"/>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Char char="•"/>
          </a:pPr>
          <a:r>
            <a:rPr lang="hr-HR" sz="1000" kern="1200">
              <a:solidFill>
                <a:sysClr val="windowText" lastClr="000000"/>
              </a:solidFill>
              <a:latin typeface="Calibri"/>
              <a:ea typeface="+mn-ea"/>
              <a:cs typeface="+mn-cs"/>
            </a:rPr>
            <a:t> Cultural Heritage </a:t>
          </a:r>
        </a:p>
      </dsp:txBody>
      <dsp:txXfrm rot="-5400000">
        <a:off x="2146782" y="3145507"/>
        <a:ext cx="3795998" cy="379016"/>
      </dsp:txXfrm>
    </dsp:sp>
    <dsp:sp modelId="{939B8DEE-EE52-404C-B06D-980688304B10}">
      <dsp:nvSpPr>
        <dsp:cNvPr id="0" name=""/>
        <dsp:cNvSpPr/>
      </dsp:nvSpPr>
      <dsp:spPr>
        <a:xfrm>
          <a:off x="66958" y="3146991"/>
          <a:ext cx="2012866" cy="376048"/>
        </a:xfrm>
        <a:prstGeom prst="roundRect">
          <a:avLst/>
        </a:prstGeom>
        <a:solidFill>
          <a:sysClr val="window" lastClr="FFFFFF">
            <a:hueOff val="0"/>
            <a:satOff val="0"/>
            <a:lumOff val="0"/>
            <a:alphaOff val="0"/>
          </a:sysClr>
        </a:solidFill>
        <a:ln w="19050" cap="flat" cmpd="sng" algn="ctr">
          <a:solidFill>
            <a:srgbClr val="008000"/>
          </a:solidFill>
          <a:prstDash val="sysDot"/>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19050" rIns="38100" bIns="19050" numCol="1" spcCol="1270" anchor="ctr" anchorCtr="0">
          <a:noAutofit/>
        </a:bodyPr>
        <a:lstStyle/>
        <a:p>
          <a:pPr marL="0" lvl="0" indent="0" algn="ctr" defTabSz="444500">
            <a:lnSpc>
              <a:spcPct val="90000"/>
            </a:lnSpc>
            <a:spcBef>
              <a:spcPct val="0"/>
            </a:spcBef>
            <a:spcAft>
              <a:spcPct val="35000"/>
            </a:spcAft>
            <a:buNone/>
          </a:pPr>
          <a:r>
            <a:rPr lang="hr-HR" sz="1000" kern="1200">
              <a:solidFill>
                <a:sysClr val="windowText" lastClr="000000"/>
              </a:solidFill>
              <a:latin typeface="Calibri"/>
              <a:ea typeface="+mn-ea"/>
              <a:cs typeface="+mn-cs"/>
            </a:rPr>
            <a:t>Environmental &amp; Social Standard 8</a:t>
          </a:r>
        </a:p>
      </dsp:txBody>
      <dsp:txXfrm>
        <a:off x="85315" y="3165348"/>
        <a:ext cx="1976152" cy="339334"/>
      </dsp:txXfrm>
    </dsp:sp>
    <dsp:sp modelId="{9BC1C3AC-835B-44F2-ACD0-CDF5E0480D72}">
      <dsp:nvSpPr>
        <dsp:cNvPr id="0" name=""/>
        <dsp:cNvSpPr/>
      </dsp:nvSpPr>
      <dsp:spPr>
        <a:xfrm rot="5400000">
          <a:off x="3845021" y="1873040"/>
          <a:ext cx="420024" cy="3816502"/>
        </a:xfrm>
        <a:prstGeom prst="round2SameRect">
          <a:avLst/>
        </a:prstGeom>
        <a:solidFill>
          <a:sysClr val="window" lastClr="FFFFFF">
            <a:alpha val="90000"/>
            <a:tint val="40000"/>
            <a:hueOff val="0"/>
            <a:satOff val="0"/>
            <a:lumOff val="0"/>
            <a:alphaOff val="0"/>
          </a:sysClr>
        </a:solidFill>
        <a:ln w="12700" cap="flat" cmpd="sng" algn="ctr">
          <a:solidFill>
            <a:srgbClr val="1F497D"/>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Char char="•"/>
          </a:pPr>
          <a:r>
            <a:rPr lang="hr-HR" sz="1000" kern="1200">
              <a:solidFill>
                <a:sysClr val="windowText" lastClr="000000"/>
              </a:solidFill>
              <a:latin typeface="Calibri"/>
              <a:ea typeface="+mn-ea"/>
              <a:cs typeface="+mn-cs"/>
            </a:rPr>
            <a:t> Financial Intermediaries</a:t>
          </a:r>
        </a:p>
      </dsp:txBody>
      <dsp:txXfrm rot="-5400000">
        <a:off x="2146782" y="3591783"/>
        <a:ext cx="3795998" cy="379016"/>
      </dsp:txXfrm>
    </dsp:sp>
    <dsp:sp modelId="{B8B332F7-2FE0-4D1B-B9BC-A304435AA5BA}">
      <dsp:nvSpPr>
        <dsp:cNvPr id="0" name=""/>
        <dsp:cNvSpPr/>
      </dsp:nvSpPr>
      <dsp:spPr>
        <a:xfrm>
          <a:off x="66958" y="3593267"/>
          <a:ext cx="2012866" cy="376048"/>
        </a:xfrm>
        <a:prstGeom prst="roundRect">
          <a:avLst/>
        </a:prstGeom>
        <a:solidFill>
          <a:sysClr val="window" lastClr="FFFFFF">
            <a:hueOff val="0"/>
            <a:satOff val="0"/>
            <a:lumOff val="0"/>
            <a:alphaOff val="0"/>
          </a:sysClr>
        </a:solidFill>
        <a:ln w="19050" cap="flat" cmpd="sng" algn="ctr">
          <a:solidFill>
            <a:srgbClr val="008000"/>
          </a:solidFill>
          <a:prstDash val="sysDot"/>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19050" rIns="38100" bIns="19050" numCol="1" spcCol="1270" anchor="ctr" anchorCtr="0">
          <a:noAutofit/>
        </a:bodyPr>
        <a:lstStyle/>
        <a:p>
          <a:pPr marL="0" lvl="0" indent="0" algn="ctr" defTabSz="444500">
            <a:lnSpc>
              <a:spcPct val="90000"/>
            </a:lnSpc>
            <a:spcBef>
              <a:spcPct val="0"/>
            </a:spcBef>
            <a:spcAft>
              <a:spcPct val="35000"/>
            </a:spcAft>
            <a:buNone/>
          </a:pPr>
          <a:r>
            <a:rPr lang="hr-HR" sz="1000" kern="1200">
              <a:solidFill>
                <a:sysClr val="windowText" lastClr="000000"/>
              </a:solidFill>
              <a:latin typeface="Calibri"/>
              <a:ea typeface="+mn-ea"/>
              <a:cs typeface="+mn-cs"/>
            </a:rPr>
            <a:t>Environmental &amp; Social Standard 9</a:t>
          </a:r>
        </a:p>
      </dsp:txBody>
      <dsp:txXfrm>
        <a:off x="85315" y="3611624"/>
        <a:ext cx="1976152" cy="339334"/>
      </dsp:txXfrm>
    </dsp:sp>
    <dsp:sp modelId="{4F25C92D-2C7E-452D-9A26-4FEEFF5750E7}">
      <dsp:nvSpPr>
        <dsp:cNvPr id="0" name=""/>
        <dsp:cNvSpPr/>
      </dsp:nvSpPr>
      <dsp:spPr>
        <a:xfrm rot="5400000">
          <a:off x="3845021" y="2320386"/>
          <a:ext cx="420024" cy="3816502"/>
        </a:xfrm>
        <a:prstGeom prst="round2SameRect">
          <a:avLst/>
        </a:prstGeom>
        <a:solidFill>
          <a:sysClr val="window" lastClr="FFFFFF">
            <a:alpha val="90000"/>
            <a:tint val="40000"/>
            <a:hueOff val="0"/>
            <a:satOff val="0"/>
            <a:lumOff val="0"/>
            <a:alphaOff val="0"/>
          </a:sysClr>
        </a:solidFill>
        <a:ln w="12700" cap="flat" cmpd="sng" algn="ctr">
          <a:solidFill>
            <a:srgbClr val="1F497D"/>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Char char="•"/>
          </a:pPr>
          <a:r>
            <a:rPr lang="hr-HR" sz="1000" kern="1200">
              <a:solidFill>
                <a:sysClr val="windowText" lastClr="000000"/>
              </a:solidFill>
              <a:latin typeface="Calibri"/>
              <a:ea typeface="+mn-ea"/>
              <a:cs typeface="+mn-cs"/>
            </a:rPr>
            <a:t> Stakeholder and Information Disclosure </a:t>
          </a:r>
        </a:p>
      </dsp:txBody>
      <dsp:txXfrm rot="-5400000">
        <a:off x="2146782" y="4039129"/>
        <a:ext cx="3795998" cy="379016"/>
      </dsp:txXfrm>
    </dsp:sp>
    <dsp:sp modelId="{CBE104D9-F0AF-4861-8AD7-BFA35C772D26}">
      <dsp:nvSpPr>
        <dsp:cNvPr id="0" name=""/>
        <dsp:cNvSpPr/>
      </dsp:nvSpPr>
      <dsp:spPr>
        <a:xfrm>
          <a:off x="66958" y="4039543"/>
          <a:ext cx="2012866" cy="376048"/>
        </a:xfrm>
        <a:prstGeom prst="roundRect">
          <a:avLst/>
        </a:prstGeom>
        <a:solidFill>
          <a:sysClr val="window" lastClr="FFFFFF">
            <a:hueOff val="0"/>
            <a:satOff val="0"/>
            <a:lumOff val="0"/>
            <a:alphaOff val="0"/>
          </a:sysClr>
        </a:solidFill>
        <a:ln w="19050" cap="flat" cmpd="sng" algn="ctr">
          <a:solidFill>
            <a:srgbClr val="008000"/>
          </a:solidFill>
          <a:prstDash val="sysDot"/>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19050" rIns="38100" bIns="19050" numCol="1" spcCol="1270" anchor="ctr" anchorCtr="0">
          <a:noAutofit/>
        </a:bodyPr>
        <a:lstStyle/>
        <a:p>
          <a:pPr marL="0" lvl="0" indent="0" algn="ctr" defTabSz="444500">
            <a:lnSpc>
              <a:spcPct val="90000"/>
            </a:lnSpc>
            <a:spcBef>
              <a:spcPct val="0"/>
            </a:spcBef>
            <a:spcAft>
              <a:spcPct val="35000"/>
            </a:spcAft>
            <a:buNone/>
          </a:pPr>
          <a:r>
            <a:rPr lang="hr-HR" sz="1000" kern="1200">
              <a:solidFill>
                <a:sysClr val="windowText" lastClr="000000"/>
              </a:solidFill>
              <a:latin typeface="Calibri"/>
              <a:ea typeface="+mn-ea"/>
              <a:cs typeface="+mn-cs"/>
            </a:rPr>
            <a:t>Environmental &amp; Social Standard 10</a:t>
          </a:r>
        </a:p>
      </dsp:txBody>
      <dsp:txXfrm>
        <a:off x="85315" y="4057900"/>
        <a:ext cx="1976152" cy="339334"/>
      </dsp:txXfrm>
    </dsp:sp>
  </dsp:spTree>
</dsp:drawing>
</file>

<file path=word/diagrams/layout1.xml><?xml version="1.0" encoding="utf-8"?>
<dgm:layoutDef xmlns:dgm="http://schemas.openxmlformats.org/drawingml/2006/diagram" xmlns:a="http://schemas.openxmlformats.org/drawingml/2006/main" uniqueId="urn:microsoft.com/office/officeart/2005/8/layout/venn1">
  <dgm:title val=""/>
  <dgm:desc val=""/>
  <dgm:catLst>
    <dgm:cat type="relationship" pri="28000"/>
    <dgm:cat type="convert" pri="19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Lst>
      <dgm:cxnLst>
        <dgm:cxn modelId="7" srcId="0" destId="1" srcOrd="0" destOrd="0"/>
        <dgm:cxn modelId="8" srcId="0" destId="2" srcOrd="1" destOrd="0"/>
        <dgm:cxn modelId="9" srcId="0" destId="3" srcOrd="2" destOrd="0"/>
        <dgm:cxn modelId="10" srcId="0" destId="4" srcOrd="3" destOrd="0"/>
      </dgm:cxnLst>
      <dgm:bg/>
      <dgm:whole/>
    </dgm:dataModel>
  </dgm:clrData>
  <dgm:layoutNode name="compositeShape">
    <dgm:varLst>
      <dgm:chMax val="7"/>
      <dgm:dir/>
      <dgm:resizeHandles val="exact"/>
    </dgm:varLst>
    <dgm:choose name="Name0">
      <dgm:if name="Name1" axis="ch" ptType="node" func="cnt" op="equ" val="1">
        <dgm:alg type="composite">
          <dgm:param type="ar" val="1"/>
        </dgm:alg>
      </dgm:if>
      <dgm:if name="Name2" axis="ch" ptType="node" func="cnt" op="equ" val="2">
        <dgm:alg type="composite">
          <dgm:param type="ar" val="1.792"/>
        </dgm:alg>
      </dgm:if>
      <dgm:if name="Name3" axis="ch" ptType="node" func="cnt" op="equ" val="3">
        <dgm:alg type="composite">
          <dgm:param type="ar" val="1"/>
        </dgm:alg>
      </dgm:if>
      <dgm:if name="Name4" axis="ch" ptType="node" func="cnt" op="equ" val="4">
        <dgm:alg type="composite">
          <dgm:param type="ar" val="1"/>
        </dgm:alg>
      </dgm:if>
      <dgm:if name="Name5" axis="ch" ptType="node" func="cnt" op="equ" val="5">
        <dgm:alg type="composite">
          <dgm:param type="ar" val="1.4"/>
        </dgm:alg>
      </dgm:if>
      <dgm:if name="Name6" axis="ch" ptType="node" func="cnt" op="equ" val="6">
        <dgm:alg type="composite">
          <dgm:param type="ar" val="1.285"/>
        </dgm:alg>
      </dgm:if>
      <dgm:if name="Name7" axis="ch" ptType="node" func="cnt" op="equ" val="7">
        <dgm:alg type="composite">
          <dgm:param type="ar" val="1.359"/>
        </dgm:alg>
      </dgm:if>
      <dgm:else name="Name8">
        <dgm:alg type="composite">
          <dgm:param type="ar" val="1.359"/>
        </dgm:alg>
      </dgm:else>
    </dgm:choose>
    <dgm:shape xmlns:r="http://schemas.openxmlformats.org/officeDocument/2006/relationships" r:blip="">
      <dgm:adjLst/>
    </dgm:shape>
    <dgm:presOf/>
    <dgm:choose name="Name9">
      <dgm:if name="Name10" axis="ch" ptType="node" func="cnt" op="equ" val="1">
        <dgm:constrLst>
          <dgm:constr type="ctrX" for="ch" forName="circ1TxSh" refType="w" fact="0.5"/>
          <dgm:constr type="ctrY" for="ch" forName="circ1TxSh" refType="h" fact="0.5"/>
          <dgm:constr type="w" for="ch" forName="circ1TxSh" refType="w"/>
          <dgm:constr type="h" for="ch" forName="circ1TxSh" refType="h"/>
          <dgm:constr type="primFontSz" for="ch" ptType="node" op="equ"/>
        </dgm:constrLst>
      </dgm:if>
      <dgm:if name="Name11" axis="ch" ptType="node" func="cnt" op="equ" val="2">
        <dgm:constrLst>
          <dgm:constr type="ctrX" for="ch" forName="circ1" refType="w" fact="0.3"/>
          <dgm:constr type="ctrY" for="ch" forName="circ1" refType="h" fact="0.5"/>
          <dgm:constr type="w" for="ch" forName="circ1" refType="w" fact="0.555"/>
          <dgm:constr type="h" for="ch" forName="circ1" refType="h" fact="0.99456"/>
          <dgm:constr type="l" for="ch" forName="circ1Tx" refType="w" fact="0.1"/>
          <dgm:constr type="t" for="ch" forName="circ1Tx" refType="h" fact="0.12"/>
          <dgm:constr type="w" for="ch" forName="circ1Tx" refType="w" fact="0.32"/>
          <dgm:constr type="h" for="ch" forName="circ1Tx" refType="h" fact="0.76"/>
          <dgm:constr type="ctrX" for="ch" forName="circ2" refType="w" fact="0.7"/>
          <dgm:constr type="ctrY" for="ch" forName="circ2" refType="h" fact="0.5"/>
          <dgm:constr type="w" for="ch" forName="circ2" refType="w" fact="0.555"/>
          <dgm:constr type="h" for="ch" forName="circ2" refType="h" fact="0.99456"/>
          <dgm:constr type="l" for="ch" forName="circ2Tx" refType="w" fact="0.58"/>
          <dgm:constr type="t" for="ch" forName="circ2Tx" refType="h" fact="0.12"/>
          <dgm:constr type="w" for="ch" forName="circ2Tx" refType="w" fact="0.32"/>
          <dgm:constr type="h" for="ch" forName="circ2Tx" refType="h" fact="0.76"/>
          <dgm:constr type="primFontSz" for="ch" ptType="node" op="equ"/>
        </dgm:constrLst>
      </dgm:if>
      <dgm:if name="Name12" axis="ch" ptType="node" func="cnt" op="equ" val="3">
        <dgm:constrLst>
          <dgm:constr type="ctrX" for="ch" forName="circ1" refType="w" fact="0.5"/>
          <dgm:constr type="ctrY" for="ch" forName="circ1" refType="w" fact="0.25"/>
          <dgm:constr type="w" for="ch" forName="circ1" refType="w" fact="0.6"/>
          <dgm:constr type="h" for="ch" forName="circ1" refType="h" fact="0.6"/>
          <dgm:constr type="l" for="ch" forName="circ1Tx" refType="w" fact="0.28"/>
          <dgm:constr type="t" for="ch" forName="circ1Tx" refType="h" fact="0.055"/>
          <dgm:constr type="w" for="ch" forName="circ1Tx" refType="w" fact="0.44"/>
          <dgm:constr type="h" for="ch" forName="circ1Tx" refType="h" fact="0.27"/>
          <dgm:constr type="ctrX" for="ch" forName="circ2" refType="w" fact="0.7165"/>
          <dgm:constr type="ctrY" for="ch" forName="circ2" refType="w" fact="0.625"/>
          <dgm:constr type="w" for="ch" forName="circ2" refType="w" fact="0.6"/>
          <dgm:constr type="h" for="ch" forName="circ2" refType="h" fact="0.6"/>
          <dgm:constr type="l" for="ch" forName="circ2Tx" refType="w" fact="0.6"/>
          <dgm:constr type="t" for="ch" forName="circ2Tx" refType="h" fact="0.48"/>
          <dgm:constr type="w" for="ch" forName="circ2Tx" refType="w" fact="0.36"/>
          <dgm:constr type="h" for="ch" forName="circ2Tx" refType="h" fact="0.33"/>
          <dgm:constr type="ctrX" for="ch" forName="circ3" refType="w" fact="0.2835"/>
          <dgm:constr type="ctrY" for="ch" forName="circ3" refType="w" fact="0.625"/>
          <dgm:constr type="w" for="ch" forName="circ3" refType="w" fact="0.6"/>
          <dgm:constr type="h" for="ch" forName="circ3" refType="h" fact="0.6"/>
          <dgm:constr type="l" for="ch" forName="circ3Tx" refType="w" fact="0.04"/>
          <dgm:constr type="t" for="ch" forName="circ3Tx" refType="h" fact="0.48"/>
          <dgm:constr type="w" for="ch" forName="circ3Tx" refType="w" fact="0.36"/>
          <dgm:constr type="h" for="ch" forName="circ3Tx" refType="h" fact="0.33"/>
          <dgm:constr type="primFontSz" for="ch" ptType="node" op="equ"/>
        </dgm:constrLst>
      </dgm:if>
      <dgm:if name="Name13" axis="ch" ptType="node" func="cnt" op="equ" val="4">
        <dgm:constrLst>
          <dgm:constr type="ctrX" for="ch" forName="circ1" refType="w" fact="0.5"/>
          <dgm:constr type="ctrY" for="ch" forName="circ1" refType="w" fact="0.27"/>
          <dgm:constr type="w" for="ch" forName="circ1" refType="w" fact="0.52"/>
          <dgm:constr type="h" for="ch" forName="circ1" refType="h" fact="0.52"/>
          <dgm:constr type="l" for="ch" forName="circ1Tx" refType="w" fact="0.3"/>
          <dgm:constr type="t" for="ch" forName="circ1Tx" refType="h" fact="0.08"/>
          <dgm:constr type="w" for="ch" forName="circ1Tx" refType="w" fact="0.4"/>
          <dgm:constr type="h" for="ch" forName="circ1Tx" refType="h" fact="0.165"/>
          <dgm:constr type="ctrX" for="ch" forName="circ2" refType="w" fact="0.73"/>
          <dgm:constr type="ctrY" for="ch" forName="circ2" refType="w" fact="0.5"/>
          <dgm:constr type="w" for="ch" forName="circ2" refType="w" fact="0.52"/>
          <dgm:constr type="h" for="ch" forName="circ2" refType="h" fact="0.52"/>
          <dgm:constr type="r" for="ch" forName="circ2Tx" refType="w" fact="0.95"/>
          <dgm:constr type="t" for="ch" forName="circ2Tx" refType="h" fact="0.3"/>
          <dgm:constr type="w" for="ch" forName="circ2Tx" refType="w" fact="0.2"/>
          <dgm:constr type="h" for="ch" forName="circ2Tx" refType="h" fact="0.4"/>
          <dgm:constr type="ctrX" for="ch" forName="circ3" refType="w" fact="0.5"/>
          <dgm:constr type="ctrY" for="ch" forName="circ3" refType="w" fact="0.73"/>
          <dgm:constr type="w" for="ch" forName="circ3" refType="w" fact="0.52"/>
          <dgm:constr type="h" for="ch" forName="circ3" refType="h" fact="0.52"/>
          <dgm:constr type="l" for="ch" forName="circ3Tx" refType="w" fact="0.3"/>
          <dgm:constr type="b" for="ch" forName="circ3Tx" refType="h" fact="0.92"/>
          <dgm:constr type="w" for="ch" forName="circ3Tx" refType="w" fact="0.4"/>
          <dgm:constr type="h" for="ch" forName="circ3Tx" refType="h" fact="0.165"/>
          <dgm:constr type="ctrX" for="ch" forName="circ4" refType="w" fact="0.27"/>
          <dgm:constr type="ctrY" for="ch" forName="circ4" refType="h" fact="0.5"/>
          <dgm:constr type="w" for="ch" forName="circ4" refType="w" fact="0.52"/>
          <dgm:constr type="h" for="ch" forName="circ4" refType="h" fact="0.52"/>
          <dgm:constr type="l" for="ch" forName="circ4Tx" refType="w" fact="0.05"/>
          <dgm:constr type="t" for="ch" forName="circ4Tx" refType="h" fact="0.3"/>
          <dgm:constr type="w" for="ch" forName="circ4Tx" refType="w" fact="0.2"/>
          <dgm:constr type="h" for="ch" forName="circ4Tx" refType="h" fact="0.4"/>
          <dgm:constr type="primFontSz" for="ch" ptType="node" op="equ"/>
        </dgm:constrLst>
      </dgm:if>
      <dgm:if name="Name14" axis="ch" ptType="node" func="cnt" op="equ" val="5">
        <dgm:constrLst>
          <dgm:constr type="ctrX" for="ch" forName="circ1" refType="w" fact="0.5"/>
          <dgm:constr type="ctrY" for="ch" forName="circ1" refType="h" fact="0.46"/>
          <dgm:constr type="w" for="ch" forName="circ1" refType="w" fact="0.25"/>
          <dgm:constr type="h" for="ch" forName="circ1" refType="h" fact="0.35"/>
          <dgm:constr type="l" for="ch" forName="circ1Tx" refType="w" fact="0.355"/>
          <dgm:constr type="t" for="ch" forName="circ1Tx"/>
          <dgm:constr type="w" for="ch" forName="circ1Tx" refType="w" fact="0.29"/>
          <dgm:constr type="h" for="ch" forName="circ1Tx" refType="h" fact="0.235"/>
          <dgm:constr type="ctrX" for="ch" forName="circ2" refType="w" fact="0.5951"/>
          <dgm:constr type="ctrY" for="ch" forName="circ2" refType="h" fact="0.5567"/>
          <dgm:constr type="w" for="ch" forName="circ2" refType="w" fact="0.25"/>
          <dgm:constr type="h" for="ch" forName="circ2" refType="h" fact="0.35"/>
          <dgm:constr type="l" for="ch" forName="circ2Tx" refType="w" fact="0.74"/>
          <dgm:constr type="t" for="ch" forName="circ2Tx" refType="h" fact="0.31"/>
          <dgm:constr type="w" for="ch" forName="circ2Tx" refType="w" fact="0.26"/>
          <dgm:constr type="h" for="ch" forName="circ2Tx" refType="h" fact="0.255"/>
          <dgm:constr type="ctrX" for="ch" forName="circ3" refType="w" fact="0.5588"/>
          <dgm:constr type="ctrY" for="ch" forName="circ3" refType="h" fact="0.7133"/>
          <dgm:constr type="w" for="ch" forName="circ3" refType="w" fact="0.25"/>
          <dgm:constr type="h" for="ch" forName="circ3" refType="h" fact="0.35"/>
          <dgm:constr type="l" for="ch" forName="circ3Tx" refType="w" fact="0.7"/>
          <dgm:constr type="t" for="ch" forName="circ3Tx" refType="h" fact="0.745"/>
          <dgm:constr type="w" for="ch" forName="circ3Tx" refType="w" fact="0.26"/>
          <dgm:constr type="h" for="ch" forName="circ3Tx" refType="h" fact="0.255"/>
          <dgm:constr type="ctrX" for="ch" forName="circ4" refType="w" fact="0.4412"/>
          <dgm:constr type="ctrY" for="ch" forName="circ4" refType="h" fact="0.7133"/>
          <dgm:constr type="w" for="ch" forName="circ4" refType="w" fact="0.25"/>
          <dgm:constr type="h" for="ch" forName="circ4" refType="h" fact="0.35"/>
          <dgm:constr type="l" for="ch" forName="circ4Tx" refType="w" fact="0.04"/>
          <dgm:constr type="t" for="ch" forName="circ4Tx" refType="h" fact="0.745"/>
          <dgm:constr type="w" for="ch" forName="circ4Tx" refType="w" fact="0.26"/>
          <dgm:constr type="h" for="ch" forName="circ4Tx" refType="h" fact="0.255"/>
          <dgm:constr type="ctrX" for="ch" forName="circ5" refType="w" fact="0.4049"/>
          <dgm:constr type="ctrY" for="ch" forName="circ5" refType="h" fact="0.5567"/>
          <dgm:constr type="w" for="ch" forName="circ5" refType="w" fact="0.25"/>
          <dgm:constr type="h" for="ch" forName="circ5" refType="h" fact="0.35"/>
          <dgm:constr type="l" for="ch" forName="circ5Tx"/>
          <dgm:constr type="t" for="ch" forName="circ5Tx" refType="h" fact="0.31"/>
          <dgm:constr type="w" for="ch" forName="circ5Tx" refType="w" fact="0.26"/>
          <dgm:constr type="h" for="ch" forName="circ5Tx" refType="h" fact="0.255"/>
          <dgm:constr type="primFontSz" for="ch" ptType="node" op="equ"/>
        </dgm:constrLst>
      </dgm:if>
      <dgm:if name="Name15" axis="ch" ptType="node" func="cnt" op="equ" val="6">
        <dgm:constrLst>
          <dgm:constr type="ctrX" for="ch" forName="circ1" refType="w" fact="0.5"/>
          <dgm:constr type="ctrY" for="ch" forName="circ1" refType="h" fact="0.3844"/>
          <dgm:constr type="w" for="ch" forName="circ1" refType="w" fact="0.24"/>
          <dgm:constr type="h" for="ch" forName="circ1" refType="h" fact="0.3084"/>
          <dgm:constr type="l" for="ch" forName="circ1Tx" refType="w" fact="0.35"/>
          <dgm:constr type="t" for="ch" forName="circ1Tx"/>
          <dgm:constr type="w" for="ch" forName="circ1Tx" refType="w" fact="0.3"/>
          <dgm:constr type="h" for="ch" forName="circ1Tx" refType="h" fact="0.21"/>
          <dgm:constr type="ctrX" for="ch" forName="circ2" refType="w" fact="0.5779"/>
          <dgm:constr type="ctrY" for="ch" forName="circ2" refType="h" fact="0.4422"/>
          <dgm:constr type="w" for="ch" forName="circ2" refType="w" fact="0.24"/>
          <dgm:constr type="h" for="ch" forName="circ2" refType="h" fact="0.3084"/>
          <dgm:constr type="l" for="ch" forName="circ2Tx" refType="w" fact="0.7157"/>
          <dgm:constr type="t" for="ch" forName="circ2Tx" refType="h" fact="0.2"/>
          <dgm:constr type="w" for="ch" forName="circ2Tx" refType="w" fact="0.2843"/>
          <dgm:constr type="h" for="ch" forName="circ2Tx" refType="h" fact="0.23"/>
          <dgm:constr type="ctrX" for="ch" forName="circ3" refType="w" fact="0.5779"/>
          <dgm:constr type="ctrY" for="ch" forName="circ3" refType="h" fact="0.5578"/>
          <dgm:constr type="w" for="ch" forName="circ3" refType="w" fact="0.24"/>
          <dgm:constr type="h" for="ch" forName="circ3" refType="h" fact="0.3084"/>
          <dgm:constr type="l" for="ch" forName="circ3Tx" refType="w" fact="0.7157"/>
          <dgm:constr type="t" for="ch" forName="circ3Tx" refType="h" fact="0.543"/>
          <dgm:constr type="w" for="ch" forName="circ3Tx" refType="w" fact="0.2843"/>
          <dgm:constr type="h" for="ch" forName="circ3Tx" refType="h" fact="0.257"/>
          <dgm:constr type="ctrX" for="ch" forName="circ4" refType="w" fact="0.5"/>
          <dgm:constr type="ctrY" for="ch" forName="circ4" refType="h" fact="0.6157"/>
          <dgm:constr type="w" for="ch" forName="circ4" refType="w" fact="0.24"/>
          <dgm:constr type="h" for="ch" forName="circ4" refType="h" fact="0.3084"/>
          <dgm:constr type="l" for="ch" forName="circ4Tx" refType="w" fact="0.35"/>
          <dgm:constr type="t" for="ch" forName="circ4Tx" refType="h" fact="0.79"/>
          <dgm:constr type="w" for="ch" forName="circ4Tx" refType="w" fact="0.3"/>
          <dgm:constr type="h" for="ch" forName="circ4Tx" refType="h" fact="0.21"/>
          <dgm:constr type="ctrX" for="ch" forName="circ5" refType="w" fact="0.4221"/>
          <dgm:constr type="ctrY" for="ch" forName="circ5" refType="h" fact="0.5578"/>
          <dgm:constr type="w" for="ch" forName="circ5" refType="w" fact="0.24"/>
          <dgm:constr type="h" for="ch" forName="circ5" refType="h" fact="0.3084"/>
          <dgm:constr type="l" for="ch" forName="circ5Tx" refType="w" fact="0"/>
          <dgm:constr type="t" for="ch" forName="circ5Tx" refType="h" fact="0.543"/>
          <dgm:constr type="w" for="ch" forName="circ5Tx" refType="w" fact="0.2843"/>
          <dgm:constr type="h" for="ch" forName="circ5Tx" refType="h" fact="0.257"/>
          <dgm:constr type="ctrX" for="ch" forName="circ6" refType="w" fact="0.4221"/>
          <dgm:constr type="ctrY" for="ch" forName="circ6" refType="h" fact="0.4422"/>
          <dgm:constr type="w" for="ch" forName="circ6" refType="w" fact="0.24"/>
          <dgm:constr type="h" for="ch" forName="circ6" refType="h" fact="0.3084"/>
          <dgm:constr type="l" for="ch" forName="circ6Tx" refType="w" fact="0"/>
          <dgm:constr type="t" for="ch" forName="circ6Tx" refType="h" fact="0.2"/>
          <dgm:constr type="w" for="ch" forName="circ6Tx" refType="w" fact="0.2843"/>
          <dgm:constr type="h" for="ch" forName="circ6Tx" refType="h" fact="0.257"/>
          <dgm:constr type="primFontSz" for="ch" ptType="node" op="equ"/>
        </dgm:constrLst>
      </dgm:if>
      <dgm:else name="Name16">
        <dgm:constrLst>
          <dgm:constr type="ctrX" for="ch" forName="circ1" refType="w" fact="0.5"/>
          <dgm:constr type="ctrY" for="ch" forName="circ1" refType="h" fact="0.4177"/>
          <dgm:constr type="w" for="ch" forName="circ1" refType="w" fact="0.24"/>
          <dgm:constr type="h" for="ch" forName="circ1" refType="h" fact="0.3262"/>
          <dgm:constr type="l" for="ch" forName="circ1Tx" refType="w" fact="0.3625"/>
          <dgm:constr type="t" for="ch" forName="circ1Tx"/>
          <dgm:constr type="w" for="ch" forName="circ1Tx" refType="w" fact="0.275"/>
          <dgm:constr type="h" for="ch" forName="circ1Tx" refType="h" fact="0.2"/>
          <dgm:constr type="ctrX" for="ch" forName="circ2" refType="w" fact="0.5704"/>
          <dgm:constr type="ctrY" for="ch" forName="circ2" refType="h" fact="0.4637"/>
          <dgm:constr type="w" for="ch" forName="circ2" refType="w" fact="0.24"/>
          <dgm:constr type="h" for="ch" forName="circ2" refType="h" fact="0.3262"/>
          <dgm:constr type="l" for="ch" forName="circ2Tx" refType="w" fact="0.72"/>
          <dgm:constr type="t" for="ch" forName="circ2Tx" refType="h" fact="0.19"/>
          <dgm:constr type="w" for="ch" forName="circ2Tx" refType="w" fact="0.26"/>
          <dgm:constr type="h" for="ch" forName="circ2Tx" refType="h" fact="0.22"/>
          <dgm:constr type="ctrX" for="ch" forName="circ3" refType="w" fact="0.5877"/>
          <dgm:constr type="ctrY" for="ch" forName="circ3" refType="h" fact="0.5672"/>
          <dgm:constr type="w" for="ch" forName="circ3" refType="w" fact="0.24"/>
          <dgm:constr type="h" for="ch" forName="circ3" refType="h" fact="0.3262"/>
          <dgm:constr type="l" for="ch" forName="circ3Tx" refType="w" fact="0.745"/>
          <dgm:constr type="t" for="ch" forName="circ3Tx" refType="h" fact="0.47"/>
          <dgm:constr type="w" for="ch" forName="circ3Tx" refType="w" fact="0.255"/>
          <dgm:constr type="h" for="ch" forName="circ3Tx" refType="h" fact="0.235"/>
          <dgm:constr type="ctrX" for="ch" forName="circ4" refType="w" fact="0.539"/>
          <dgm:constr type="ctrY" for="ch" forName="circ4" refType="h" fact="0.6502"/>
          <dgm:constr type="w" for="ch" forName="circ4" refType="w" fact="0.24"/>
          <dgm:constr type="h" for="ch" forName="circ4" refType="h" fact="0.3262"/>
          <dgm:constr type="l" for="ch" forName="circ4Tx" refType="w" fact="0.635"/>
          <dgm:constr type="t" for="ch" forName="circ4Tx" refType="h" fact="0.785"/>
          <dgm:constr type="w" for="ch" forName="circ4Tx" refType="w" fact="0.275"/>
          <dgm:constr type="h" for="ch" forName="circ4Tx" refType="h" fact="0.215"/>
          <dgm:constr type="ctrX" for="ch" forName="circ5" refType="w" fact="0.461"/>
          <dgm:constr type="ctrY" for="ch" forName="circ5" refType="h" fact="0.6502"/>
          <dgm:constr type="w" for="ch" forName="circ5" refType="w" fact="0.24"/>
          <dgm:constr type="h" for="ch" forName="circ5" refType="h" fact="0.3262"/>
          <dgm:constr type="l" for="ch" forName="circ5Tx" refType="w" fact="0.09"/>
          <dgm:constr type="t" for="ch" forName="circ5Tx" refType="h" fact="0.785"/>
          <dgm:constr type="w" for="ch" forName="circ5Tx" refType="w" fact="0.275"/>
          <dgm:constr type="h" for="ch" forName="circ5Tx" refType="h" fact="0.215"/>
          <dgm:constr type="ctrX" for="ch" forName="circ6" refType="w" fact="0.4123"/>
          <dgm:constr type="ctrY" for="ch" forName="circ6" refType="h" fact="0.5672"/>
          <dgm:constr type="w" for="ch" forName="circ6" refType="w" fact="0.24"/>
          <dgm:constr type="h" for="ch" forName="circ6" refType="h" fact="0.3262"/>
          <dgm:constr type="l" for="ch" forName="circ6Tx"/>
          <dgm:constr type="t" for="ch" forName="circ6Tx" refType="h" fact="0.47"/>
          <dgm:constr type="w" for="ch" forName="circ6Tx" refType="w" fact="0.255"/>
          <dgm:constr type="h" for="ch" forName="circ6Tx" refType="h" fact="0.235"/>
          <dgm:constr type="ctrX" for="ch" forName="circ7" refType="w" fact="0.4296"/>
          <dgm:constr type="ctrY" for="ch" forName="circ7" refType="h" fact="0.4637"/>
          <dgm:constr type="w" for="ch" forName="circ7" refType="w" fact="0.24"/>
          <dgm:constr type="h" for="ch" forName="circ7" refType="h" fact="0.3262"/>
          <dgm:constr type="l" for="ch" forName="circ7Tx" refType="w" fact="0.02"/>
          <dgm:constr type="t" for="ch" forName="circ7Tx" refType="h" fact="0.19"/>
          <dgm:constr type="w" for="ch" forName="circ7Tx" refType="w" fact="0.26"/>
          <dgm:constr type="h" for="ch" forName="circ7Tx" refType="h" fact="0.22"/>
          <dgm:constr type="primFontSz" for="ch" ptType="node" op="equ"/>
        </dgm:constrLst>
      </dgm:else>
    </dgm:choose>
    <dgm:ruleLst/>
    <dgm:forEach name="Name17" axis="ch" ptType="node" cnt="1">
      <dgm:choose name="Name18">
        <dgm:if name="Name19" axis="root ch" ptType="all node" func="cnt" op="equ" val="1">
          <dgm:layoutNode name="circ1TxSh" styleLbl="vennNode1">
            <dgm:alg type="tx">
              <dgm:param type="txAnchorHorzCh" val="ctr"/>
              <dgm:param type="txAnchorVertCh" val="mid"/>
            </dgm:alg>
            <dgm:shape xmlns:r="http://schemas.openxmlformats.org/officeDocument/2006/relationships" type="ellipse" r:blip="">
              <dgm:adjLst/>
            </dgm:shape>
            <dgm:choose name="Name20">
              <dgm:if name="Name21" func="var" arg="dir" op="equ" val="norm">
                <dgm:choose name="Name22">
                  <dgm:if name="Name23" axis="root ch" ptType="all node" func="cnt" op="lte" val="4">
                    <dgm:presOf axis="desOrSelf" ptType="node"/>
                  </dgm:if>
                  <dgm:else name="Name24">
                    <dgm:presOf/>
                  </dgm:else>
                </dgm:choose>
              </dgm:if>
              <dgm:else name="Name25">
                <dgm:choose name="Name26">
                  <dgm:if name="Name27" axis="root ch" ptType="all node" func="cnt" op="equ" val="2">
                    <dgm:presOf axis="root ch desOrSelf" ptType="all node node" st="1 2 1" cnt="1 1 0"/>
                  </dgm:if>
                  <dgm:else name="Name28">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if>
        <dgm:else name="Name29">
          <dgm:layoutNode name="circ1" styleLbl="vennNode1">
            <dgm:alg type="sp"/>
            <dgm:shape xmlns:r="http://schemas.openxmlformats.org/officeDocument/2006/relationships" type="ellipse" r:blip="">
              <dgm:adjLst/>
            </dgm:shape>
            <dgm:choose name="Name30">
              <dgm:if name="Name31" func="var" arg="dir" op="equ" val="norm">
                <dgm:choose name="Name32">
                  <dgm:if name="Name33" axis="root ch" ptType="all node" func="cnt" op="lte" val="4">
                    <dgm:presOf axis="desOrSelf" ptType="node"/>
                  </dgm:if>
                  <dgm:else name="Name34">
                    <dgm:presOf/>
                  </dgm:else>
                </dgm:choose>
              </dgm:if>
              <dgm:else name="Name35">
                <dgm:choose name="Name36">
                  <dgm:if name="Name37" axis="root ch" ptType="all node" func="cnt" op="equ" val="2">
                    <dgm:presOf axis="root ch desOrSelf" ptType="all node node" st="1 2 1" cnt="1 1 0"/>
                  </dgm:if>
                  <dgm:else name="Name38">
                    <dgm:choose name="Name39">
                      <dgm:if name="Name40" axis="root ch" ptType="all node" func="cnt" op="lte" val="4">
                        <dgm:presOf axis="desOrSelf" ptType="node"/>
                      </dgm:if>
                      <dgm:else name="Name41">
                        <dgm:presOf/>
                      </dgm:else>
                    </dgm:choose>
                  </dgm:else>
                </dgm:choose>
              </dgm:else>
            </dgm:choose>
            <dgm:constrLst/>
            <dgm:ruleLst/>
          </dgm:layoutNode>
          <dgm:layoutNode name="circ1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42">
              <dgm:if name="Name43" func="var" arg="dir" op="equ" val="norm">
                <dgm:presOf axis="desOrSelf" ptType="node"/>
              </dgm:if>
              <dgm:else name="Name44">
                <dgm:choose name="Name45">
                  <dgm:if name="Name46" axis="root ch" ptType="all node" func="cnt" op="equ" val="2">
                    <dgm:presOf axis="root ch desOrSelf" ptType="all node node" st="1 2 1" cnt="1 1 0"/>
                  </dgm:if>
                  <dgm:else name="Name47">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else>
      </dgm:choose>
    </dgm:forEach>
    <dgm:forEach name="Name48" axis="ch" ptType="node" st="2" cnt="1">
      <dgm:layoutNode name="circ2" styleLbl="vennNode1">
        <dgm:alg type="sp"/>
        <dgm:shape xmlns:r="http://schemas.openxmlformats.org/officeDocument/2006/relationships" type="ellipse" r:blip="">
          <dgm:adjLst/>
        </dgm:shape>
        <dgm:choose name="Name49">
          <dgm:if name="Name50" func="var" arg="dir" op="equ" val="norm">
            <dgm:choose name="Name51">
              <dgm:if name="Name52" axis="root ch" ptType="all node" func="cnt" op="lte" val="4">
                <dgm:presOf axis="desOrSelf" ptType="node"/>
              </dgm:if>
              <dgm:else name="Name53">
                <dgm:presOf/>
              </dgm:else>
            </dgm:choose>
          </dgm:if>
          <dgm:else name="Name54">
            <dgm:choose name="Name55">
              <dgm:if name="Name56" axis="root ch" ptType="all node" func="cnt" op="equ" val="2">
                <dgm:presOf axis="root ch desOrSelf" ptType="all node node" st="1 1 1" cnt="1 1 0"/>
              </dgm:if>
              <dgm:if name="Name57" axis="root ch" ptType="all node" func="cnt" op="equ" val="3">
                <dgm:presOf axis="root ch desOrSelf" ptType="all node node" st="1 3 1" cnt="1 1 0"/>
              </dgm:if>
              <dgm:if name="Name58" axis="root ch" ptType="all node" func="cnt" op="equ" val="4">
                <dgm:presOf axis="root ch desOrSelf" ptType="all node node" st="1 4 1" cnt="1 1 0"/>
              </dgm:if>
              <dgm:else name="Name59">
                <dgm:presOf/>
              </dgm:else>
            </dgm:choose>
          </dgm:else>
        </dgm:choose>
        <dgm:constrLst/>
        <dgm:ruleLst/>
      </dgm:layoutNode>
      <dgm:layoutNode name="circ2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60">
          <dgm:if name="Name61" func="var" arg="dir" op="equ" val="norm">
            <dgm:presOf axis="desOrSelf" ptType="node"/>
          </dgm:if>
          <dgm:else name="Name62">
            <dgm:choose name="Name63">
              <dgm:if name="Name64" axis="root ch" ptType="all node" func="cnt" op="equ" val="2">
                <dgm:presOf axis="root ch desOrSelf" ptType="all node node" st="1 1 1" cnt="1 1 0"/>
              </dgm:if>
              <dgm:if name="Name65" axis="root ch" ptType="all node" func="cnt" op="equ" val="3">
                <dgm:presOf axis="root ch desOrSelf" ptType="all node node" st="1 3 1" cnt="1 1 0"/>
              </dgm:if>
              <dgm:if name="Name66" axis="root ch" ptType="all node" func="cnt" op="equ" val="4">
                <dgm:presOf axis="root ch desOrSelf" ptType="all node node" st="1 4 1" cnt="1 1 0"/>
              </dgm:if>
              <dgm:if name="Name67" axis="root ch" ptType="all node" func="cnt" op="equ" val="5">
                <dgm:presOf axis="root ch desOrSelf" ptType="all node node" st="1 5 1" cnt="1 1 0"/>
              </dgm:if>
              <dgm:if name="Name68" axis="root ch" ptType="all node" func="cnt" op="equ" val="6">
                <dgm:presOf axis="root ch desOrSelf" ptType="all node node" st="1 6 1" cnt="1 1 0"/>
              </dgm:if>
              <dgm:else name="Name69">
                <dgm:presOf axis="root ch desOrSelf" ptType="all node node" st="1 7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70" axis="ch" ptType="node" st="3" cnt="1">
      <dgm:layoutNode name="circ3" styleLbl="vennNode1">
        <dgm:alg type="sp"/>
        <dgm:shape xmlns:r="http://schemas.openxmlformats.org/officeDocument/2006/relationships" type="ellipse" r:blip="">
          <dgm:adjLst/>
        </dgm:shape>
        <dgm:choose name="Name71">
          <dgm:if name="Name72" func="var" arg="dir" op="equ" val="norm">
            <dgm:choose name="Name73">
              <dgm:if name="Name74" axis="root ch" ptType="all node" func="cnt" op="lte" val="4">
                <dgm:presOf axis="desOrSelf" ptType="node"/>
              </dgm:if>
              <dgm:else name="Name75">
                <dgm:presOf/>
              </dgm:else>
            </dgm:choose>
          </dgm:if>
          <dgm:else name="Name76">
            <dgm:choose name="Name77">
              <dgm:if name="Name78" axis="root ch" ptType="all node" func="cnt" op="equ" val="3">
                <dgm:presOf axis="root ch desOrSelf" ptType="all node node" st="1 2 1" cnt="1 1 0"/>
              </dgm:if>
              <dgm:if name="Name79" axis="root ch" ptType="all node" func="cnt" op="equ" val="4">
                <dgm:presOf axis="root ch desOrSelf" ptType="all node node" st="1 3 1" cnt="1 1 0"/>
              </dgm:if>
              <dgm:else name="Name80">
                <dgm:presOf/>
              </dgm:else>
            </dgm:choose>
          </dgm:else>
        </dgm:choose>
        <dgm:constrLst/>
        <dgm:ruleLst/>
      </dgm:layoutNode>
      <dgm:layoutNode name="circ3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81">
          <dgm:if name="Name82" func="var" arg="dir" op="equ" val="norm">
            <dgm:presOf axis="desOrSelf" ptType="node"/>
          </dgm:if>
          <dgm:else name="Name83">
            <dgm:choose name="Name84">
              <dgm:if name="Name85" axis="root ch" ptType="all node" func="cnt" op="equ" val="3">
                <dgm:presOf axis="root ch desOrSelf" ptType="all node node" st="1 2 1" cnt="1 1 0"/>
              </dgm:if>
              <dgm:if name="Name86" axis="root ch" ptType="all node" func="cnt" op="equ" val="4">
                <dgm:presOf axis="root ch desOrSelf" ptType="all node node" st="1 3 1" cnt="1 1 0"/>
              </dgm:if>
              <dgm:if name="Name87" axis="root ch" ptType="all node" func="cnt" op="equ" val="5">
                <dgm:presOf axis="root ch desOrSelf" ptType="all node node" st="1 4 1" cnt="1 1 0"/>
              </dgm:if>
              <dgm:if name="Name88" axis="root ch" ptType="all node" func="cnt" op="equ" val="6">
                <dgm:presOf axis="root ch desOrSelf" ptType="all node node" st="1 5 1" cnt="1 1 0"/>
              </dgm:if>
              <dgm:else name="Name89">
                <dgm:presOf axis="root ch desOrSelf" ptType="all node node" st="1 6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90" axis="ch" ptType="node" st="4" cnt="1">
      <dgm:layoutNode name="circ4" styleLbl="vennNode1">
        <dgm:alg type="sp"/>
        <dgm:shape xmlns:r="http://schemas.openxmlformats.org/officeDocument/2006/relationships" type="ellipse" r:blip="">
          <dgm:adjLst/>
        </dgm:shape>
        <dgm:choose name="Name91">
          <dgm:if name="Name92" func="var" arg="dir" op="equ" val="norm">
            <dgm:choose name="Name93">
              <dgm:if name="Name94" axis="root ch" ptType="all node" func="cnt" op="lte" val="4">
                <dgm:presOf axis="desOrSelf" ptType="node"/>
              </dgm:if>
              <dgm:else name="Name95">
                <dgm:presOf/>
              </dgm:else>
            </dgm:choose>
          </dgm:if>
          <dgm:else name="Name96">
            <dgm:choose name="Name97">
              <dgm:if name="Name98" axis="root ch" ptType="all node" func="cnt" op="equ" val="4">
                <dgm:presOf axis="root ch desOrSelf" ptType="all node node" st="1 2 1" cnt="1 1 0"/>
              </dgm:if>
              <dgm:else name="Name99">
                <dgm:presOf/>
              </dgm:else>
            </dgm:choose>
          </dgm:else>
        </dgm:choose>
        <dgm:constrLst/>
        <dgm:ruleLst/>
      </dgm:layoutNode>
      <dgm:layoutNode name="circ4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0">
          <dgm:if name="Name101" func="var" arg="dir" op="equ" val="norm">
            <dgm:presOf axis="desOrSelf" ptType="node"/>
          </dgm:if>
          <dgm:else name="Name102">
            <dgm:choose name="Name103">
              <dgm:if name="Name104" axis="root ch" ptType="all node" func="cnt" op="equ" val="4">
                <dgm:presOf axis="root ch desOrSelf" ptType="all node node" st="1 2 1" cnt="1 1 0"/>
              </dgm:if>
              <dgm:if name="Name105" axis="root ch" ptType="all node" func="cnt" op="equ" val="5">
                <dgm:presOf axis="root ch desOrSelf" ptType="all node node" st="1 3 1" cnt="1 1 0"/>
              </dgm:if>
              <dgm:if name="Name106" axis="root ch" ptType="all node" func="cnt" op="equ" val="6">
                <dgm:presOf axis="root ch desOrSelf" ptType="all node node" st="1 4 1" cnt="1 1 0"/>
              </dgm:if>
              <dgm:else name="Name107">
                <dgm:presOf axis="root ch desOrSelf" ptType="all node node" st="1 5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08" axis="ch" ptType="node" st="5" cnt="1">
      <dgm:layoutNode name="circ5" styleLbl="vennNode1">
        <dgm:alg type="sp"/>
        <dgm:shape xmlns:r="http://schemas.openxmlformats.org/officeDocument/2006/relationships" type="ellipse" r:blip="">
          <dgm:adjLst/>
        </dgm:shape>
        <dgm:presOf/>
        <dgm:constrLst/>
        <dgm:ruleLst/>
      </dgm:layoutNode>
      <dgm:layoutNode name="circ5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9">
          <dgm:if name="Name110" func="var" arg="dir" op="equ" val="norm">
            <dgm:presOf axis="desOrSelf" ptType="node"/>
          </dgm:if>
          <dgm:else name="Name111">
            <dgm:choose name="Name112">
              <dgm:if name="Name113" axis="root ch" ptType="all node" func="cnt" op="equ" val="5">
                <dgm:presOf axis="root ch desOrSelf" ptType="all node node" st="1 2 1" cnt="1 1 0"/>
              </dgm:if>
              <dgm:if name="Name114" axis="root ch" ptType="all node" func="cnt" op="equ" val="6">
                <dgm:presOf axis="root ch desOrSelf" ptType="all node node" st="1 3 1" cnt="1 1 0"/>
              </dgm:if>
              <dgm:else name="Name115">
                <dgm:presOf axis="root ch desOrSelf" ptType="all node node" st="1 4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16" axis="ch" ptType="node" st="6" cnt="1">
      <dgm:layoutNode name="circ6" styleLbl="vennNode1">
        <dgm:alg type="sp"/>
        <dgm:shape xmlns:r="http://schemas.openxmlformats.org/officeDocument/2006/relationships" type="ellipse" r:blip="">
          <dgm:adjLst/>
        </dgm:shape>
        <dgm:presOf/>
        <dgm:constrLst/>
        <dgm:ruleLst/>
      </dgm:layoutNode>
      <dgm:layoutNode name="circ6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17">
          <dgm:if name="Name118" func="var" arg="dir" op="equ" val="norm">
            <dgm:presOf axis="desOrSelf" ptType="node"/>
          </dgm:if>
          <dgm:else name="Name119">
            <dgm:choose name="Name120">
              <dgm:if name="Name121" axis="root ch" ptType="all node" func="cnt" op="equ" val="6">
                <dgm:presOf axis="root ch desOrSelf" ptType="all node node" st="1 2 1" cnt="1 1 0"/>
              </dgm:if>
              <dgm:else name="Name122">
                <dgm:presOf axis="root ch desOrSelf" ptType="all node node" st="1 3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23" axis="ch" ptType="node" st="7" cnt="1">
      <dgm:layoutNode name="circ7" styleLbl="vennNode1">
        <dgm:alg type="sp"/>
        <dgm:shape xmlns:r="http://schemas.openxmlformats.org/officeDocument/2006/relationships" type="ellipse" r:blip="">
          <dgm:adjLst/>
        </dgm:shape>
        <dgm:presOf/>
        <dgm:constrLst/>
        <dgm:ruleLst/>
      </dgm:layoutNode>
      <dgm:layoutNode name="circ7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24">
          <dgm:if name="Name125" func="var" arg="dir" op="equ" val="norm">
            <dgm:presOf axis="desOrSelf" ptType="node"/>
          </dgm:if>
          <dgm:else name="Name126">
            <dgm:presOf axis="root ch desOrSelf" ptType="all node node" st="1 2 1" cnt="1 1 0"/>
          </dgm:else>
        </dgm:choose>
        <dgm:constrLst>
          <dgm:constr type="tMarg"/>
          <dgm:constr type="bMarg"/>
          <dgm:constr type="lMarg"/>
          <dgm:constr type="rMarg"/>
          <dgm:constr type="primFontSz" val="65"/>
        </dgm:constrLst>
        <dgm:ruleLst>
          <dgm:rule type="primFontSz" val="5" fact="NaN" max="NaN"/>
        </dgm:ruleLst>
      </dgm:layoutNode>
    </dgm:forEach>
  </dgm:layoutNode>
</dgm:layoutDef>
</file>

<file path=word/diagrams/layout2.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D3F2126381553441AAB919CB53585984" ma:contentTypeVersion="13" ma:contentTypeDescription="Create a new document." ma:contentTypeScope="" ma:versionID="c929d1dd33eea54bf8aadf0b14655ade">
  <xsd:schema xmlns:xsd="http://www.w3.org/2001/XMLSchema" xmlns:xs="http://www.w3.org/2001/XMLSchema" xmlns:p="http://schemas.microsoft.com/office/2006/metadata/properties" xmlns:ns3="ac8e30ca-65e9-4041-b86a-4d1b6d416c33" xmlns:ns4="fb6f0dd5-0349-47c8-82f6-4423e71a7ac1" targetNamespace="http://schemas.microsoft.com/office/2006/metadata/properties" ma:root="true" ma:fieldsID="3b0daa7c0be16815a5cf5d5164a0644f" ns3:_="" ns4:_="">
    <xsd:import namespace="ac8e30ca-65e9-4041-b86a-4d1b6d416c33"/>
    <xsd:import namespace="fb6f0dd5-0349-47c8-82f6-4423e71a7ac1"/>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Location" minOccurs="0"/>
                <xsd:element ref="ns4:MediaServiceEventHashCode" minOccurs="0"/>
                <xsd:element ref="ns4:MediaServiceGenerationTime" minOccurs="0"/>
                <xsd:element ref="ns4:MediaServiceOCR"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8e30ca-65e9-4041-b86a-4d1b6d416c33"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6f0dd5-0349-47c8-82f6-4423e71a7ac1"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Location" ma:index="15" nillable="true" ma:displayName="MediaServiceLocation" ma:internalName="MediaServiceLocation"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4BC9188-2C9D-4DBA-AE14-F3C4315D3EAF}">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5B03EDC6-AA4E-47C1-A5FC-A1D813931681}">
  <ds:schemaRefs>
    <ds:schemaRef ds:uri="http://schemas.openxmlformats.org/officeDocument/2006/bibliography"/>
  </ds:schemaRefs>
</ds:datastoreItem>
</file>

<file path=customXml/itemProps3.xml><?xml version="1.0" encoding="utf-8"?>
<ds:datastoreItem xmlns:ds="http://schemas.openxmlformats.org/officeDocument/2006/customXml" ds:itemID="{731435C8-AF8C-437C-B343-6B9720FAF567}">
  <ds:schemaRefs>
    <ds:schemaRef ds:uri="http://schemas.microsoft.com/sharepoint/v3/contenttype/forms"/>
  </ds:schemaRefs>
</ds:datastoreItem>
</file>

<file path=customXml/itemProps4.xml><?xml version="1.0" encoding="utf-8"?>
<ds:datastoreItem xmlns:ds="http://schemas.openxmlformats.org/officeDocument/2006/customXml" ds:itemID="{39BE7554-50C8-4020-8CE5-6F8F91387EA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c8e30ca-65e9-4041-b86a-4d1b6d416c33"/>
    <ds:schemaRef ds:uri="fb6f0dd5-0349-47c8-82f6-4423e71a7ac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112</Pages>
  <Words>43602</Words>
  <Characters>248532</Characters>
  <Application>Microsoft Office Word</Application>
  <DocSecurity>0</DocSecurity>
  <Lines>2071</Lines>
  <Paragraphs>583</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HP</Company>
  <LinksUpToDate>false</LinksUpToDate>
  <CharactersWithSpaces>291551</CharactersWithSpaces>
  <SharedDoc>false</SharedDoc>
  <HLinks>
    <vt:vector size="486" baseType="variant">
      <vt:variant>
        <vt:i4>3473522</vt:i4>
      </vt:variant>
      <vt:variant>
        <vt:i4>513</vt:i4>
      </vt:variant>
      <vt:variant>
        <vt:i4>0</vt:i4>
      </vt:variant>
      <vt:variant>
        <vt:i4>5</vt:i4>
      </vt:variant>
      <vt:variant>
        <vt:lpwstr>http://www.inspectionpanel.org/</vt:lpwstr>
      </vt:variant>
      <vt:variant>
        <vt:lpwstr/>
      </vt:variant>
      <vt:variant>
        <vt:i4>6881379</vt:i4>
      </vt:variant>
      <vt:variant>
        <vt:i4>510</vt:i4>
      </vt:variant>
      <vt:variant>
        <vt:i4>0</vt:i4>
      </vt:variant>
      <vt:variant>
        <vt:i4>5</vt:i4>
      </vt:variant>
      <vt:variant>
        <vt:lpwstr>http://www.worldbank.org/en/projects-operations/products-and-services/grievance-redress-service</vt:lpwstr>
      </vt:variant>
      <vt:variant>
        <vt:lpwstr/>
      </vt:variant>
      <vt:variant>
        <vt:i4>1245232</vt:i4>
      </vt:variant>
      <vt:variant>
        <vt:i4>356</vt:i4>
      </vt:variant>
      <vt:variant>
        <vt:i4>0</vt:i4>
      </vt:variant>
      <vt:variant>
        <vt:i4>5</vt:i4>
      </vt:variant>
      <vt:variant>
        <vt:lpwstr/>
      </vt:variant>
      <vt:variant>
        <vt:lpwstr>_Toc19192420</vt:lpwstr>
      </vt:variant>
      <vt:variant>
        <vt:i4>1703987</vt:i4>
      </vt:variant>
      <vt:variant>
        <vt:i4>350</vt:i4>
      </vt:variant>
      <vt:variant>
        <vt:i4>0</vt:i4>
      </vt:variant>
      <vt:variant>
        <vt:i4>5</vt:i4>
      </vt:variant>
      <vt:variant>
        <vt:lpwstr/>
      </vt:variant>
      <vt:variant>
        <vt:lpwstr>_Toc19192419</vt:lpwstr>
      </vt:variant>
      <vt:variant>
        <vt:i4>1769523</vt:i4>
      </vt:variant>
      <vt:variant>
        <vt:i4>344</vt:i4>
      </vt:variant>
      <vt:variant>
        <vt:i4>0</vt:i4>
      </vt:variant>
      <vt:variant>
        <vt:i4>5</vt:i4>
      </vt:variant>
      <vt:variant>
        <vt:lpwstr/>
      </vt:variant>
      <vt:variant>
        <vt:lpwstr>_Toc19192418</vt:lpwstr>
      </vt:variant>
      <vt:variant>
        <vt:i4>1310771</vt:i4>
      </vt:variant>
      <vt:variant>
        <vt:i4>338</vt:i4>
      </vt:variant>
      <vt:variant>
        <vt:i4>0</vt:i4>
      </vt:variant>
      <vt:variant>
        <vt:i4>5</vt:i4>
      </vt:variant>
      <vt:variant>
        <vt:lpwstr/>
      </vt:variant>
      <vt:variant>
        <vt:lpwstr>_Toc19192417</vt:lpwstr>
      </vt:variant>
      <vt:variant>
        <vt:i4>1376307</vt:i4>
      </vt:variant>
      <vt:variant>
        <vt:i4>332</vt:i4>
      </vt:variant>
      <vt:variant>
        <vt:i4>0</vt:i4>
      </vt:variant>
      <vt:variant>
        <vt:i4>5</vt:i4>
      </vt:variant>
      <vt:variant>
        <vt:lpwstr/>
      </vt:variant>
      <vt:variant>
        <vt:lpwstr>_Toc19192416</vt:lpwstr>
      </vt:variant>
      <vt:variant>
        <vt:i4>1441843</vt:i4>
      </vt:variant>
      <vt:variant>
        <vt:i4>326</vt:i4>
      </vt:variant>
      <vt:variant>
        <vt:i4>0</vt:i4>
      </vt:variant>
      <vt:variant>
        <vt:i4>5</vt:i4>
      </vt:variant>
      <vt:variant>
        <vt:lpwstr/>
      </vt:variant>
      <vt:variant>
        <vt:lpwstr>_Toc19192415</vt:lpwstr>
      </vt:variant>
      <vt:variant>
        <vt:i4>1507379</vt:i4>
      </vt:variant>
      <vt:variant>
        <vt:i4>320</vt:i4>
      </vt:variant>
      <vt:variant>
        <vt:i4>0</vt:i4>
      </vt:variant>
      <vt:variant>
        <vt:i4>5</vt:i4>
      </vt:variant>
      <vt:variant>
        <vt:lpwstr/>
      </vt:variant>
      <vt:variant>
        <vt:lpwstr>_Toc19192414</vt:lpwstr>
      </vt:variant>
      <vt:variant>
        <vt:i4>1048627</vt:i4>
      </vt:variant>
      <vt:variant>
        <vt:i4>314</vt:i4>
      </vt:variant>
      <vt:variant>
        <vt:i4>0</vt:i4>
      </vt:variant>
      <vt:variant>
        <vt:i4>5</vt:i4>
      </vt:variant>
      <vt:variant>
        <vt:lpwstr/>
      </vt:variant>
      <vt:variant>
        <vt:lpwstr>_Toc19192413</vt:lpwstr>
      </vt:variant>
      <vt:variant>
        <vt:i4>1114163</vt:i4>
      </vt:variant>
      <vt:variant>
        <vt:i4>308</vt:i4>
      </vt:variant>
      <vt:variant>
        <vt:i4>0</vt:i4>
      </vt:variant>
      <vt:variant>
        <vt:i4>5</vt:i4>
      </vt:variant>
      <vt:variant>
        <vt:lpwstr/>
      </vt:variant>
      <vt:variant>
        <vt:lpwstr>_Toc19192412</vt:lpwstr>
      </vt:variant>
      <vt:variant>
        <vt:i4>1179699</vt:i4>
      </vt:variant>
      <vt:variant>
        <vt:i4>302</vt:i4>
      </vt:variant>
      <vt:variant>
        <vt:i4>0</vt:i4>
      </vt:variant>
      <vt:variant>
        <vt:i4>5</vt:i4>
      </vt:variant>
      <vt:variant>
        <vt:lpwstr/>
      </vt:variant>
      <vt:variant>
        <vt:lpwstr>_Toc19192411</vt:lpwstr>
      </vt:variant>
      <vt:variant>
        <vt:i4>1245235</vt:i4>
      </vt:variant>
      <vt:variant>
        <vt:i4>296</vt:i4>
      </vt:variant>
      <vt:variant>
        <vt:i4>0</vt:i4>
      </vt:variant>
      <vt:variant>
        <vt:i4>5</vt:i4>
      </vt:variant>
      <vt:variant>
        <vt:lpwstr/>
      </vt:variant>
      <vt:variant>
        <vt:lpwstr>_Toc19192410</vt:lpwstr>
      </vt:variant>
      <vt:variant>
        <vt:i4>1703986</vt:i4>
      </vt:variant>
      <vt:variant>
        <vt:i4>290</vt:i4>
      </vt:variant>
      <vt:variant>
        <vt:i4>0</vt:i4>
      </vt:variant>
      <vt:variant>
        <vt:i4>5</vt:i4>
      </vt:variant>
      <vt:variant>
        <vt:lpwstr/>
      </vt:variant>
      <vt:variant>
        <vt:lpwstr>_Toc19192409</vt:lpwstr>
      </vt:variant>
      <vt:variant>
        <vt:i4>1769522</vt:i4>
      </vt:variant>
      <vt:variant>
        <vt:i4>284</vt:i4>
      </vt:variant>
      <vt:variant>
        <vt:i4>0</vt:i4>
      </vt:variant>
      <vt:variant>
        <vt:i4>5</vt:i4>
      </vt:variant>
      <vt:variant>
        <vt:lpwstr/>
      </vt:variant>
      <vt:variant>
        <vt:lpwstr>_Toc19192408</vt:lpwstr>
      </vt:variant>
      <vt:variant>
        <vt:i4>1310770</vt:i4>
      </vt:variant>
      <vt:variant>
        <vt:i4>278</vt:i4>
      </vt:variant>
      <vt:variant>
        <vt:i4>0</vt:i4>
      </vt:variant>
      <vt:variant>
        <vt:i4>5</vt:i4>
      </vt:variant>
      <vt:variant>
        <vt:lpwstr/>
      </vt:variant>
      <vt:variant>
        <vt:lpwstr>_Toc19192407</vt:lpwstr>
      </vt:variant>
      <vt:variant>
        <vt:i4>1376306</vt:i4>
      </vt:variant>
      <vt:variant>
        <vt:i4>272</vt:i4>
      </vt:variant>
      <vt:variant>
        <vt:i4>0</vt:i4>
      </vt:variant>
      <vt:variant>
        <vt:i4>5</vt:i4>
      </vt:variant>
      <vt:variant>
        <vt:lpwstr/>
      </vt:variant>
      <vt:variant>
        <vt:lpwstr>_Toc19192406</vt:lpwstr>
      </vt:variant>
      <vt:variant>
        <vt:i4>1441842</vt:i4>
      </vt:variant>
      <vt:variant>
        <vt:i4>266</vt:i4>
      </vt:variant>
      <vt:variant>
        <vt:i4>0</vt:i4>
      </vt:variant>
      <vt:variant>
        <vt:i4>5</vt:i4>
      </vt:variant>
      <vt:variant>
        <vt:lpwstr/>
      </vt:variant>
      <vt:variant>
        <vt:lpwstr>_Toc19192405</vt:lpwstr>
      </vt:variant>
      <vt:variant>
        <vt:i4>1507378</vt:i4>
      </vt:variant>
      <vt:variant>
        <vt:i4>260</vt:i4>
      </vt:variant>
      <vt:variant>
        <vt:i4>0</vt:i4>
      </vt:variant>
      <vt:variant>
        <vt:i4>5</vt:i4>
      </vt:variant>
      <vt:variant>
        <vt:lpwstr/>
      </vt:variant>
      <vt:variant>
        <vt:lpwstr>_Toc19192404</vt:lpwstr>
      </vt:variant>
      <vt:variant>
        <vt:i4>1048626</vt:i4>
      </vt:variant>
      <vt:variant>
        <vt:i4>254</vt:i4>
      </vt:variant>
      <vt:variant>
        <vt:i4>0</vt:i4>
      </vt:variant>
      <vt:variant>
        <vt:i4>5</vt:i4>
      </vt:variant>
      <vt:variant>
        <vt:lpwstr/>
      </vt:variant>
      <vt:variant>
        <vt:lpwstr>_Toc19192403</vt:lpwstr>
      </vt:variant>
      <vt:variant>
        <vt:i4>1114162</vt:i4>
      </vt:variant>
      <vt:variant>
        <vt:i4>248</vt:i4>
      </vt:variant>
      <vt:variant>
        <vt:i4>0</vt:i4>
      </vt:variant>
      <vt:variant>
        <vt:i4>5</vt:i4>
      </vt:variant>
      <vt:variant>
        <vt:lpwstr/>
      </vt:variant>
      <vt:variant>
        <vt:lpwstr>_Toc19192402</vt:lpwstr>
      </vt:variant>
      <vt:variant>
        <vt:i4>1179698</vt:i4>
      </vt:variant>
      <vt:variant>
        <vt:i4>242</vt:i4>
      </vt:variant>
      <vt:variant>
        <vt:i4>0</vt:i4>
      </vt:variant>
      <vt:variant>
        <vt:i4>5</vt:i4>
      </vt:variant>
      <vt:variant>
        <vt:lpwstr/>
      </vt:variant>
      <vt:variant>
        <vt:lpwstr>_Toc19192401</vt:lpwstr>
      </vt:variant>
      <vt:variant>
        <vt:i4>1245234</vt:i4>
      </vt:variant>
      <vt:variant>
        <vt:i4>236</vt:i4>
      </vt:variant>
      <vt:variant>
        <vt:i4>0</vt:i4>
      </vt:variant>
      <vt:variant>
        <vt:i4>5</vt:i4>
      </vt:variant>
      <vt:variant>
        <vt:lpwstr/>
      </vt:variant>
      <vt:variant>
        <vt:lpwstr>_Toc19192400</vt:lpwstr>
      </vt:variant>
      <vt:variant>
        <vt:i4>1900603</vt:i4>
      </vt:variant>
      <vt:variant>
        <vt:i4>230</vt:i4>
      </vt:variant>
      <vt:variant>
        <vt:i4>0</vt:i4>
      </vt:variant>
      <vt:variant>
        <vt:i4>5</vt:i4>
      </vt:variant>
      <vt:variant>
        <vt:lpwstr/>
      </vt:variant>
      <vt:variant>
        <vt:lpwstr>_Toc19192399</vt:lpwstr>
      </vt:variant>
      <vt:variant>
        <vt:i4>1835067</vt:i4>
      </vt:variant>
      <vt:variant>
        <vt:i4>224</vt:i4>
      </vt:variant>
      <vt:variant>
        <vt:i4>0</vt:i4>
      </vt:variant>
      <vt:variant>
        <vt:i4>5</vt:i4>
      </vt:variant>
      <vt:variant>
        <vt:lpwstr/>
      </vt:variant>
      <vt:variant>
        <vt:lpwstr>_Toc19192398</vt:lpwstr>
      </vt:variant>
      <vt:variant>
        <vt:i4>1245243</vt:i4>
      </vt:variant>
      <vt:variant>
        <vt:i4>218</vt:i4>
      </vt:variant>
      <vt:variant>
        <vt:i4>0</vt:i4>
      </vt:variant>
      <vt:variant>
        <vt:i4>5</vt:i4>
      </vt:variant>
      <vt:variant>
        <vt:lpwstr/>
      </vt:variant>
      <vt:variant>
        <vt:lpwstr>_Toc19192397</vt:lpwstr>
      </vt:variant>
      <vt:variant>
        <vt:i4>1179707</vt:i4>
      </vt:variant>
      <vt:variant>
        <vt:i4>212</vt:i4>
      </vt:variant>
      <vt:variant>
        <vt:i4>0</vt:i4>
      </vt:variant>
      <vt:variant>
        <vt:i4>5</vt:i4>
      </vt:variant>
      <vt:variant>
        <vt:lpwstr/>
      </vt:variant>
      <vt:variant>
        <vt:lpwstr>_Toc19192396</vt:lpwstr>
      </vt:variant>
      <vt:variant>
        <vt:i4>1114171</vt:i4>
      </vt:variant>
      <vt:variant>
        <vt:i4>206</vt:i4>
      </vt:variant>
      <vt:variant>
        <vt:i4>0</vt:i4>
      </vt:variant>
      <vt:variant>
        <vt:i4>5</vt:i4>
      </vt:variant>
      <vt:variant>
        <vt:lpwstr/>
      </vt:variant>
      <vt:variant>
        <vt:lpwstr>_Toc19192395</vt:lpwstr>
      </vt:variant>
      <vt:variant>
        <vt:i4>1048635</vt:i4>
      </vt:variant>
      <vt:variant>
        <vt:i4>200</vt:i4>
      </vt:variant>
      <vt:variant>
        <vt:i4>0</vt:i4>
      </vt:variant>
      <vt:variant>
        <vt:i4>5</vt:i4>
      </vt:variant>
      <vt:variant>
        <vt:lpwstr/>
      </vt:variant>
      <vt:variant>
        <vt:lpwstr>_Toc19192394</vt:lpwstr>
      </vt:variant>
      <vt:variant>
        <vt:i4>1507387</vt:i4>
      </vt:variant>
      <vt:variant>
        <vt:i4>194</vt:i4>
      </vt:variant>
      <vt:variant>
        <vt:i4>0</vt:i4>
      </vt:variant>
      <vt:variant>
        <vt:i4>5</vt:i4>
      </vt:variant>
      <vt:variant>
        <vt:lpwstr/>
      </vt:variant>
      <vt:variant>
        <vt:lpwstr>_Toc19192393</vt:lpwstr>
      </vt:variant>
      <vt:variant>
        <vt:i4>1441851</vt:i4>
      </vt:variant>
      <vt:variant>
        <vt:i4>188</vt:i4>
      </vt:variant>
      <vt:variant>
        <vt:i4>0</vt:i4>
      </vt:variant>
      <vt:variant>
        <vt:i4>5</vt:i4>
      </vt:variant>
      <vt:variant>
        <vt:lpwstr/>
      </vt:variant>
      <vt:variant>
        <vt:lpwstr>_Toc19192392</vt:lpwstr>
      </vt:variant>
      <vt:variant>
        <vt:i4>1376315</vt:i4>
      </vt:variant>
      <vt:variant>
        <vt:i4>182</vt:i4>
      </vt:variant>
      <vt:variant>
        <vt:i4>0</vt:i4>
      </vt:variant>
      <vt:variant>
        <vt:i4>5</vt:i4>
      </vt:variant>
      <vt:variant>
        <vt:lpwstr/>
      </vt:variant>
      <vt:variant>
        <vt:lpwstr>_Toc19192391</vt:lpwstr>
      </vt:variant>
      <vt:variant>
        <vt:i4>1310779</vt:i4>
      </vt:variant>
      <vt:variant>
        <vt:i4>176</vt:i4>
      </vt:variant>
      <vt:variant>
        <vt:i4>0</vt:i4>
      </vt:variant>
      <vt:variant>
        <vt:i4>5</vt:i4>
      </vt:variant>
      <vt:variant>
        <vt:lpwstr/>
      </vt:variant>
      <vt:variant>
        <vt:lpwstr>_Toc19192390</vt:lpwstr>
      </vt:variant>
      <vt:variant>
        <vt:i4>1900602</vt:i4>
      </vt:variant>
      <vt:variant>
        <vt:i4>170</vt:i4>
      </vt:variant>
      <vt:variant>
        <vt:i4>0</vt:i4>
      </vt:variant>
      <vt:variant>
        <vt:i4>5</vt:i4>
      </vt:variant>
      <vt:variant>
        <vt:lpwstr/>
      </vt:variant>
      <vt:variant>
        <vt:lpwstr>_Toc19192389</vt:lpwstr>
      </vt:variant>
      <vt:variant>
        <vt:i4>1835066</vt:i4>
      </vt:variant>
      <vt:variant>
        <vt:i4>164</vt:i4>
      </vt:variant>
      <vt:variant>
        <vt:i4>0</vt:i4>
      </vt:variant>
      <vt:variant>
        <vt:i4>5</vt:i4>
      </vt:variant>
      <vt:variant>
        <vt:lpwstr/>
      </vt:variant>
      <vt:variant>
        <vt:lpwstr>_Toc19192388</vt:lpwstr>
      </vt:variant>
      <vt:variant>
        <vt:i4>1245242</vt:i4>
      </vt:variant>
      <vt:variant>
        <vt:i4>158</vt:i4>
      </vt:variant>
      <vt:variant>
        <vt:i4>0</vt:i4>
      </vt:variant>
      <vt:variant>
        <vt:i4>5</vt:i4>
      </vt:variant>
      <vt:variant>
        <vt:lpwstr/>
      </vt:variant>
      <vt:variant>
        <vt:lpwstr>_Toc19192387</vt:lpwstr>
      </vt:variant>
      <vt:variant>
        <vt:i4>1179706</vt:i4>
      </vt:variant>
      <vt:variant>
        <vt:i4>152</vt:i4>
      </vt:variant>
      <vt:variant>
        <vt:i4>0</vt:i4>
      </vt:variant>
      <vt:variant>
        <vt:i4>5</vt:i4>
      </vt:variant>
      <vt:variant>
        <vt:lpwstr/>
      </vt:variant>
      <vt:variant>
        <vt:lpwstr>_Toc19192386</vt:lpwstr>
      </vt:variant>
      <vt:variant>
        <vt:i4>1114170</vt:i4>
      </vt:variant>
      <vt:variant>
        <vt:i4>146</vt:i4>
      </vt:variant>
      <vt:variant>
        <vt:i4>0</vt:i4>
      </vt:variant>
      <vt:variant>
        <vt:i4>5</vt:i4>
      </vt:variant>
      <vt:variant>
        <vt:lpwstr/>
      </vt:variant>
      <vt:variant>
        <vt:lpwstr>_Toc19192385</vt:lpwstr>
      </vt:variant>
      <vt:variant>
        <vt:i4>1048634</vt:i4>
      </vt:variant>
      <vt:variant>
        <vt:i4>140</vt:i4>
      </vt:variant>
      <vt:variant>
        <vt:i4>0</vt:i4>
      </vt:variant>
      <vt:variant>
        <vt:i4>5</vt:i4>
      </vt:variant>
      <vt:variant>
        <vt:lpwstr/>
      </vt:variant>
      <vt:variant>
        <vt:lpwstr>_Toc19192384</vt:lpwstr>
      </vt:variant>
      <vt:variant>
        <vt:i4>1507386</vt:i4>
      </vt:variant>
      <vt:variant>
        <vt:i4>134</vt:i4>
      </vt:variant>
      <vt:variant>
        <vt:i4>0</vt:i4>
      </vt:variant>
      <vt:variant>
        <vt:i4>5</vt:i4>
      </vt:variant>
      <vt:variant>
        <vt:lpwstr/>
      </vt:variant>
      <vt:variant>
        <vt:lpwstr>_Toc19192383</vt:lpwstr>
      </vt:variant>
      <vt:variant>
        <vt:i4>1441850</vt:i4>
      </vt:variant>
      <vt:variant>
        <vt:i4>128</vt:i4>
      </vt:variant>
      <vt:variant>
        <vt:i4>0</vt:i4>
      </vt:variant>
      <vt:variant>
        <vt:i4>5</vt:i4>
      </vt:variant>
      <vt:variant>
        <vt:lpwstr/>
      </vt:variant>
      <vt:variant>
        <vt:lpwstr>_Toc19192382</vt:lpwstr>
      </vt:variant>
      <vt:variant>
        <vt:i4>1376314</vt:i4>
      </vt:variant>
      <vt:variant>
        <vt:i4>122</vt:i4>
      </vt:variant>
      <vt:variant>
        <vt:i4>0</vt:i4>
      </vt:variant>
      <vt:variant>
        <vt:i4>5</vt:i4>
      </vt:variant>
      <vt:variant>
        <vt:lpwstr/>
      </vt:variant>
      <vt:variant>
        <vt:lpwstr>_Toc19192381</vt:lpwstr>
      </vt:variant>
      <vt:variant>
        <vt:i4>1310778</vt:i4>
      </vt:variant>
      <vt:variant>
        <vt:i4>116</vt:i4>
      </vt:variant>
      <vt:variant>
        <vt:i4>0</vt:i4>
      </vt:variant>
      <vt:variant>
        <vt:i4>5</vt:i4>
      </vt:variant>
      <vt:variant>
        <vt:lpwstr/>
      </vt:variant>
      <vt:variant>
        <vt:lpwstr>_Toc19192380</vt:lpwstr>
      </vt:variant>
      <vt:variant>
        <vt:i4>1900597</vt:i4>
      </vt:variant>
      <vt:variant>
        <vt:i4>110</vt:i4>
      </vt:variant>
      <vt:variant>
        <vt:i4>0</vt:i4>
      </vt:variant>
      <vt:variant>
        <vt:i4>5</vt:i4>
      </vt:variant>
      <vt:variant>
        <vt:lpwstr/>
      </vt:variant>
      <vt:variant>
        <vt:lpwstr>_Toc19192379</vt:lpwstr>
      </vt:variant>
      <vt:variant>
        <vt:i4>1835061</vt:i4>
      </vt:variant>
      <vt:variant>
        <vt:i4>104</vt:i4>
      </vt:variant>
      <vt:variant>
        <vt:i4>0</vt:i4>
      </vt:variant>
      <vt:variant>
        <vt:i4>5</vt:i4>
      </vt:variant>
      <vt:variant>
        <vt:lpwstr/>
      </vt:variant>
      <vt:variant>
        <vt:lpwstr>_Toc19192378</vt:lpwstr>
      </vt:variant>
      <vt:variant>
        <vt:i4>1245237</vt:i4>
      </vt:variant>
      <vt:variant>
        <vt:i4>98</vt:i4>
      </vt:variant>
      <vt:variant>
        <vt:i4>0</vt:i4>
      </vt:variant>
      <vt:variant>
        <vt:i4>5</vt:i4>
      </vt:variant>
      <vt:variant>
        <vt:lpwstr/>
      </vt:variant>
      <vt:variant>
        <vt:lpwstr>_Toc19192377</vt:lpwstr>
      </vt:variant>
      <vt:variant>
        <vt:i4>1179701</vt:i4>
      </vt:variant>
      <vt:variant>
        <vt:i4>92</vt:i4>
      </vt:variant>
      <vt:variant>
        <vt:i4>0</vt:i4>
      </vt:variant>
      <vt:variant>
        <vt:i4>5</vt:i4>
      </vt:variant>
      <vt:variant>
        <vt:lpwstr/>
      </vt:variant>
      <vt:variant>
        <vt:lpwstr>_Toc19192376</vt:lpwstr>
      </vt:variant>
      <vt:variant>
        <vt:i4>1114165</vt:i4>
      </vt:variant>
      <vt:variant>
        <vt:i4>86</vt:i4>
      </vt:variant>
      <vt:variant>
        <vt:i4>0</vt:i4>
      </vt:variant>
      <vt:variant>
        <vt:i4>5</vt:i4>
      </vt:variant>
      <vt:variant>
        <vt:lpwstr/>
      </vt:variant>
      <vt:variant>
        <vt:lpwstr>_Toc19192375</vt:lpwstr>
      </vt:variant>
      <vt:variant>
        <vt:i4>1048629</vt:i4>
      </vt:variant>
      <vt:variant>
        <vt:i4>80</vt:i4>
      </vt:variant>
      <vt:variant>
        <vt:i4>0</vt:i4>
      </vt:variant>
      <vt:variant>
        <vt:i4>5</vt:i4>
      </vt:variant>
      <vt:variant>
        <vt:lpwstr/>
      </vt:variant>
      <vt:variant>
        <vt:lpwstr>_Toc19192374</vt:lpwstr>
      </vt:variant>
      <vt:variant>
        <vt:i4>1507381</vt:i4>
      </vt:variant>
      <vt:variant>
        <vt:i4>74</vt:i4>
      </vt:variant>
      <vt:variant>
        <vt:i4>0</vt:i4>
      </vt:variant>
      <vt:variant>
        <vt:i4>5</vt:i4>
      </vt:variant>
      <vt:variant>
        <vt:lpwstr/>
      </vt:variant>
      <vt:variant>
        <vt:lpwstr>_Toc19192373</vt:lpwstr>
      </vt:variant>
      <vt:variant>
        <vt:i4>1441845</vt:i4>
      </vt:variant>
      <vt:variant>
        <vt:i4>68</vt:i4>
      </vt:variant>
      <vt:variant>
        <vt:i4>0</vt:i4>
      </vt:variant>
      <vt:variant>
        <vt:i4>5</vt:i4>
      </vt:variant>
      <vt:variant>
        <vt:lpwstr/>
      </vt:variant>
      <vt:variant>
        <vt:lpwstr>_Toc19192372</vt:lpwstr>
      </vt:variant>
      <vt:variant>
        <vt:i4>1376309</vt:i4>
      </vt:variant>
      <vt:variant>
        <vt:i4>62</vt:i4>
      </vt:variant>
      <vt:variant>
        <vt:i4>0</vt:i4>
      </vt:variant>
      <vt:variant>
        <vt:i4>5</vt:i4>
      </vt:variant>
      <vt:variant>
        <vt:lpwstr/>
      </vt:variant>
      <vt:variant>
        <vt:lpwstr>_Toc19192371</vt:lpwstr>
      </vt:variant>
      <vt:variant>
        <vt:i4>1310773</vt:i4>
      </vt:variant>
      <vt:variant>
        <vt:i4>56</vt:i4>
      </vt:variant>
      <vt:variant>
        <vt:i4>0</vt:i4>
      </vt:variant>
      <vt:variant>
        <vt:i4>5</vt:i4>
      </vt:variant>
      <vt:variant>
        <vt:lpwstr/>
      </vt:variant>
      <vt:variant>
        <vt:lpwstr>_Toc19192370</vt:lpwstr>
      </vt:variant>
      <vt:variant>
        <vt:i4>1900596</vt:i4>
      </vt:variant>
      <vt:variant>
        <vt:i4>50</vt:i4>
      </vt:variant>
      <vt:variant>
        <vt:i4>0</vt:i4>
      </vt:variant>
      <vt:variant>
        <vt:i4>5</vt:i4>
      </vt:variant>
      <vt:variant>
        <vt:lpwstr/>
      </vt:variant>
      <vt:variant>
        <vt:lpwstr>_Toc19192369</vt:lpwstr>
      </vt:variant>
      <vt:variant>
        <vt:i4>1835060</vt:i4>
      </vt:variant>
      <vt:variant>
        <vt:i4>44</vt:i4>
      </vt:variant>
      <vt:variant>
        <vt:i4>0</vt:i4>
      </vt:variant>
      <vt:variant>
        <vt:i4>5</vt:i4>
      </vt:variant>
      <vt:variant>
        <vt:lpwstr/>
      </vt:variant>
      <vt:variant>
        <vt:lpwstr>_Toc19192368</vt:lpwstr>
      </vt:variant>
      <vt:variant>
        <vt:i4>1245236</vt:i4>
      </vt:variant>
      <vt:variant>
        <vt:i4>38</vt:i4>
      </vt:variant>
      <vt:variant>
        <vt:i4>0</vt:i4>
      </vt:variant>
      <vt:variant>
        <vt:i4>5</vt:i4>
      </vt:variant>
      <vt:variant>
        <vt:lpwstr/>
      </vt:variant>
      <vt:variant>
        <vt:lpwstr>_Toc19192367</vt:lpwstr>
      </vt:variant>
      <vt:variant>
        <vt:i4>1179700</vt:i4>
      </vt:variant>
      <vt:variant>
        <vt:i4>32</vt:i4>
      </vt:variant>
      <vt:variant>
        <vt:i4>0</vt:i4>
      </vt:variant>
      <vt:variant>
        <vt:i4>5</vt:i4>
      </vt:variant>
      <vt:variant>
        <vt:lpwstr/>
      </vt:variant>
      <vt:variant>
        <vt:lpwstr>_Toc19192366</vt:lpwstr>
      </vt:variant>
      <vt:variant>
        <vt:i4>1114164</vt:i4>
      </vt:variant>
      <vt:variant>
        <vt:i4>26</vt:i4>
      </vt:variant>
      <vt:variant>
        <vt:i4>0</vt:i4>
      </vt:variant>
      <vt:variant>
        <vt:i4>5</vt:i4>
      </vt:variant>
      <vt:variant>
        <vt:lpwstr/>
      </vt:variant>
      <vt:variant>
        <vt:lpwstr>_Toc19192365</vt:lpwstr>
      </vt:variant>
      <vt:variant>
        <vt:i4>1048628</vt:i4>
      </vt:variant>
      <vt:variant>
        <vt:i4>20</vt:i4>
      </vt:variant>
      <vt:variant>
        <vt:i4>0</vt:i4>
      </vt:variant>
      <vt:variant>
        <vt:i4>5</vt:i4>
      </vt:variant>
      <vt:variant>
        <vt:lpwstr/>
      </vt:variant>
      <vt:variant>
        <vt:lpwstr>_Toc19192364</vt:lpwstr>
      </vt:variant>
      <vt:variant>
        <vt:i4>1507380</vt:i4>
      </vt:variant>
      <vt:variant>
        <vt:i4>14</vt:i4>
      </vt:variant>
      <vt:variant>
        <vt:i4>0</vt:i4>
      </vt:variant>
      <vt:variant>
        <vt:i4>5</vt:i4>
      </vt:variant>
      <vt:variant>
        <vt:lpwstr/>
      </vt:variant>
      <vt:variant>
        <vt:lpwstr>_Toc19192363</vt:lpwstr>
      </vt:variant>
      <vt:variant>
        <vt:i4>1441844</vt:i4>
      </vt:variant>
      <vt:variant>
        <vt:i4>8</vt:i4>
      </vt:variant>
      <vt:variant>
        <vt:i4>0</vt:i4>
      </vt:variant>
      <vt:variant>
        <vt:i4>5</vt:i4>
      </vt:variant>
      <vt:variant>
        <vt:lpwstr/>
      </vt:variant>
      <vt:variant>
        <vt:lpwstr>_Toc19192362</vt:lpwstr>
      </vt:variant>
      <vt:variant>
        <vt:i4>1376308</vt:i4>
      </vt:variant>
      <vt:variant>
        <vt:i4>2</vt:i4>
      </vt:variant>
      <vt:variant>
        <vt:i4>0</vt:i4>
      </vt:variant>
      <vt:variant>
        <vt:i4>5</vt:i4>
      </vt:variant>
      <vt:variant>
        <vt:lpwstr/>
      </vt:variant>
      <vt:variant>
        <vt:lpwstr>_Toc19192361</vt:lpwstr>
      </vt:variant>
      <vt:variant>
        <vt:i4>2883636</vt:i4>
      </vt:variant>
      <vt:variant>
        <vt:i4>51</vt:i4>
      </vt:variant>
      <vt:variant>
        <vt:i4>0</vt:i4>
      </vt:variant>
      <vt:variant>
        <vt:i4>5</vt:i4>
      </vt:variant>
      <vt:variant>
        <vt:lpwstr>https://www.ilo.org/dyn/normlex/en/f?p=1000:11200:0::NO:11200:P11200_COUNTRY_ID:102704</vt:lpwstr>
      </vt:variant>
      <vt:variant>
        <vt:lpwstr/>
      </vt:variant>
      <vt:variant>
        <vt:i4>2228274</vt:i4>
      </vt:variant>
      <vt:variant>
        <vt:i4>48</vt:i4>
      </vt:variant>
      <vt:variant>
        <vt:i4>0</vt:i4>
      </vt:variant>
      <vt:variant>
        <vt:i4>5</vt:i4>
      </vt:variant>
      <vt:variant>
        <vt:lpwstr>https://www.fhmzbih.gov.ba/latinica/KLIMA/klimaBIH.php</vt:lpwstr>
      </vt:variant>
      <vt:variant>
        <vt:lpwstr/>
      </vt:variant>
      <vt:variant>
        <vt:i4>786475</vt:i4>
      </vt:variant>
      <vt:variant>
        <vt:i4>45</vt:i4>
      </vt:variant>
      <vt:variant>
        <vt:i4>0</vt:i4>
      </vt:variant>
      <vt:variant>
        <vt:i4>5</vt:i4>
      </vt:variant>
      <vt:variant>
        <vt:lpwstr>https://www.ilo.org/budapest/countries-covered/bosnia-herzegovina/WCMS_471903/lang--en/index.htm</vt:lpwstr>
      </vt:variant>
      <vt:variant>
        <vt:lpwstr/>
      </vt:variant>
      <vt:variant>
        <vt:i4>3014758</vt:i4>
      </vt:variant>
      <vt:variant>
        <vt:i4>42</vt:i4>
      </vt:variant>
      <vt:variant>
        <vt:i4>0</vt:i4>
      </vt:variant>
      <vt:variant>
        <vt:i4>5</vt:i4>
      </vt:variant>
      <vt:variant>
        <vt:lpwstr>http://www.fipa.gov.ba/atraktivni_sektori/inf_tehnologije/default.aspx?id=36&amp;langTag=en-US</vt:lpwstr>
      </vt:variant>
      <vt:variant>
        <vt:lpwstr/>
      </vt:variant>
      <vt:variant>
        <vt:i4>3932194</vt:i4>
      </vt:variant>
      <vt:variant>
        <vt:i4>39</vt:i4>
      </vt:variant>
      <vt:variant>
        <vt:i4>0</vt:i4>
      </vt:variant>
      <vt:variant>
        <vt:i4>5</vt:i4>
      </vt:variant>
      <vt:variant>
        <vt:lpwstr>http://www.komorabih.ba/o-privredi-bosne-i-hercegovine/</vt:lpwstr>
      </vt:variant>
      <vt:variant>
        <vt:lpwstr/>
      </vt:variant>
      <vt:variant>
        <vt:i4>6946887</vt:i4>
      </vt:variant>
      <vt:variant>
        <vt:i4>36</vt:i4>
      </vt:variant>
      <vt:variant>
        <vt:i4>0</vt:i4>
      </vt:variant>
      <vt:variant>
        <vt:i4>5</vt:i4>
      </vt:variant>
      <vt:variant>
        <vt:lpwstr>http://www.fipa.gov.ba/publikacije_materijali/brosure/28.05.2018 ATTRACTIVE SECTORS.pdf</vt:lpwstr>
      </vt:variant>
      <vt:variant>
        <vt:lpwstr/>
      </vt:variant>
      <vt:variant>
        <vt:i4>6946887</vt:i4>
      </vt:variant>
      <vt:variant>
        <vt:i4>33</vt:i4>
      </vt:variant>
      <vt:variant>
        <vt:i4>0</vt:i4>
      </vt:variant>
      <vt:variant>
        <vt:i4>5</vt:i4>
      </vt:variant>
      <vt:variant>
        <vt:lpwstr>http://www.fipa.gov.ba/publikacije_materijali/brosure/28.05.2018 ATTRACTIVE SECTORS.pdf</vt:lpwstr>
      </vt:variant>
      <vt:variant>
        <vt:lpwstr/>
      </vt:variant>
      <vt:variant>
        <vt:i4>3932194</vt:i4>
      </vt:variant>
      <vt:variant>
        <vt:i4>30</vt:i4>
      </vt:variant>
      <vt:variant>
        <vt:i4>0</vt:i4>
      </vt:variant>
      <vt:variant>
        <vt:i4>5</vt:i4>
      </vt:variant>
      <vt:variant>
        <vt:lpwstr>http://www.komorabih.ba/o-privredi-bosne-i-hercegovine/</vt:lpwstr>
      </vt:variant>
      <vt:variant>
        <vt:lpwstr/>
      </vt:variant>
      <vt:variant>
        <vt:i4>6946887</vt:i4>
      </vt:variant>
      <vt:variant>
        <vt:i4>27</vt:i4>
      </vt:variant>
      <vt:variant>
        <vt:i4>0</vt:i4>
      </vt:variant>
      <vt:variant>
        <vt:i4>5</vt:i4>
      </vt:variant>
      <vt:variant>
        <vt:lpwstr>http://www.fipa.gov.ba/publikacije_materijali/brosure/28.05.2018 ATTRACTIVE SECTORS.pdf</vt:lpwstr>
      </vt:variant>
      <vt:variant>
        <vt:lpwstr/>
      </vt:variant>
      <vt:variant>
        <vt:i4>4915308</vt:i4>
      </vt:variant>
      <vt:variant>
        <vt:i4>24</vt:i4>
      </vt:variant>
      <vt:variant>
        <vt:i4>0</vt:i4>
      </vt:variant>
      <vt:variant>
        <vt:i4>5</vt:i4>
      </vt:variant>
      <vt:variant>
        <vt:lpwstr>https://population.un.org/wpp/Publications/Files/WPP2017_KeyFindings.pdf</vt:lpwstr>
      </vt:variant>
      <vt:variant>
        <vt:lpwstr/>
      </vt:variant>
      <vt:variant>
        <vt:i4>7798851</vt:i4>
      </vt:variant>
      <vt:variant>
        <vt:i4>21</vt:i4>
      </vt:variant>
      <vt:variant>
        <vt:i4>0</vt:i4>
      </vt:variant>
      <vt:variant>
        <vt:i4>5</vt:i4>
      </vt:variant>
      <vt:variant>
        <vt:lpwstr>http://eu-monitoring.ba/trajanje-sudskih-postupaka-u-antidiskriminacijskim-predmetima/</vt:lpwstr>
      </vt:variant>
      <vt:variant>
        <vt:lpwstr>_ftn7</vt:lpwstr>
      </vt:variant>
      <vt:variant>
        <vt:i4>6422558</vt:i4>
      </vt:variant>
      <vt:variant>
        <vt:i4>18</vt:i4>
      </vt:variant>
      <vt:variant>
        <vt:i4>0</vt:i4>
      </vt:variant>
      <vt:variant>
        <vt:i4>5</vt:i4>
      </vt:variant>
      <vt:variant>
        <vt:lpwstr>https://www.ifc.org/wps/wcm/connect/Topics_Ext_Content/IFC_External_Corporate_Site/Sustainability-At-IFC/Policies-Standards/EHS-Guidelines/</vt:lpwstr>
      </vt:variant>
      <vt:variant>
        <vt:lpwstr/>
      </vt:variant>
      <vt:variant>
        <vt:i4>6422558</vt:i4>
      </vt:variant>
      <vt:variant>
        <vt:i4>15</vt:i4>
      </vt:variant>
      <vt:variant>
        <vt:i4>0</vt:i4>
      </vt:variant>
      <vt:variant>
        <vt:i4>5</vt:i4>
      </vt:variant>
      <vt:variant>
        <vt:lpwstr>https://www.ifc.org/wps/wcm/connect/Topics_Ext_Content/IFC_External_Corporate_Site/Sustainability-At-IFC/Policies-Standards/EHS-Guidelines/</vt:lpwstr>
      </vt:variant>
      <vt:variant>
        <vt:lpwstr/>
      </vt:variant>
      <vt:variant>
        <vt:i4>6094916</vt:i4>
      </vt:variant>
      <vt:variant>
        <vt:i4>12</vt:i4>
      </vt:variant>
      <vt:variant>
        <vt:i4>0</vt:i4>
      </vt:variant>
      <vt:variant>
        <vt:i4>5</vt:i4>
      </vt:variant>
      <vt:variant>
        <vt:lpwstr>http://www.worldbank.org/en/projects-operations/environmental-and-social-framework/brief/environmental-and-social-framework-resources</vt:lpwstr>
      </vt:variant>
      <vt:variant>
        <vt:lpwstr>guidancenotes</vt:lpwstr>
      </vt:variant>
      <vt:variant>
        <vt:i4>4784204</vt:i4>
      </vt:variant>
      <vt:variant>
        <vt:i4>9</vt:i4>
      </vt:variant>
      <vt:variant>
        <vt:i4>0</vt:i4>
      </vt:variant>
      <vt:variant>
        <vt:i4>5</vt:i4>
      </vt:variant>
      <vt:variant>
        <vt:lpwstr>http://pubdocs.worldbank.org/en/837721522762050108/Environmental-and-Social-Framework.pdf</vt:lpwstr>
      </vt:variant>
      <vt:variant>
        <vt:lpwstr/>
      </vt:variant>
      <vt:variant>
        <vt:i4>2162784</vt:i4>
      </vt:variant>
      <vt:variant>
        <vt:i4>6</vt:i4>
      </vt:variant>
      <vt:variant>
        <vt:i4>0</vt:i4>
      </vt:variant>
      <vt:variant>
        <vt:i4>5</vt:i4>
      </vt:variant>
      <vt:variant>
        <vt:lpwstr>http://www.investsrpska.net/files/Smjernice za razvoj privrede Republike Srpske.pdf</vt:lpwstr>
      </vt:variant>
      <vt:variant>
        <vt:lpwstr/>
      </vt:variant>
      <vt:variant>
        <vt:i4>7077897</vt:i4>
      </vt:variant>
      <vt:variant>
        <vt:i4>3</vt:i4>
      </vt:variant>
      <vt:variant>
        <vt:i4>0</vt:i4>
      </vt:variant>
      <vt:variant>
        <vt:i4>5</vt:i4>
      </vt:variant>
      <vt:variant>
        <vt:lpwstr>http://www.fmf.gov.ba/v2/userfiles/userfiles/file/2019/SMJERNICE EFP FBIH 2020-2022_ BOS.pdf</vt:lpwstr>
      </vt:variant>
      <vt:variant>
        <vt:lpwstr/>
      </vt:variant>
      <vt:variant>
        <vt:i4>8060974</vt:i4>
      </vt:variant>
      <vt:variant>
        <vt:i4>0</vt:i4>
      </vt:variant>
      <vt:variant>
        <vt:i4>0</vt:i4>
      </vt:variant>
      <vt:variant>
        <vt:i4>5</vt:i4>
      </vt:variant>
      <vt:variant>
        <vt:lpwstr>http://www.dep.gov.ba/naslovna - 2019-2021</vt:lpwstr>
      </vt:variant>
      <vt:variant>
        <vt:lpwstr/>
      </vt:variant>
      <vt:variant>
        <vt:i4>3211306</vt:i4>
      </vt:variant>
      <vt:variant>
        <vt:i4>111459</vt:i4>
      </vt:variant>
      <vt:variant>
        <vt:i4>1027</vt:i4>
      </vt:variant>
      <vt:variant>
        <vt:i4>1</vt:i4>
      </vt:variant>
      <vt:variant>
        <vt:lpwstr>http://www.fhmzbih.gov.ba/slike/hidro/hidro.png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Ines Fejzic</dc:creator>
  <cp:keywords>[EBRD]</cp:keywords>
  <dc:description/>
  <cp:lastModifiedBy>Zlatan Music</cp:lastModifiedBy>
  <cp:revision>3</cp:revision>
  <cp:lastPrinted>2022-09-21T11:18:00Z</cp:lastPrinted>
  <dcterms:created xsi:type="dcterms:W3CDTF">2023-04-05T09:27:00Z</dcterms:created>
  <dcterms:modified xsi:type="dcterms:W3CDTF">2024-07-25T06:06:00Z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c3d2ac68-4948-4305-b2af-cbfd62147900</vt:lpwstr>
  </property>
  <property fmtid="{D5CDD505-2E9C-101B-9397-08002B2CF9AE}" pid="3" name="bjSaver">
    <vt:lpwstr>k1bH5bvm6Pnj4YJpYqVDM27Xx4PsfuLR</vt:lpwstr>
  </property>
  <property fmtid="{D5CDD505-2E9C-101B-9397-08002B2CF9AE}" pid="4" name="bjDocumentSecurityLabel">
    <vt:lpwstr>This item has no classification</vt:lpwstr>
  </property>
  <property fmtid="{D5CDD505-2E9C-101B-9397-08002B2CF9AE}" pid="5" name="bjDocumentLabelFieldCode">
    <vt:lpwstr>This item has no classification</vt:lpwstr>
  </property>
  <property fmtid="{D5CDD505-2E9C-101B-9397-08002B2CF9AE}" pid="6" name="ContentTypeId">
    <vt:lpwstr>0x010100D3F2126381553441AAB919CB53585984</vt:lpwstr>
  </property>
</Properties>
</file>